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val="0"/>
        <w:kinsoku/>
        <w:wordWrap/>
        <w:overflowPunct/>
        <w:topLinePunct w:val="0"/>
        <w:bidi w:val="0"/>
        <w:spacing w:line="600" w:lineRule="exact"/>
        <w:ind w:left="0" w:leftChars="0" w:right="0"/>
        <w:jc w:val="center"/>
        <w:textAlignment w:val="auto"/>
        <w:outlineLvl w:val="0"/>
        <w:rPr>
          <w:rFonts w:ascii="方正小标宋简体" w:hAnsi="宋体" w:eastAsia="方正小标宋简体"/>
          <w:color w:val="000000"/>
          <w:sz w:val="72"/>
          <w:szCs w:val="72"/>
        </w:rPr>
      </w:pPr>
      <w:bookmarkStart w:id="0" w:name="_Toc15306267"/>
    </w:p>
    <w:p>
      <w:pPr>
        <w:pageBreakBefore w:val="0"/>
        <w:kinsoku/>
        <w:wordWrap/>
        <w:overflowPunct/>
        <w:topLinePunct w:val="0"/>
        <w:bidi w:val="0"/>
        <w:spacing w:line="600" w:lineRule="exact"/>
        <w:ind w:left="0" w:leftChars="0" w:right="0"/>
        <w:jc w:val="center"/>
        <w:textAlignment w:val="auto"/>
        <w:outlineLvl w:val="0"/>
        <w:rPr>
          <w:rFonts w:ascii="方正小标宋简体" w:hAnsi="宋体" w:eastAsia="方正小标宋简体"/>
          <w:color w:val="000000"/>
          <w:sz w:val="56"/>
          <w:szCs w:val="56"/>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jc w:val="center"/>
        <w:textAlignment w:val="auto"/>
        <w:outlineLvl w:val="0"/>
        <w:rPr>
          <w:rFonts w:hint="eastAsia" w:ascii="方正小标宋简体" w:hAnsi="宋体" w:eastAsia="方正小标宋简体"/>
          <w:color w:val="000000"/>
          <w:sz w:val="52"/>
          <w:szCs w:val="52"/>
          <w:lang w:val="en-US" w:eastAsia="zh-CN"/>
        </w:rPr>
      </w:pPr>
      <w:bookmarkStart w:id="1" w:name="_Toc15396597"/>
      <w:bookmarkStart w:id="2" w:name="_Toc15378441"/>
      <w:bookmarkStart w:id="3" w:name="_Toc15377425"/>
      <w:bookmarkStart w:id="4" w:name="_Toc15396475"/>
      <w:bookmarkStart w:id="5" w:name="_Toc15377193"/>
      <w:r>
        <w:rPr>
          <w:rFonts w:hint="eastAsia" w:ascii="方正小标宋简体" w:hAnsi="宋体" w:eastAsia="方正小标宋简体"/>
          <w:color w:val="000000"/>
          <w:sz w:val="52"/>
          <w:szCs w:val="52"/>
          <w:lang w:val="en-US" w:eastAsia="zh-CN"/>
        </w:rPr>
        <w:t>2020</w:t>
      </w:r>
      <w:r>
        <w:rPr>
          <w:rFonts w:hint="eastAsia" w:ascii="方正小标宋简体" w:hAnsi="宋体" w:eastAsia="方正小标宋简体"/>
          <w:color w:val="000000"/>
          <w:sz w:val="52"/>
          <w:szCs w:val="52"/>
        </w:rPr>
        <w:t>年度</w:t>
      </w:r>
      <w:bookmarkEnd w:id="1"/>
      <w:bookmarkEnd w:id="2"/>
      <w:bookmarkEnd w:id="3"/>
      <w:bookmarkEnd w:id="4"/>
      <w:bookmarkEnd w:id="5"/>
      <w:bookmarkStart w:id="6" w:name="_Toc15378442"/>
      <w:bookmarkStart w:id="7" w:name="_Toc15377426"/>
      <w:bookmarkStart w:id="8" w:name="_Toc15377194"/>
      <w:bookmarkStart w:id="9" w:name="_Toc15396598"/>
      <w:bookmarkStart w:id="10" w:name="_Toc15396476"/>
      <w:r>
        <w:rPr>
          <w:rFonts w:hint="eastAsia" w:ascii="方正小标宋简体" w:hAnsi="宋体" w:eastAsia="方正小标宋简体"/>
          <w:color w:val="000000"/>
          <w:sz w:val="52"/>
          <w:szCs w:val="52"/>
        </w:rPr>
        <w:t>四川省</w:t>
      </w:r>
      <w:bookmarkEnd w:id="0"/>
      <w:bookmarkStart w:id="11" w:name="_Toc15306268"/>
      <w:r>
        <w:rPr>
          <w:rFonts w:hint="eastAsia" w:ascii="方正小标宋简体" w:hAnsi="宋体" w:eastAsia="方正小标宋简体"/>
          <w:color w:val="000000"/>
          <w:sz w:val="52"/>
          <w:szCs w:val="52"/>
          <w:lang w:val="en-US" w:eastAsia="zh-CN"/>
        </w:rPr>
        <w:t>巴中市恩阳区分局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jc w:val="center"/>
        <w:textAlignment w:val="auto"/>
        <w:outlineLvl w:val="0"/>
        <w:rPr>
          <w:rFonts w:hint="eastAsia" w:ascii="方正小标宋简体" w:hAnsi="宋体" w:eastAsia="方正小标宋简体"/>
          <w:color w:val="000000"/>
          <w:sz w:val="52"/>
          <w:szCs w:val="52"/>
          <w:lang w:val="en-US" w:eastAsia="zh-CN"/>
        </w:rPr>
      </w:pPr>
      <w:r>
        <w:rPr>
          <w:rFonts w:hint="eastAsia" w:ascii="方正小标宋简体" w:hAnsi="宋体" w:eastAsia="方正小标宋简体"/>
          <w:color w:val="000000"/>
          <w:sz w:val="52"/>
          <w:szCs w:val="52"/>
          <w:lang w:val="en-US" w:eastAsia="zh-CN"/>
        </w:rPr>
        <w:t>国土资源执法监察大队</w:t>
      </w:r>
    </w:p>
    <w:p>
      <w:pPr>
        <w:pageBreakBefore w:val="0"/>
        <w:kinsoku/>
        <w:wordWrap/>
        <w:overflowPunct/>
        <w:topLinePunct w:val="0"/>
        <w:bidi w:val="0"/>
        <w:adjustRightInd w:val="0"/>
        <w:snapToGrid w:val="0"/>
        <w:spacing w:line="360" w:lineRule="auto"/>
        <w:ind w:left="0" w:leftChars="0" w:right="0"/>
        <w:jc w:val="center"/>
        <w:textAlignment w:val="auto"/>
        <w:outlineLvl w:val="0"/>
        <w:rPr>
          <w:rFonts w:hint="eastAsia" w:ascii="方正小标宋简体" w:hAnsi="宋体" w:eastAsia="方正小标宋简体"/>
          <w:color w:val="000000"/>
          <w:sz w:val="48"/>
          <w:szCs w:val="48"/>
        </w:rPr>
      </w:pPr>
    </w:p>
    <w:p>
      <w:pPr>
        <w:pageBreakBefore w:val="0"/>
        <w:kinsoku/>
        <w:wordWrap/>
        <w:overflowPunct/>
        <w:topLinePunct w:val="0"/>
        <w:bidi w:val="0"/>
        <w:adjustRightInd w:val="0"/>
        <w:snapToGrid w:val="0"/>
        <w:spacing w:line="360" w:lineRule="auto"/>
        <w:ind w:left="0" w:leftChars="0" w:right="0"/>
        <w:jc w:val="center"/>
        <w:textAlignment w:val="auto"/>
        <w:outlineLvl w:val="0"/>
        <w:rPr>
          <w:rFonts w:hint="eastAsia" w:ascii="方正小标宋简体" w:hAnsi="宋体" w:eastAsia="方正小标宋简体"/>
          <w:color w:val="000000"/>
          <w:sz w:val="76"/>
          <w:szCs w:val="76"/>
        </w:rPr>
      </w:pPr>
      <w:r>
        <w:rPr>
          <w:rFonts w:hint="eastAsia" w:ascii="方正小标宋简体" w:hAnsi="宋体" w:eastAsia="方正小标宋简体"/>
          <w:color w:val="000000"/>
          <w:sz w:val="76"/>
          <w:szCs w:val="76"/>
        </w:rPr>
        <w:t>部</w:t>
      </w:r>
    </w:p>
    <w:p>
      <w:pPr>
        <w:pageBreakBefore w:val="0"/>
        <w:kinsoku/>
        <w:wordWrap/>
        <w:overflowPunct/>
        <w:topLinePunct w:val="0"/>
        <w:bidi w:val="0"/>
        <w:adjustRightInd w:val="0"/>
        <w:snapToGrid w:val="0"/>
        <w:spacing w:line="360" w:lineRule="auto"/>
        <w:ind w:left="0" w:leftChars="0" w:right="0"/>
        <w:jc w:val="center"/>
        <w:textAlignment w:val="auto"/>
        <w:outlineLvl w:val="0"/>
        <w:rPr>
          <w:rFonts w:hint="eastAsia" w:ascii="方正小标宋简体" w:hAnsi="宋体" w:eastAsia="方正小标宋简体"/>
          <w:color w:val="000000"/>
          <w:sz w:val="76"/>
          <w:szCs w:val="76"/>
        </w:rPr>
      </w:pPr>
      <w:r>
        <w:rPr>
          <w:rFonts w:hint="eastAsia" w:ascii="方正小标宋简体" w:hAnsi="宋体" w:eastAsia="方正小标宋简体"/>
          <w:color w:val="000000"/>
          <w:sz w:val="76"/>
          <w:szCs w:val="76"/>
        </w:rPr>
        <w:t>门</w:t>
      </w:r>
    </w:p>
    <w:p>
      <w:pPr>
        <w:pageBreakBefore w:val="0"/>
        <w:kinsoku/>
        <w:wordWrap/>
        <w:overflowPunct/>
        <w:topLinePunct w:val="0"/>
        <w:bidi w:val="0"/>
        <w:adjustRightInd w:val="0"/>
        <w:snapToGrid w:val="0"/>
        <w:spacing w:line="360" w:lineRule="auto"/>
        <w:ind w:left="0" w:leftChars="0" w:right="0"/>
        <w:jc w:val="center"/>
        <w:textAlignment w:val="auto"/>
        <w:outlineLvl w:val="0"/>
        <w:rPr>
          <w:rFonts w:hint="eastAsia" w:ascii="方正小标宋简体" w:hAnsi="宋体" w:eastAsia="方正小标宋简体"/>
          <w:color w:val="000000"/>
          <w:sz w:val="76"/>
          <w:szCs w:val="76"/>
        </w:rPr>
      </w:pPr>
      <w:r>
        <w:rPr>
          <w:rFonts w:hint="eastAsia" w:ascii="方正小标宋简体" w:hAnsi="宋体" w:eastAsia="方正小标宋简体"/>
          <w:color w:val="000000"/>
          <w:sz w:val="76"/>
          <w:szCs w:val="76"/>
        </w:rPr>
        <w:t>决</w:t>
      </w:r>
    </w:p>
    <w:p>
      <w:pPr>
        <w:pageBreakBefore w:val="0"/>
        <w:kinsoku/>
        <w:wordWrap/>
        <w:overflowPunct/>
        <w:topLinePunct w:val="0"/>
        <w:bidi w:val="0"/>
        <w:adjustRightInd w:val="0"/>
        <w:snapToGrid w:val="0"/>
        <w:spacing w:line="360" w:lineRule="auto"/>
        <w:ind w:left="0" w:leftChars="0" w:right="0"/>
        <w:jc w:val="center"/>
        <w:textAlignment w:val="auto"/>
        <w:outlineLvl w:val="0"/>
        <w:rPr>
          <w:rFonts w:hint="eastAsia" w:ascii="方正小标宋简体" w:hAnsi="宋体" w:eastAsia="方正小标宋简体"/>
          <w:color w:val="000000"/>
          <w:sz w:val="76"/>
          <w:szCs w:val="76"/>
        </w:rPr>
      </w:pPr>
      <w:r>
        <w:rPr>
          <w:rFonts w:hint="eastAsia" w:ascii="方正小标宋简体" w:hAnsi="宋体" w:eastAsia="方正小标宋简体"/>
          <w:color w:val="000000"/>
          <w:sz w:val="76"/>
          <w:szCs w:val="76"/>
        </w:rPr>
        <w:t>算</w:t>
      </w:r>
      <w:bookmarkEnd w:id="6"/>
      <w:bookmarkEnd w:id="7"/>
      <w:bookmarkEnd w:id="8"/>
      <w:bookmarkEnd w:id="9"/>
      <w:bookmarkEnd w:id="10"/>
      <w:bookmarkEnd w:id="11"/>
    </w:p>
    <w:p>
      <w:pPr>
        <w:pageBreakBefore w:val="0"/>
        <w:widowControl/>
        <w:kinsoku/>
        <w:wordWrap/>
        <w:overflowPunct/>
        <w:topLinePunct w:val="0"/>
        <w:bidi w:val="0"/>
        <w:ind w:left="0" w:leftChars="0" w:right="0"/>
        <w:jc w:val="both"/>
        <w:textAlignment w:val="auto"/>
        <w:rPr>
          <w:rFonts w:hint="eastAsia" w:ascii="黑体" w:hAnsi="黑体" w:eastAsia="黑体"/>
          <w:color w:val="000000"/>
          <w:sz w:val="48"/>
          <w:szCs w:val="48"/>
        </w:rPr>
      </w:pPr>
    </w:p>
    <w:p>
      <w:pPr>
        <w:pageBreakBefore w:val="0"/>
        <w:widowControl/>
        <w:kinsoku/>
        <w:wordWrap/>
        <w:overflowPunct/>
        <w:topLinePunct w:val="0"/>
        <w:bidi w:val="0"/>
        <w:ind w:left="0" w:leftChars="0" w:right="0"/>
        <w:jc w:val="both"/>
        <w:textAlignment w:val="auto"/>
        <w:rPr>
          <w:rFonts w:hint="eastAsia" w:ascii="黑体" w:hAnsi="黑体" w:eastAsia="黑体"/>
          <w:color w:val="000000"/>
          <w:sz w:val="48"/>
          <w:szCs w:val="48"/>
        </w:rPr>
      </w:pPr>
    </w:p>
    <w:p>
      <w:pPr>
        <w:pageBreakBefore w:val="0"/>
        <w:widowControl/>
        <w:kinsoku/>
        <w:wordWrap/>
        <w:overflowPunct/>
        <w:topLinePunct w:val="0"/>
        <w:bidi w:val="0"/>
        <w:ind w:left="0" w:leftChars="0" w:right="0"/>
        <w:jc w:val="both"/>
        <w:textAlignment w:val="auto"/>
        <w:rPr>
          <w:rFonts w:hint="eastAsia" w:ascii="黑体" w:hAnsi="黑体" w:eastAsia="黑体"/>
          <w:color w:val="000000"/>
          <w:sz w:val="48"/>
          <w:szCs w:val="48"/>
        </w:rPr>
      </w:pPr>
    </w:p>
    <w:p>
      <w:pPr>
        <w:pageBreakBefore w:val="0"/>
        <w:widowControl/>
        <w:kinsoku/>
        <w:wordWrap/>
        <w:overflowPunct/>
        <w:topLinePunct w:val="0"/>
        <w:bidi w:val="0"/>
        <w:ind w:left="0" w:leftChars="0" w:right="0"/>
        <w:jc w:val="center"/>
        <w:textAlignment w:val="auto"/>
        <w:rPr>
          <w:rFonts w:hint="eastAsia" w:ascii="方正小标宋_GBK" w:hAnsi="方正小标宋_GBK" w:eastAsia="方正小标宋_GBK" w:cs="方正小标宋_GBK"/>
          <w:color w:val="000000"/>
          <w:sz w:val="44"/>
          <w:szCs w:val="44"/>
        </w:rPr>
      </w:pPr>
    </w:p>
    <w:p>
      <w:pPr>
        <w:pageBreakBefore w:val="0"/>
        <w:widowControl/>
        <w:kinsoku/>
        <w:wordWrap/>
        <w:overflowPunct/>
        <w:topLinePunct w:val="0"/>
        <w:bidi w:val="0"/>
        <w:ind w:left="0" w:leftChars="0" w:right="0"/>
        <w:jc w:val="center"/>
        <w:textAlignment w:val="auto"/>
        <w:rPr>
          <w:rFonts w:hint="eastAsia" w:ascii="方正小标宋_GBK" w:hAnsi="方正小标宋_GBK" w:eastAsia="方正小标宋_GBK" w:cs="方正小标宋_GBK"/>
          <w:color w:val="000000"/>
          <w:sz w:val="44"/>
          <w:szCs w:val="44"/>
        </w:rPr>
      </w:pPr>
    </w:p>
    <w:p>
      <w:pPr>
        <w:pageBreakBefore w:val="0"/>
        <w:widowControl/>
        <w:kinsoku/>
        <w:wordWrap/>
        <w:overflowPunct/>
        <w:topLinePunct w:val="0"/>
        <w:bidi w:val="0"/>
        <w:ind w:left="0" w:leftChars="0" w:right="0"/>
        <w:jc w:val="center"/>
        <w:textAlignment w:val="auto"/>
        <w:rPr>
          <w:rFonts w:hint="eastAsia" w:ascii="方正小标宋_GBK" w:hAnsi="方正小标宋_GBK" w:eastAsia="方正小标宋_GBK" w:cs="方正小标宋_GBK"/>
          <w:color w:val="000000"/>
          <w:sz w:val="44"/>
          <w:szCs w:val="44"/>
        </w:rPr>
      </w:pPr>
      <w:bookmarkStart w:id="70" w:name="_GoBack"/>
      <w:r>
        <w:rPr>
          <w:rFonts w:hint="eastAsia" w:ascii="方正小标宋_GBK" w:hAnsi="方正小标宋_GBK" w:eastAsia="方正小标宋_GBK" w:cs="方正小标宋_GBK"/>
          <w:color w:val="000000"/>
          <w:sz w:val="44"/>
          <w:szCs w:val="44"/>
        </w:rPr>
        <w:t>目</w:t>
      </w:r>
      <w:r>
        <w:rPr>
          <w:rFonts w:hint="eastAsia" w:ascii="方正小标宋_GBK" w:hAnsi="方正小标宋_GBK" w:eastAsia="方正小标宋_GBK" w:cs="方正小标宋_GBK"/>
          <w:color w:val="000000"/>
          <w:sz w:val="44"/>
          <w:szCs w:val="44"/>
          <w:lang w:val="en-US" w:eastAsia="zh-CN"/>
        </w:rPr>
        <w:t xml:space="preserve">    </w:t>
      </w:r>
      <w:r>
        <w:rPr>
          <w:rFonts w:hint="eastAsia" w:ascii="方正小标宋_GBK" w:hAnsi="方正小标宋_GBK" w:eastAsia="方正小标宋_GBK" w:cs="方正小标宋_GBK"/>
          <w:color w:val="000000"/>
          <w:sz w:val="44"/>
          <w:szCs w:val="44"/>
        </w:rPr>
        <w:t>录</w:t>
      </w:r>
    </w:p>
    <w:p>
      <w:pPr>
        <w:keepNext w:val="0"/>
        <w:keepLines w:val="0"/>
        <w:pageBreakBefore w:val="0"/>
        <w:widowControl/>
        <w:kinsoku/>
        <w:wordWrap/>
        <w:overflowPunct/>
        <w:topLinePunct w:val="0"/>
        <w:autoSpaceDE/>
        <w:autoSpaceDN/>
        <w:bidi w:val="0"/>
        <w:spacing w:line="576" w:lineRule="exact"/>
        <w:ind w:left="0" w:leftChars="0" w:right="0"/>
        <w:jc w:val="center"/>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76" w:lineRule="exact"/>
        <w:ind w:left="0" w:leftChars="0" w:right="0"/>
        <w:jc w:val="center"/>
        <w:textAlignment w:val="auto"/>
        <w:rPr>
          <w:rFonts w:hint="default" w:ascii="Times New Roman" w:hAnsi="Times New Roman" w:eastAsia="方正仿宋_GBK" w:cs="Times New Roman"/>
          <w:sz w:val="32"/>
          <w:szCs w:val="32"/>
        </w:rPr>
      </w:pPr>
    </w:p>
    <w:p>
      <w:pPr>
        <w:pStyle w:val="13"/>
        <w:keepNext w:val="0"/>
        <w:keepLines w:val="0"/>
        <w:pageBreakBefore w:val="0"/>
        <w:kinsoku/>
        <w:wordWrap/>
        <w:overflowPunct/>
        <w:topLinePunct w:val="0"/>
        <w:autoSpaceDE/>
        <w:autoSpaceDN/>
        <w:bidi w:val="0"/>
        <w:adjustRightInd w:val="0"/>
        <w:snapToGrid w:val="0"/>
        <w:spacing w:before="0" w:line="576" w:lineRule="exact"/>
        <w:ind w:left="0" w:leftChars="0" w:right="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第一部分 部门概况</w:t>
      </w:r>
    </w:p>
    <w:p>
      <w:pPr>
        <w:pStyle w:val="14"/>
        <w:keepNext w:val="0"/>
        <w:keepLines w:val="0"/>
        <w:pageBreakBefore w:val="0"/>
        <w:kinsoku/>
        <w:wordWrap/>
        <w:overflowPunct/>
        <w:topLinePunct w:val="0"/>
        <w:autoSpaceDE/>
        <w:autoSpaceDN/>
        <w:bidi w:val="0"/>
        <w:adjustRightInd w:val="0"/>
        <w:snapToGrid w:val="0"/>
        <w:spacing w:line="576" w:lineRule="exact"/>
        <w:ind w:left="0" w:leftChars="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一、基本职能及主要工作</w:t>
      </w:r>
    </w:p>
    <w:p>
      <w:pPr>
        <w:pStyle w:val="14"/>
        <w:keepNext w:val="0"/>
        <w:keepLines w:val="0"/>
        <w:pageBreakBefore w:val="0"/>
        <w:kinsoku/>
        <w:wordWrap/>
        <w:overflowPunct/>
        <w:topLinePunct w:val="0"/>
        <w:autoSpaceDE/>
        <w:autoSpaceDN/>
        <w:bidi w:val="0"/>
        <w:adjustRightInd w:val="0"/>
        <w:snapToGrid w:val="0"/>
        <w:spacing w:line="576" w:lineRule="exact"/>
        <w:ind w:left="0" w:leftChars="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二、机构设置</w:t>
      </w:r>
    </w:p>
    <w:p>
      <w:pPr>
        <w:pStyle w:val="13"/>
        <w:keepNext w:val="0"/>
        <w:keepLines w:val="0"/>
        <w:pageBreakBefore w:val="0"/>
        <w:kinsoku/>
        <w:wordWrap/>
        <w:overflowPunct/>
        <w:topLinePunct w:val="0"/>
        <w:autoSpaceDE/>
        <w:autoSpaceDN/>
        <w:bidi w:val="0"/>
        <w:adjustRightInd w:val="0"/>
        <w:snapToGrid w:val="0"/>
        <w:spacing w:before="0" w:line="576" w:lineRule="exact"/>
        <w:ind w:left="0" w:leftChars="0" w:right="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第二部分度部门决算情况说明</w:t>
      </w:r>
    </w:p>
    <w:p>
      <w:pPr>
        <w:pStyle w:val="14"/>
        <w:keepNext w:val="0"/>
        <w:keepLines w:val="0"/>
        <w:pageBreakBefore w:val="0"/>
        <w:kinsoku/>
        <w:wordWrap/>
        <w:overflowPunct/>
        <w:topLinePunct w:val="0"/>
        <w:autoSpaceDE/>
        <w:autoSpaceDN/>
        <w:bidi w:val="0"/>
        <w:adjustRightInd w:val="0"/>
        <w:snapToGrid w:val="0"/>
        <w:spacing w:line="576" w:lineRule="exact"/>
        <w:ind w:left="0" w:leftChars="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一、收入支出决算总体情况说明</w:t>
      </w:r>
    </w:p>
    <w:p>
      <w:pPr>
        <w:pStyle w:val="14"/>
        <w:keepNext w:val="0"/>
        <w:keepLines w:val="0"/>
        <w:pageBreakBefore w:val="0"/>
        <w:kinsoku/>
        <w:wordWrap/>
        <w:overflowPunct/>
        <w:topLinePunct w:val="0"/>
        <w:autoSpaceDE/>
        <w:autoSpaceDN/>
        <w:bidi w:val="0"/>
        <w:adjustRightInd w:val="0"/>
        <w:snapToGrid w:val="0"/>
        <w:spacing w:line="576" w:lineRule="exact"/>
        <w:ind w:left="0" w:leftChars="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二、收入决算情况说明</w:t>
      </w:r>
    </w:p>
    <w:p>
      <w:pPr>
        <w:pStyle w:val="14"/>
        <w:keepNext w:val="0"/>
        <w:keepLines w:val="0"/>
        <w:pageBreakBefore w:val="0"/>
        <w:kinsoku/>
        <w:wordWrap/>
        <w:overflowPunct/>
        <w:topLinePunct w:val="0"/>
        <w:autoSpaceDE/>
        <w:autoSpaceDN/>
        <w:bidi w:val="0"/>
        <w:adjustRightInd w:val="0"/>
        <w:snapToGrid w:val="0"/>
        <w:spacing w:line="576" w:lineRule="exact"/>
        <w:ind w:left="0" w:leftChars="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三、支出决算情况说明</w:t>
      </w:r>
    </w:p>
    <w:p>
      <w:pPr>
        <w:pStyle w:val="14"/>
        <w:keepNext w:val="0"/>
        <w:keepLines w:val="0"/>
        <w:pageBreakBefore w:val="0"/>
        <w:kinsoku/>
        <w:wordWrap/>
        <w:overflowPunct/>
        <w:topLinePunct w:val="0"/>
        <w:autoSpaceDE/>
        <w:autoSpaceDN/>
        <w:bidi w:val="0"/>
        <w:adjustRightInd w:val="0"/>
        <w:snapToGrid w:val="0"/>
        <w:spacing w:line="576" w:lineRule="exact"/>
        <w:ind w:left="0" w:leftChars="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四、财政拨款收入支出决算总体情况说明</w:t>
      </w:r>
    </w:p>
    <w:p>
      <w:pPr>
        <w:pStyle w:val="14"/>
        <w:keepNext w:val="0"/>
        <w:keepLines w:val="0"/>
        <w:pageBreakBefore w:val="0"/>
        <w:kinsoku/>
        <w:wordWrap/>
        <w:overflowPunct/>
        <w:topLinePunct w:val="0"/>
        <w:autoSpaceDE/>
        <w:autoSpaceDN/>
        <w:bidi w:val="0"/>
        <w:adjustRightInd w:val="0"/>
        <w:snapToGrid w:val="0"/>
        <w:spacing w:line="576" w:lineRule="exact"/>
        <w:ind w:left="0" w:leftChars="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五、一般公共预算财政拨款支出决算情况说明</w:t>
      </w:r>
    </w:p>
    <w:p>
      <w:pPr>
        <w:pStyle w:val="14"/>
        <w:keepNext w:val="0"/>
        <w:keepLines w:val="0"/>
        <w:pageBreakBefore w:val="0"/>
        <w:kinsoku/>
        <w:wordWrap/>
        <w:overflowPunct/>
        <w:topLinePunct w:val="0"/>
        <w:autoSpaceDE/>
        <w:autoSpaceDN/>
        <w:bidi w:val="0"/>
        <w:adjustRightInd w:val="0"/>
        <w:snapToGrid w:val="0"/>
        <w:spacing w:line="576" w:lineRule="exact"/>
        <w:ind w:left="0" w:leftChars="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六、一般公共预算财政拨款基本支出决算情况说明</w:t>
      </w:r>
    </w:p>
    <w:p>
      <w:pPr>
        <w:pStyle w:val="14"/>
        <w:keepNext w:val="0"/>
        <w:keepLines w:val="0"/>
        <w:pageBreakBefore w:val="0"/>
        <w:kinsoku/>
        <w:wordWrap/>
        <w:overflowPunct/>
        <w:topLinePunct w:val="0"/>
        <w:autoSpaceDE/>
        <w:autoSpaceDN/>
        <w:bidi w:val="0"/>
        <w:adjustRightInd w:val="0"/>
        <w:snapToGrid w:val="0"/>
        <w:spacing w:line="576" w:lineRule="exact"/>
        <w:ind w:left="0" w:leftChars="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七、“三公”经费财政拨款支出决算情况说明</w:t>
      </w:r>
    </w:p>
    <w:p>
      <w:pPr>
        <w:pStyle w:val="14"/>
        <w:keepNext w:val="0"/>
        <w:keepLines w:val="0"/>
        <w:pageBreakBefore w:val="0"/>
        <w:kinsoku/>
        <w:wordWrap/>
        <w:overflowPunct/>
        <w:topLinePunct w:val="0"/>
        <w:autoSpaceDE/>
        <w:autoSpaceDN/>
        <w:bidi w:val="0"/>
        <w:adjustRightInd w:val="0"/>
        <w:snapToGrid w:val="0"/>
        <w:spacing w:line="576" w:lineRule="exact"/>
        <w:ind w:left="0" w:leftChars="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八、政府性基金预算支出决算情况说明</w:t>
      </w:r>
    </w:p>
    <w:p>
      <w:pPr>
        <w:pStyle w:val="14"/>
        <w:keepNext w:val="0"/>
        <w:keepLines w:val="0"/>
        <w:pageBreakBefore w:val="0"/>
        <w:kinsoku/>
        <w:wordWrap/>
        <w:overflowPunct/>
        <w:topLinePunct w:val="0"/>
        <w:autoSpaceDE/>
        <w:autoSpaceDN/>
        <w:bidi w:val="0"/>
        <w:adjustRightInd w:val="0"/>
        <w:snapToGrid w:val="0"/>
        <w:spacing w:line="576" w:lineRule="exact"/>
        <w:ind w:left="0" w:leftChars="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 国有资本经营预算支出决算情况说明</w:t>
      </w:r>
    </w:p>
    <w:p>
      <w:pPr>
        <w:keepNext w:val="0"/>
        <w:keepLines w:val="0"/>
        <w:pageBreakBefore w:val="0"/>
        <w:kinsoku/>
        <w:wordWrap/>
        <w:overflowPunct/>
        <w:topLinePunct w:val="0"/>
        <w:autoSpaceDE/>
        <w:autoSpaceDN/>
        <w:bidi w:val="0"/>
        <w:adjustRightInd w:val="0"/>
        <w:snapToGrid w:val="0"/>
        <w:spacing w:line="576" w:lineRule="exact"/>
        <w:ind w:right="0"/>
        <w:jc w:val="left"/>
        <w:textAlignment w:val="auto"/>
        <w:rPr>
          <w:rFonts w:hint="default" w:ascii="Times New Roman" w:hAnsi="Times New Roman" w:eastAsia="方正仿宋_GBK" w:cs="Times New Roman"/>
          <w:sz w:val="32"/>
          <w:szCs w:val="32"/>
        </w:rPr>
      </w:pPr>
      <w:r>
        <w:rPr>
          <w:rStyle w:val="18"/>
          <w:rFonts w:hint="default" w:ascii="Times New Roman" w:hAnsi="Times New Roman" w:eastAsia="方正仿宋_GBK" w:cs="Times New Roman"/>
          <w:color w:val="000000" w:themeColor="text1"/>
          <w:sz w:val="32"/>
          <w:szCs w:val="32"/>
          <w:u w:val="none"/>
          <w14:textFill>
            <w14:solidFill>
              <w14:schemeClr w14:val="tx1"/>
            </w14:solidFill>
          </w14:textFill>
        </w:rPr>
        <w:t>十、</w:t>
      </w:r>
      <w:r>
        <w:rPr>
          <w:rFonts w:hint="default" w:ascii="Times New Roman" w:hAnsi="Times New Roman" w:eastAsia="方正仿宋_GBK" w:cs="Times New Roman"/>
          <w:sz w:val="32"/>
          <w:szCs w:val="32"/>
        </w:rPr>
        <w:t>其他重要事项的情况说明</w:t>
      </w:r>
      <w:r>
        <w:rPr>
          <w:rFonts w:hint="default" w:ascii="Times New Roman" w:hAnsi="Times New Roman" w:eastAsia="方正仿宋_GBK" w:cs="Times New Roman"/>
          <w:sz w:val="32"/>
          <w:szCs w:val="32"/>
        </w:rPr>
        <w:tab/>
      </w:r>
    </w:p>
    <w:p>
      <w:pPr>
        <w:pStyle w:val="13"/>
        <w:keepNext w:val="0"/>
        <w:keepLines w:val="0"/>
        <w:pageBreakBefore w:val="0"/>
        <w:kinsoku/>
        <w:wordWrap/>
        <w:overflowPunct/>
        <w:topLinePunct w:val="0"/>
        <w:autoSpaceDE/>
        <w:autoSpaceDN/>
        <w:bidi w:val="0"/>
        <w:adjustRightInd w:val="0"/>
        <w:snapToGrid w:val="0"/>
        <w:spacing w:before="0" w:line="576" w:lineRule="exact"/>
        <w:ind w:left="0" w:leftChars="0" w:right="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第三部分 名词解释</w:t>
      </w:r>
    </w:p>
    <w:p>
      <w:pPr>
        <w:pStyle w:val="13"/>
        <w:keepNext w:val="0"/>
        <w:keepLines w:val="0"/>
        <w:pageBreakBefore w:val="0"/>
        <w:kinsoku/>
        <w:wordWrap/>
        <w:overflowPunct/>
        <w:topLinePunct w:val="0"/>
        <w:autoSpaceDE/>
        <w:autoSpaceDN/>
        <w:bidi w:val="0"/>
        <w:adjustRightInd w:val="0"/>
        <w:snapToGrid w:val="0"/>
        <w:spacing w:before="0" w:line="576" w:lineRule="exact"/>
        <w:ind w:left="0" w:leftChars="0" w:right="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部分 附表</w:t>
      </w:r>
    </w:p>
    <w:p>
      <w:pPr>
        <w:pStyle w:val="14"/>
        <w:keepNext w:val="0"/>
        <w:keepLines w:val="0"/>
        <w:pageBreakBefore w:val="0"/>
        <w:kinsoku/>
        <w:wordWrap/>
        <w:overflowPunct/>
        <w:topLinePunct w:val="0"/>
        <w:autoSpaceDE/>
        <w:autoSpaceDN/>
        <w:bidi w:val="0"/>
        <w:adjustRightInd w:val="0"/>
        <w:snapToGrid w:val="0"/>
        <w:spacing w:line="576" w:lineRule="exact"/>
        <w:ind w:left="0" w:leftChars="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一、收入支出决算总表</w:t>
      </w:r>
    </w:p>
    <w:p>
      <w:pPr>
        <w:pStyle w:val="14"/>
        <w:keepNext w:val="0"/>
        <w:keepLines w:val="0"/>
        <w:pageBreakBefore w:val="0"/>
        <w:kinsoku/>
        <w:wordWrap/>
        <w:overflowPunct/>
        <w:topLinePunct w:val="0"/>
        <w:autoSpaceDE/>
        <w:autoSpaceDN/>
        <w:bidi w:val="0"/>
        <w:adjustRightInd w:val="0"/>
        <w:snapToGrid w:val="0"/>
        <w:spacing w:line="576" w:lineRule="exact"/>
        <w:ind w:left="0" w:leftChars="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二、收入决算表</w:t>
      </w:r>
    </w:p>
    <w:p>
      <w:pPr>
        <w:pStyle w:val="14"/>
        <w:keepNext w:val="0"/>
        <w:keepLines w:val="0"/>
        <w:pageBreakBefore w:val="0"/>
        <w:kinsoku/>
        <w:wordWrap/>
        <w:overflowPunct/>
        <w:topLinePunct w:val="0"/>
        <w:autoSpaceDE/>
        <w:autoSpaceDN/>
        <w:bidi w:val="0"/>
        <w:adjustRightInd w:val="0"/>
        <w:snapToGrid w:val="0"/>
        <w:spacing w:line="576" w:lineRule="exact"/>
        <w:ind w:left="0" w:leftChars="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三、支出决算表</w:t>
      </w:r>
    </w:p>
    <w:p>
      <w:pPr>
        <w:pStyle w:val="14"/>
        <w:keepNext w:val="0"/>
        <w:keepLines w:val="0"/>
        <w:pageBreakBefore w:val="0"/>
        <w:kinsoku/>
        <w:wordWrap/>
        <w:overflowPunct/>
        <w:topLinePunct w:val="0"/>
        <w:autoSpaceDE/>
        <w:autoSpaceDN/>
        <w:bidi w:val="0"/>
        <w:adjustRightInd w:val="0"/>
        <w:snapToGrid w:val="0"/>
        <w:spacing w:line="576" w:lineRule="exact"/>
        <w:ind w:left="0" w:leftChars="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四、财政拨款收入支出决算总表</w:t>
      </w:r>
    </w:p>
    <w:p>
      <w:pPr>
        <w:pStyle w:val="14"/>
        <w:keepNext w:val="0"/>
        <w:keepLines w:val="0"/>
        <w:pageBreakBefore w:val="0"/>
        <w:kinsoku/>
        <w:wordWrap/>
        <w:overflowPunct/>
        <w:topLinePunct w:val="0"/>
        <w:autoSpaceDE/>
        <w:autoSpaceDN/>
        <w:bidi w:val="0"/>
        <w:adjustRightInd w:val="0"/>
        <w:snapToGrid w:val="0"/>
        <w:spacing w:line="576" w:lineRule="exact"/>
        <w:ind w:left="0" w:leftChars="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五、财政拨款支出决算明细表</w:t>
      </w:r>
    </w:p>
    <w:p>
      <w:pPr>
        <w:pStyle w:val="14"/>
        <w:keepNext w:val="0"/>
        <w:keepLines w:val="0"/>
        <w:pageBreakBefore w:val="0"/>
        <w:kinsoku/>
        <w:wordWrap/>
        <w:overflowPunct/>
        <w:topLinePunct w:val="0"/>
        <w:autoSpaceDE/>
        <w:autoSpaceDN/>
        <w:bidi w:val="0"/>
        <w:adjustRightInd w:val="0"/>
        <w:snapToGrid w:val="0"/>
        <w:spacing w:line="576" w:lineRule="exact"/>
        <w:ind w:left="0" w:leftChars="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六、一般公共预算财政拨款支出决算表</w:t>
      </w:r>
    </w:p>
    <w:p>
      <w:pPr>
        <w:pStyle w:val="14"/>
        <w:keepNext w:val="0"/>
        <w:keepLines w:val="0"/>
        <w:pageBreakBefore w:val="0"/>
        <w:kinsoku/>
        <w:wordWrap/>
        <w:overflowPunct/>
        <w:topLinePunct w:val="0"/>
        <w:autoSpaceDE/>
        <w:autoSpaceDN/>
        <w:bidi w:val="0"/>
        <w:adjustRightInd w:val="0"/>
        <w:snapToGrid w:val="0"/>
        <w:spacing w:line="576" w:lineRule="exact"/>
        <w:ind w:left="0" w:leftChars="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七、一般公共预算财政拨款支出决算明细表</w:t>
      </w:r>
    </w:p>
    <w:p>
      <w:pPr>
        <w:pStyle w:val="14"/>
        <w:keepNext w:val="0"/>
        <w:keepLines w:val="0"/>
        <w:pageBreakBefore w:val="0"/>
        <w:kinsoku/>
        <w:wordWrap/>
        <w:overflowPunct/>
        <w:topLinePunct w:val="0"/>
        <w:autoSpaceDE/>
        <w:autoSpaceDN/>
        <w:bidi w:val="0"/>
        <w:adjustRightInd w:val="0"/>
        <w:snapToGrid w:val="0"/>
        <w:spacing w:line="576" w:lineRule="exact"/>
        <w:ind w:left="0" w:leftChars="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八、一般公共预算财政拨款基本支出决算表</w:t>
      </w:r>
    </w:p>
    <w:p>
      <w:pPr>
        <w:pStyle w:val="14"/>
        <w:keepNext w:val="0"/>
        <w:keepLines w:val="0"/>
        <w:pageBreakBefore w:val="0"/>
        <w:kinsoku/>
        <w:wordWrap/>
        <w:overflowPunct/>
        <w:topLinePunct w:val="0"/>
        <w:autoSpaceDE/>
        <w:autoSpaceDN/>
        <w:bidi w:val="0"/>
        <w:adjustRightInd w:val="0"/>
        <w:snapToGrid w:val="0"/>
        <w:spacing w:line="576" w:lineRule="exact"/>
        <w:ind w:left="0" w:leftChars="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九、一般公共预算财政拨款项目支出决算表</w:t>
      </w:r>
    </w:p>
    <w:p>
      <w:pPr>
        <w:pStyle w:val="14"/>
        <w:keepNext w:val="0"/>
        <w:keepLines w:val="0"/>
        <w:pageBreakBefore w:val="0"/>
        <w:kinsoku/>
        <w:wordWrap/>
        <w:overflowPunct/>
        <w:topLinePunct w:val="0"/>
        <w:autoSpaceDE/>
        <w:autoSpaceDN/>
        <w:bidi w:val="0"/>
        <w:adjustRightInd w:val="0"/>
        <w:snapToGrid w:val="0"/>
        <w:spacing w:line="576" w:lineRule="exact"/>
        <w:ind w:left="0" w:leftChars="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十、一般公共预算财政拨款“三公”经费支出决算表</w:t>
      </w:r>
    </w:p>
    <w:p>
      <w:pPr>
        <w:pStyle w:val="14"/>
        <w:keepNext w:val="0"/>
        <w:keepLines w:val="0"/>
        <w:pageBreakBefore w:val="0"/>
        <w:kinsoku/>
        <w:wordWrap/>
        <w:overflowPunct/>
        <w:topLinePunct w:val="0"/>
        <w:autoSpaceDE/>
        <w:autoSpaceDN/>
        <w:bidi w:val="0"/>
        <w:adjustRightInd w:val="0"/>
        <w:snapToGrid w:val="0"/>
        <w:spacing w:line="576" w:lineRule="exact"/>
        <w:ind w:left="0" w:leftChars="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十一、政府性基金预算财政拨款收入支出决算表</w:t>
      </w:r>
    </w:p>
    <w:p>
      <w:pPr>
        <w:pStyle w:val="14"/>
        <w:keepNext w:val="0"/>
        <w:keepLines w:val="0"/>
        <w:pageBreakBefore w:val="0"/>
        <w:kinsoku/>
        <w:wordWrap/>
        <w:overflowPunct/>
        <w:topLinePunct w:val="0"/>
        <w:autoSpaceDE/>
        <w:autoSpaceDN/>
        <w:bidi w:val="0"/>
        <w:adjustRightInd w:val="0"/>
        <w:snapToGrid w:val="0"/>
        <w:spacing w:line="576" w:lineRule="exact"/>
        <w:ind w:left="0" w:leftChars="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十二、政府性基金预算财政拨款“三公”经费支出决算表</w:t>
      </w:r>
    </w:p>
    <w:p>
      <w:pPr>
        <w:pStyle w:val="14"/>
        <w:keepNext w:val="0"/>
        <w:keepLines w:val="0"/>
        <w:pageBreakBefore w:val="0"/>
        <w:kinsoku/>
        <w:wordWrap/>
        <w:overflowPunct/>
        <w:topLinePunct w:val="0"/>
        <w:autoSpaceDE/>
        <w:autoSpaceDN/>
        <w:bidi w:val="0"/>
        <w:adjustRightInd w:val="0"/>
        <w:snapToGrid w:val="0"/>
        <w:spacing w:line="576" w:lineRule="exact"/>
        <w:ind w:left="0" w:leftChars="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十三、国有资本经营预算支出决算表</w:t>
      </w:r>
    </w:p>
    <w:bookmarkEnd w:id="70"/>
    <w:p>
      <w:pPr>
        <w:keepNext w:val="0"/>
        <w:keepLines w:val="0"/>
        <w:pageBreakBefore w:val="0"/>
        <w:widowControl/>
        <w:kinsoku/>
        <w:wordWrap/>
        <w:overflowPunct/>
        <w:topLinePunct w:val="0"/>
        <w:autoSpaceDE/>
        <w:autoSpaceDN/>
        <w:bidi w:val="0"/>
        <w:spacing w:line="576" w:lineRule="exact"/>
        <w:ind w:left="0" w:leftChars="0" w:right="0"/>
        <w:jc w:val="left"/>
        <w:textAlignment w:val="auto"/>
        <w:rPr>
          <w:rFonts w:hint="default" w:ascii="Times New Roman" w:hAnsi="Times New Roman" w:eastAsia="方正仿宋_GBK" w:cs="Times New Roman"/>
          <w:bCs/>
          <w:kern w:val="44"/>
          <w:sz w:val="32"/>
          <w:szCs w:val="32"/>
        </w:rPr>
      </w:pPr>
      <w:bookmarkStart w:id="12" w:name="_Toc15396599"/>
      <w:bookmarkStart w:id="13" w:name="_Toc15377196"/>
      <w:r>
        <w:rPr>
          <w:rFonts w:hint="default" w:ascii="Times New Roman" w:hAnsi="Times New Roman" w:eastAsia="方正仿宋_GBK" w:cs="Times New Roman"/>
          <w:b/>
          <w:sz w:val="32"/>
          <w:szCs w:val="32"/>
        </w:rPr>
        <w:br w:type="page"/>
      </w:r>
    </w:p>
    <w:p>
      <w:pPr>
        <w:pStyle w:val="6"/>
        <w:keepNext/>
        <w:keepLines/>
        <w:pageBreakBefore w:val="0"/>
        <w:widowControl w:val="0"/>
        <w:kinsoku/>
        <w:wordWrap/>
        <w:overflowPunct/>
        <w:topLinePunct w:val="0"/>
        <w:autoSpaceDE/>
        <w:autoSpaceDN/>
        <w:bidi w:val="0"/>
        <w:adjustRightInd/>
        <w:snapToGrid/>
        <w:spacing w:before="0" w:after="0" w:line="600" w:lineRule="exact"/>
        <w:ind w:left="0" w:leftChars="0" w:right="0"/>
        <w:jc w:val="center"/>
        <w:textAlignment w:val="auto"/>
        <w:rPr>
          <w:rStyle w:val="27"/>
          <w:rFonts w:hint="eastAsia" w:ascii="方正小标宋_GBK" w:hAnsi="方正小标宋_GBK" w:eastAsia="方正小标宋_GBK" w:cs="方正小标宋_GBK"/>
          <w:b/>
          <w:bCs w:val="0"/>
        </w:rPr>
      </w:pPr>
      <w:r>
        <w:rPr>
          <w:rFonts w:hint="eastAsia" w:ascii="方正小标宋_GBK" w:hAnsi="方正小标宋_GBK" w:eastAsia="方正小标宋_GBK" w:cs="方正小标宋_GBK"/>
          <w:b w:val="0"/>
        </w:rPr>
        <w:t xml:space="preserve">第一部分 </w:t>
      </w:r>
      <w:r>
        <w:rPr>
          <w:rStyle w:val="27"/>
          <w:rFonts w:hint="eastAsia" w:ascii="方正小标宋_GBK" w:hAnsi="方正小标宋_GBK" w:eastAsia="方正小标宋_GBK" w:cs="方正小标宋_GBK"/>
          <w:b w:val="0"/>
          <w:bCs w:val="0"/>
        </w:rPr>
        <w:t>部门概况</w:t>
      </w:r>
      <w:bookmarkEnd w:id="12"/>
      <w:bookmarkEnd w:id="13"/>
    </w:p>
    <w:p>
      <w:pPr>
        <w:pageBreakBefore w:val="0"/>
        <w:widowControl/>
        <w:kinsoku/>
        <w:wordWrap/>
        <w:overflowPunct/>
        <w:topLinePunct w:val="0"/>
        <w:bidi w:val="0"/>
        <w:ind w:left="0" w:leftChars="0" w:right="0"/>
        <w:jc w:val="left"/>
        <w:textAlignment w:val="auto"/>
        <w:rPr>
          <w:rFonts w:ascii="黑体" w:eastAsia="黑体"/>
          <w:color w:val="000000"/>
          <w:sz w:val="32"/>
          <w:szCs w:val="32"/>
        </w:rPr>
      </w:pPr>
    </w:p>
    <w:p>
      <w:pPr>
        <w:pStyle w:val="7"/>
        <w:pageBreakBefore w:val="0"/>
        <w:widowControl w:val="0"/>
        <w:numPr>
          <w:ilvl w:val="0"/>
          <w:numId w:val="0"/>
        </w:numPr>
        <w:kinsoku/>
        <w:wordWrap/>
        <w:overflowPunct/>
        <w:topLinePunct w:val="0"/>
        <w:autoSpaceDE/>
        <w:autoSpaceDN/>
        <w:bidi w:val="0"/>
        <w:spacing w:before="0" w:after="0" w:line="600" w:lineRule="exact"/>
        <w:ind w:leftChars="0" w:right="0" w:rightChars="0" w:firstLine="640" w:firstLineChars="200"/>
        <w:textAlignment w:val="auto"/>
        <w:rPr>
          <w:rStyle w:val="28"/>
          <w:rFonts w:hint="eastAsia" w:ascii="方正黑体_GBK" w:hAnsi="方正黑体_GBK" w:eastAsia="方正黑体_GBK" w:cs="方正黑体_GBK"/>
          <w:b w:val="0"/>
          <w:bCs/>
        </w:rPr>
      </w:pPr>
      <w:bookmarkStart w:id="14" w:name="_Toc15377197"/>
      <w:bookmarkStart w:id="15" w:name="_Toc15396600"/>
      <w:r>
        <w:rPr>
          <w:rFonts w:hint="eastAsia" w:ascii="方正黑体_GBK" w:hAnsi="方正黑体_GBK" w:eastAsia="方正黑体_GBK" w:cs="方正黑体_GBK"/>
          <w:b w:val="0"/>
          <w:bCs/>
          <w:color w:val="000000"/>
          <w:lang w:eastAsia="zh-CN"/>
        </w:rPr>
        <w:t>一、</w:t>
      </w:r>
      <w:r>
        <w:rPr>
          <w:rFonts w:hint="eastAsia" w:ascii="方正黑体_GBK" w:hAnsi="方正黑体_GBK" w:eastAsia="方正黑体_GBK" w:cs="方正黑体_GBK"/>
          <w:b w:val="0"/>
          <w:bCs/>
          <w:color w:val="000000"/>
        </w:rPr>
        <w:t>基</w:t>
      </w:r>
      <w:r>
        <w:rPr>
          <w:rStyle w:val="28"/>
          <w:rFonts w:hint="eastAsia" w:ascii="方正黑体_GBK" w:hAnsi="方正黑体_GBK" w:eastAsia="方正黑体_GBK" w:cs="方正黑体_GBK"/>
          <w:b w:val="0"/>
          <w:bCs/>
        </w:rPr>
        <w:t>本职能及主要工作</w:t>
      </w:r>
      <w:bookmarkEnd w:id="14"/>
      <w:bookmarkEnd w:id="15"/>
      <w:bookmarkStart w:id="16" w:name="_Toc15377198"/>
      <w:bookmarkStart w:id="17" w:name="_Toc15378445"/>
    </w:p>
    <w:p>
      <w:pPr>
        <w:pStyle w:val="7"/>
        <w:pageBreakBefore w:val="0"/>
        <w:widowControl w:val="0"/>
        <w:numPr>
          <w:ilvl w:val="0"/>
          <w:numId w:val="0"/>
        </w:numPr>
        <w:kinsoku/>
        <w:wordWrap/>
        <w:overflowPunct/>
        <w:topLinePunct w:val="0"/>
        <w:autoSpaceDE/>
        <w:autoSpaceDN/>
        <w:bidi w:val="0"/>
        <w:spacing w:before="0" w:after="0" w:line="600" w:lineRule="exact"/>
        <w:ind w:right="0" w:rightChars="0" w:firstLine="643" w:firstLineChars="200"/>
        <w:textAlignment w:val="auto"/>
        <w:rPr>
          <w:rFonts w:hint="eastAsia" w:ascii="方正楷体_GBK" w:hAnsi="方正楷体_GBK" w:eastAsia="方正楷体_GBK" w:cs="方正楷体_GBK"/>
          <w:b/>
          <w:bCs w:val="0"/>
          <w:color w:val="000000"/>
          <w:sz w:val="32"/>
          <w:szCs w:val="32"/>
        </w:rPr>
      </w:pPr>
      <w:r>
        <w:rPr>
          <w:rFonts w:hint="eastAsia" w:ascii="方正楷体_GBK" w:hAnsi="方正楷体_GBK" w:eastAsia="方正楷体_GBK" w:cs="方正楷体_GBK"/>
          <w:b/>
          <w:bCs w:val="0"/>
          <w:color w:val="000000"/>
          <w:sz w:val="32"/>
          <w:szCs w:val="32"/>
          <w:lang w:eastAsia="zh-CN"/>
        </w:rPr>
        <w:t>（一）</w:t>
      </w:r>
      <w:r>
        <w:rPr>
          <w:rFonts w:hint="eastAsia" w:ascii="方正楷体_GBK" w:hAnsi="方正楷体_GBK" w:eastAsia="方正楷体_GBK" w:cs="方正楷体_GBK"/>
          <w:b/>
          <w:bCs w:val="0"/>
          <w:color w:val="000000"/>
          <w:sz w:val="32"/>
          <w:szCs w:val="32"/>
        </w:rPr>
        <w:t>主要职能。</w:t>
      </w:r>
      <w:bookmarkEnd w:id="16"/>
      <w:bookmarkEnd w:id="17"/>
      <w:bookmarkStart w:id="18" w:name="_Toc15378446"/>
      <w:bookmarkStart w:id="19" w:name="_Toc15377199"/>
    </w:p>
    <w:p>
      <w:pPr>
        <w:pStyle w:val="7"/>
        <w:pageBreakBefore w:val="0"/>
        <w:widowControl w:val="0"/>
        <w:numPr>
          <w:ilvl w:val="0"/>
          <w:numId w:val="0"/>
        </w:numPr>
        <w:kinsoku/>
        <w:wordWrap/>
        <w:overflowPunct/>
        <w:topLinePunct w:val="0"/>
        <w:autoSpaceDE/>
        <w:autoSpaceDN/>
        <w:bidi w:val="0"/>
        <w:spacing w:before="0" w:after="0" w:line="600" w:lineRule="exact"/>
        <w:ind w:left="0" w:leftChars="0" w:right="0" w:firstLine="640" w:firstLineChars="200"/>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负责宣传贯彻土地、矿产资源管理法律法规和方针政策，并监督检查执行情况；受委托权限对土地、矿产资源规划、开发、利用、保护、管理、整理和权属变更进行监督；开展动态巡查，发现和制止国土资源违法行为，负责辖区内土地、矿产方面违法案件的调查核实工作；协助调处土地、矿业权纠纷；依法对土地和矿产市场实施监督和检查；承办国土资源主管部门交办的相关行政执法工作。</w:t>
      </w:r>
    </w:p>
    <w:p>
      <w:pPr>
        <w:pStyle w:val="7"/>
        <w:pageBreakBefore w:val="0"/>
        <w:widowControl w:val="0"/>
        <w:numPr>
          <w:ilvl w:val="0"/>
          <w:numId w:val="0"/>
        </w:numPr>
        <w:kinsoku/>
        <w:wordWrap/>
        <w:overflowPunct/>
        <w:topLinePunct w:val="0"/>
        <w:autoSpaceDE/>
        <w:autoSpaceDN/>
        <w:bidi w:val="0"/>
        <w:spacing w:before="0" w:after="0" w:line="600" w:lineRule="exact"/>
        <w:ind w:right="0" w:rightChars="0" w:firstLine="643" w:firstLineChars="200"/>
        <w:textAlignment w:val="auto"/>
        <w:rPr>
          <w:rFonts w:hint="default" w:ascii="方正楷体_GBK" w:hAnsi="方正楷体_GBK" w:eastAsia="方正楷体_GBK" w:cs="方正楷体_GBK"/>
          <w:b/>
          <w:bCs w:val="0"/>
          <w:color w:val="000000"/>
          <w:sz w:val="32"/>
          <w:szCs w:val="32"/>
          <w:lang w:eastAsia="zh-CN"/>
        </w:rPr>
      </w:pPr>
      <w:r>
        <w:rPr>
          <w:rFonts w:hint="default" w:ascii="方正楷体_GBK" w:hAnsi="方正楷体_GBK" w:eastAsia="方正楷体_GBK" w:cs="方正楷体_GBK"/>
          <w:b/>
          <w:bCs w:val="0"/>
          <w:color w:val="000000"/>
          <w:sz w:val="32"/>
          <w:szCs w:val="32"/>
          <w:lang w:val="en-US" w:eastAsia="zh-CN"/>
        </w:rPr>
        <w:t>（二）机构人员情况</w:t>
      </w:r>
      <w:r>
        <w:rPr>
          <w:rFonts w:hint="default" w:ascii="方正楷体_GBK" w:hAnsi="方正楷体_GBK" w:eastAsia="方正楷体_GBK" w:cs="方正楷体_GBK"/>
          <w:b/>
          <w:bCs w:val="0"/>
          <w:color w:val="000000"/>
          <w:sz w:val="32"/>
          <w:szCs w:val="32"/>
          <w:lang w:eastAsia="zh-CN"/>
        </w:rPr>
        <w:t>。</w:t>
      </w:r>
    </w:p>
    <w:p>
      <w:pPr>
        <w:pStyle w:val="5"/>
        <w:pageBreakBefore w:val="0"/>
        <w:widowControl w:val="0"/>
        <w:kinsoku/>
        <w:wordWrap/>
        <w:overflowPunct/>
        <w:topLinePunct w:val="0"/>
        <w:autoSpaceDE/>
        <w:autoSpaceDN/>
        <w:bidi w:val="0"/>
        <w:adjustRightInd w:val="0"/>
        <w:snapToGrid w:val="0"/>
        <w:spacing w:beforeLines="0" w:line="600" w:lineRule="exact"/>
        <w:ind w:left="0" w:leftChars="0" w:right="0" w:firstLine="640" w:firstLineChars="200"/>
        <w:textAlignment w:val="auto"/>
        <w:outlineLvl w:val="2"/>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20</w:t>
      </w:r>
      <w:r>
        <w:rPr>
          <w:rFonts w:hint="default" w:ascii="Times New Roman" w:hAnsi="Times New Roman" w:eastAsia="方正仿宋_GBK" w:cs="Times New Roman"/>
          <w:b w:val="0"/>
          <w:bCs/>
          <w:sz w:val="32"/>
          <w:szCs w:val="32"/>
          <w:lang w:val="en-US" w:eastAsia="zh-CN"/>
        </w:rPr>
        <w:t>20</w:t>
      </w:r>
      <w:r>
        <w:rPr>
          <w:rFonts w:hint="default" w:ascii="Times New Roman" w:hAnsi="Times New Roman" w:eastAsia="方正仿宋_GBK" w:cs="Times New Roman"/>
          <w:b w:val="0"/>
          <w:bCs/>
          <w:sz w:val="32"/>
          <w:szCs w:val="32"/>
        </w:rPr>
        <w:t>年财政预算供给人员共</w:t>
      </w:r>
      <w:r>
        <w:rPr>
          <w:rFonts w:hint="default" w:ascii="Times New Roman" w:hAnsi="Times New Roman" w:eastAsia="方正仿宋_GBK" w:cs="Times New Roman"/>
          <w:b w:val="0"/>
          <w:bCs/>
          <w:sz w:val="32"/>
          <w:szCs w:val="32"/>
          <w:lang w:val="en-US" w:eastAsia="zh-CN"/>
        </w:rPr>
        <w:t>28</w:t>
      </w:r>
      <w:r>
        <w:rPr>
          <w:rFonts w:hint="default" w:ascii="Times New Roman" w:hAnsi="Times New Roman" w:eastAsia="方正仿宋_GBK" w:cs="Times New Roman"/>
          <w:b w:val="0"/>
          <w:bCs/>
          <w:sz w:val="32"/>
          <w:szCs w:val="32"/>
        </w:rPr>
        <w:t>人</w:t>
      </w:r>
    </w:p>
    <w:p>
      <w:pPr>
        <w:pStyle w:val="7"/>
        <w:pageBreakBefore w:val="0"/>
        <w:widowControl w:val="0"/>
        <w:numPr>
          <w:ilvl w:val="0"/>
          <w:numId w:val="0"/>
        </w:numPr>
        <w:kinsoku/>
        <w:wordWrap/>
        <w:overflowPunct/>
        <w:topLinePunct w:val="0"/>
        <w:autoSpaceDE/>
        <w:autoSpaceDN/>
        <w:bidi w:val="0"/>
        <w:spacing w:before="0" w:after="0" w:line="600" w:lineRule="exact"/>
        <w:ind w:right="0" w:rightChars="0" w:firstLine="643" w:firstLineChars="200"/>
        <w:textAlignment w:val="auto"/>
        <w:rPr>
          <w:rFonts w:hint="default" w:ascii="方正楷体_GBK" w:hAnsi="方正楷体_GBK" w:eastAsia="方正楷体_GBK" w:cs="方正楷体_GBK"/>
          <w:b/>
          <w:bCs w:val="0"/>
          <w:color w:val="000000"/>
          <w:sz w:val="32"/>
          <w:szCs w:val="32"/>
          <w:lang w:eastAsia="zh-CN"/>
        </w:rPr>
      </w:pPr>
      <w:r>
        <w:rPr>
          <w:rFonts w:hint="default" w:ascii="方正楷体_GBK" w:hAnsi="方正楷体_GBK" w:eastAsia="方正楷体_GBK" w:cs="方正楷体_GBK"/>
          <w:b/>
          <w:bCs w:val="0"/>
          <w:color w:val="000000"/>
          <w:sz w:val="32"/>
          <w:szCs w:val="32"/>
          <w:lang w:val="en-US" w:eastAsia="zh-CN"/>
        </w:rPr>
        <w:t>（三）2020年重点工作完成情况。</w:t>
      </w:r>
      <w:bookmarkEnd w:id="18"/>
      <w:bookmarkEnd w:id="19"/>
    </w:p>
    <w:p>
      <w:pPr>
        <w:pStyle w:val="5"/>
        <w:pageBreakBefore w:val="0"/>
        <w:widowControl w:val="0"/>
        <w:numPr>
          <w:ilvl w:val="0"/>
          <w:numId w:val="1"/>
        </w:numPr>
        <w:kinsoku/>
        <w:wordWrap/>
        <w:overflowPunct/>
        <w:topLinePunct w:val="0"/>
        <w:autoSpaceDE/>
        <w:autoSpaceDN/>
        <w:bidi w:val="0"/>
        <w:adjustRightInd w:val="0"/>
        <w:snapToGrid w:val="0"/>
        <w:spacing w:beforeLines="0" w:line="600" w:lineRule="exact"/>
        <w:ind w:left="0" w:leftChars="0" w:right="0" w:firstLine="640" w:firstLineChars="200"/>
        <w:textAlignment w:val="auto"/>
        <w:outlineLvl w:val="2"/>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eastAsia="方正仿宋_GBK" w:cs="Times New Roman"/>
          <w:b w:val="0"/>
          <w:bCs/>
          <w:kern w:val="2"/>
          <w:sz w:val="32"/>
          <w:szCs w:val="32"/>
          <w:lang w:val="en-US" w:eastAsia="zh-CN" w:bidi="ar-SA"/>
        </w:rPr>
        <w:t>土地矿产、在建工程动态巡查情况；2、“散乱污”专项整治情况；3、“违建别墅”专项清理整治情况；4、土地矿产卫片执法情况；5、开展农村乱占耕地建房问题整治摸排工作情况；6、加大宣传力度，扩大覆盖面。</w:t>
      </w:r>
    </w:p>
    <w:p>
      <w:pPr>
        <w:pStyle w:val="5"/>
        <w:pageBreakBefore w:val="0"/>
        <w:widowControl w:val="0"/>
        <w:numPr>
          <w:ilvl w:val="0"/>
          <w:numId w:val="0"/>
        </w:numPr>
        <w:kinsoku/>
        <w:wordWrap/>
        <w:overflowPunct/>
        <w:topLinePunct w:val="0"/>
        <w:autoSpaceDE/>
        <w:autoSpaceDN/>
        <w:bidi w:val="0"/>
        <w:adjustRightInd w:val="0"/>
        <w:snapToGrid w:val="0"/>
        <w:spacing w:beforeLines="0" w:line="600" w:lineRule="exact"/>
        <w:ind w:right="0" w:rightChars="0"/>
        <w:jc w:val="both"/>
        <w:textAlignment w:val="auto"/>
        <w:outlineLvl w:val="2"/>
        <w:rPr>
          <w:rFonts w:hint="default" w:ascii="Times New Roman" w:hAnsi="Times New Roman" w:eastAsia="方正仿宋_GBK" w:cs="Times New Roman"/>
          <w:b w:val="0"/>
          <w:bCs/>
          <w:kern w:val="2"/>
          <w:sz w:val="32"/>
          <w:szCs w:val="32"/>
          <w:lang w:val="en-US" w:eastAsia="zh-CN" w:bidi="ar-SA"/>
        </w:rPr>
      </w:pPr>
    </w:p>
    <w:p>
      <w:pPr>
        <w:pStyle w:val="5"/>
        <w:pageBreakBefore w:val="0"/>
        <w:widowControl w:val="0"/>
        <w:numPr>
          <w:ilvl w:val="0"/>
          <w:numId w:val="0"/>
        </w:numPr>
        <w:kinsoku/>
        <w:wordWrap/>
        <w:overflowPunct/>
        <w:topLinePunct w:val="0"/>
        <w:autoSpaceDE/>
        <w:autoSpaceDN/>
        <w:bidi w:val="0"/>
        <w:adjustRightInd w:val="0"/>
        <w:snapToGrid w:val="0"/>
        <w:spacing w:beforeLines="0" w:line="600" w:lineRule="exact"/>
        <w:ind w:right="0" w:rightChars="0"/>
        <w:jc w:val="both"/>
        <w:textAlignment w:val="auto"/>
        <w:outlineLvl w:val="2"/>
        <w:rPr>
          <w:rFonts w:hint="default" w:ascii="Times New Roman" w:hAnsi="Times New Roman" w:eastAsia="方正仿宋_GBK" w:cs="Times New Roman"/>
          <w:b w:val="0"/>
          <w:bCs/>
          <w:kern w:val="2"/>
          <w:sz w:val="32"/>
          <w:szCs w:val="32"/>
          <w:lang w:val="en-US" w:eastAsia="zh-CN" w:bidi="ar-SA"/>
        </w:rPr>
      </w:pPr>
    </w:p>
    <w:p>
      <w:pPr>
        <w:pStyle w:val="5"/>
        <w:pageBreakBefore w:val="0"/>
        <w:widowControl w:val="0"/>
        <w:numPr>
          <w:ilvl w:val="0"/>
          <w:numId w:val="0"/>
        </w:numPr>
        <w:kinsoku/>
        <w:wordWrap/>
        <w:overflowPunct/>
        <w:topLinePunct w:val="0"/>
        <w:autoSpaceDE/>
        <w:autoSpaceDN/>
        <w:bidi w:val="0"/>
        <w:adjustRightInd w:val="0"/>
        <w:snapToGrid w:val="0"/>
        <w:spacing w:beforeLines="0" w:line="600" w:lineRule="exact"/>
        <w:ind w:right="0" w:rightChars="0"/>
        <w:jc w:val="both"/>
        <w:textAlignment w:val="auto"/>
        <w:outlineLvl w:val="2"/>
        <w:rPr>
          <w:rFonts w:hint="default" w:ascii="Times New Roman" w:hAnsi="Times New Roman" w:eastAsia="方正仿宋_GBK" w:cs="Times New Roman"/>
          <w:b w:val="0"/>
          <w:bCs/>
          <w:kern w:val="2"/>
          <w:sz w:val="32"/>
          <w:szCs w:val="32"/>
          <w:lang w:val="en-US" w:eastAsia="zh-CN" w:bidi="ar-SA"/>
        </w:rPr>
      </w:pPr>
    </w:p>
    <w:p>
      <w:pPr>
        <w:pStyle w:val="5"/>
        <w:pageBreakBefore w:val="0"/>
        <w:widowControl w:val="0"/>
        <w:numPr>
          <w:ilvl w:val="0"/>
          <w:numId w:val="0"/>
        </w:numPr>
        <w:kinsoku/>
        <w:wordWrap/>
        <w:overflowPunct/>
        <w:topLinePunct w:val="0"/>
        <w:autoSpaceDE/>
        <w:autoSpaceDN/>
        <w:bidi w:val="0"/>
        <w:adjustRightInd w:val="0"/>
        <w:snapToGrid w:val="0"/>
        <w:spacing w:beforeLines="0" w:line="600" w:lineRule="exact"/>
        <w:ind w:right="0" w:rightChars="0"/>
        <w:jc w:val="both"/>
        <w:textAlignment w:val="auto"/>
        <w:outlineLvl w:val="2"/>
        <w:rPr>
          <w:rFonts w:hint="default" w:ascii="Times New Roman" w:hAnsi="Times New Roman" w:eastAsia="方正仿宋_GBK" w:cs="Times New Roman"/>
          <w:b w:val="0"/>
          <w:bCs/>
          <w:kern w:val="2"/>
          <w:sz w:val="32"/>
          <w:szCs w:val="32"/>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jc w:val="center"/>
        <w:textAlignment w:val="auto"/>
        <w:rPr>
          <w:rFonts w:hint="eastAsia" w:ascii="方正小标宋_GBK" w:hAnsi="方正小标宋_GBK" w:eastAsia="方正小标宋_GBK" w:cs="方正小标宋_GBK"/>
          <w:b w:val="0"/>
        </w:rPr>
      </w:pPr>
      <w:bookmarkStart w:id="20" w:name="_Toc15396602"/>
      <w:bookmarkStart w:id="21" w:name="_Toc15377204"/>
      <w:r>
        <w:rPr>
          <w:rFonts w:hint="eastAsia" w:ascii="方正小标宋_GBK" w:hAnsi="方正小标宋_GBK" w:eastAsia="方正小标宋_GBK" w:cs="方正小标宋_GBK"/>
          <w:b w:val="0"/>
        </w:rPr>
        <w:t>第二部分 20</w:t>
      </w:r>
      <w:r>
        <w:rPr>
          <w:rFonts w:hint="eastAsia" w:ascii="方正小标宋_GBK" w:hAnsi="方正小标宋_GBK" w:eastAsia="方正小标宋_GBK" w:cs="方正小标宋_GBK"/>
          <w:b w:val="0"/>
          <w:lang w:val="en-US" w:eastAsia="zh-CN"/>
        </w:rPr>
        <w:t>20</w:t>
      </w:r>
      <w:r>
        <w:rPr>
          <w:rFonts w:hint="eastAsia" w:ascii="方正小标宋_GBK" w:hAnsi="方正小标宋_GBK" w:eastAsia="方正小标宋_GBK" w:cs="方正小标宋_GBK"/>
          <w:b w:val="0"/>
        </w:rPr>
        <w:t>年度部门决算情况说明</w:t>
      </w:r>
      <w:bookmarkEnd w:id="20"/>
      <w:bookmarkEnd w:id="21"/>
    </w:p>
    <w:p>
      <w:pPr>
        <w:keepNext w:val="0"/>
        <w:keepLines w:val="0"/>
        <w:pageBreakBefore w:val="0"/>
        <w:widowControl w:val="0"/>
        <w:kinsoku/>
        <w:wordWrap/>
        <w:overflowPunct/>
        <w:topLinePunct w:val="0"/>
        <w:autoSpaceDE/>
        <w:autoSpaceDN/>
        <w:bidi w:val="0"/>
        <w:adjustRightInd/>
        <w:snapToGrid/>
        <w:spacing w:line="600" w:lineRule="exact"/>
        <w:ind w:left="0" w:leftChars="0" w:right="0"/>
        <w:textAlignment w:val="auto"/>
      </w:pPr>
    </w:p>
    <w:p>
      <w:pPr>
        <w:pStyle w:val="2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rightChars="0" w:firstLine="640" w:firstLineChars="200"/>
        <w:textAlignment w:val="auto"/>
        <w:outlineLvl w:val="1"/>
        <w:rPr>
          <w:rStyle w:val="28"/>
          <w:rFonts w:ascii="黑体" w:hAnsi="黑体" w:eastAsia="黑体"/>
          <w:b w:val="0"/>
        </w:rPr>
      </w:pPr>
      <w:bookmarkStart w:id="22" w:name="_Toc15377205"/>
      <w:bookmarkStart w:id="23" w:name="_Toc15396603"/>
      <w:r>
        <w:rPr>
          <w:rFonts w:hint="eastAsia" w:ascii="黑体" w:hAnsi="黑体" w:eastAsia="黑体"/>
          <w:color w:val="000000"/>
          <w:sz w:val="32"/>
          <w:szCs w:val="32"/>
          <w:lang w:eastAsia="zh-CN"/>
        </w:rPr>
        <w:t>一、</w:t>
      </w:r>
      <w:r>
        <w:rPr>
          <w:rFonts w:hint="eastAsia" w:ascii="黑体" w:hAnsi="黑体" w:eastAsia="黑体"/>
          <w:color w:val="000000"/>
          <w:sz w:val="32"/>
          <w:szCs w:val="32"/>
        </w:rPr>
        <w:t>收</w:t>
      </w:r>
      <w:r>
        <w:rPr>
          <w:rStyle w:val="28"/>
          <w:rFonts w:hint="eastAsia" w:ascii="黑体" w:hAnsi="黑体" w:eastAsia="黑体"/>
          <w:b w:val="0"/>
        </w:rPr>
        <w:t>入支出决算总体情况说明</w:t>
      </w:r>
      <w:bookmarkEnd w:id="22"/>
      <w:bookmarkEnd w:id="23"/>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w:t>
      </w:r>
      <w:r>
        <w:rPr>
          <w:rFonts w:hint="default" w:ascii="Times New Roman" w:hAnsi="Times New Roman" w:eastAsia="方正仿宋_GBK" w:cs="Times New Roman"/>
          <w:color w:val="000000"/>
          <w:sz w:val="32"/>
          <w:szCs w:val="32"/>
          <w:lang w:val="en-US" w:eastAsia="zh-CN"/>
        </w:rPr>
        <w:t>20</w:t>
      </w:r>
      <w:r>
        <w:rPr>
          <w:rFonts w:hint="default" w:ascii="Times New Roman" w:hAnsi="Times New Roman" w:eastAsia="方正仿宋_GBK" w:cs="Times New Roman"/>
          <w:color w:val="000000"/>
          <w:sz w:val="32"/>
          <w:szCs w:val="32"/>
        </w:rPr>
        <w:t>年度收</w:t>
      </w:r>
      <w:r>
        <w:rPr>
          <w:rFonts w:hint="default" w:ascii="Times New Roman" w:hAnsi="Times New Roman" w:eastAsia="方正仿宋_GBK" w:cs="Times New Roman"/>
          <w:color w:val="000000"/>
          <w:sz w:val="32"/>
          <w:szCs w:val="32"/>
          <w:lang w:val="en-US" w:eastAsia="zh-CN"/>
        </w:rPr>
        <w:t>入439.9万元</w:t>
      </w:r>
      <w:r>
        <w:rPr>
          <w:rFonts w:hint="default" w:ascii="Times New Roman" w:hAnsi="Times New Roman" w:eastAsia="方正仿宋_GBK" w:cs="Times New Roman"/>
          <w:color w:val="000000"/>
          <w:sz w:val="32"/>
          <w:szCs w:val="32"/>
        </w:rPr>
        <w:t>、支</w:t>
      </w:r>
      <w:r>
        <w:rPr>
          <w:rFonts w:hint="default" w:ascii="Times New Roman" w:hAnsi="Times New Roman" w:eastAsia="方正仿宋_GBK" w:cs="Times New Roman"/>
          <w:color w:val="000000"/>
          <w:sz w:val="32"/>
          <w:szCs w:val="32"/>
          <w:lang w:val="en-US" w:eastAsia="zh-CN"/>
        </w:rPr>
        <w:t>出431.6</w:t>
      </w:r>
      <w:r>
        <w:rPr>
          <w:rFonts w:hint="default" w:ascii="Times New Roman" w:hAnsi="Times New Roman" w:eastAsia="方正仿宋_GBK" w:cs="Times New Roman"/>
          <w:color w:val="000000"/>
          <w:sz w:val="32"/>
          <w:szCs w:val="32"/>
        </w:rPr>
        <w:t>万元。与20</w:t>
      </w:r>
      <w:r>
        <w:rPr>
          <w:rFonts w:hint="default" w:ascii="Times New Roman" w:hAnsi="Times New Roman" w:eastAsia="方正仿宋_GBK" w:cs="Times New Roman"/>
          <w:color w:val="000000"/>
          <w:sz w:val="32"/>
          <w:szCs w:val="32"/>
          <w:lang w:val="en-US" w:eastAsia="zh-CN"/>
        </w:rPr>
        <w:t>19</w:t>
      </w:r>
      <w:r>
        <w:rPr>
          <w:rFonts w:hint="default" w:ascii="Times New Roman" w:hAnsi="Times New Roman" w:eastAsia="方正仿宋_GBK" w:cs="Times New Roman"/>
          <w:color w:val="000000"/>
          <w:sz w:val="32"/>
          <w:szCs w:val="32"/>
        </w:rPr>
        <w:t>年相比，收</w:t>
      </w:r>
      <w:r>
        <w:rPr>
          <w:rFonts w:hint="default" w:ascii="Times New Roman" w:hAnsi="Times New Roman" w:eastAsia="方正仿宋_GBK" w:cs="Times New Roman"/>
          <w:color w:val="000000"/>
          <w:sz w:val="32"/>
          <w:szCs w:val="32"/>
          <w:lang w:val="en-US" w:eastAsia="zh-CN"/>
        </w:rPr>
        <w:t>入</w:t>
      </w:r>
      <w:r>
        <w:rPr>
          <w:rFonts w:hint="default" w:ascii="Times New Roman" w:hAnsi="Times New Roman" w:eastAsia="方正仿宋_GBK" w:cs="Times New Roman"/>
          <w:color w:val="000000"/>
          <w:sz w:val="32"/>
          <w:szCs w:val="32"/>
        </w:rPr>
        <w:t>减少</w:t>
      </w:r>
      <w:r>
        <w:rPr>
          <w:rFonts w:hint="default" w:ascii="Times New Roman" w:hAnsi="Times New Roman" w:eastAsia="方正仿宋_GBK" w:cs="Times New Roman"/>
          <w:color w:val="000000"/>
          <w:sz w:val="32"/>
          <w:szCs w:val="32"/>
          <w:lang w:val="en-US" w:eastAsia="zh-CN"/>
        </w:rPr>
        <w:t>15.92</w:t>
      </w:r>
      <w:r>
        <w:rPr>
          <w:rFonts w:hint="default" w:ascii="Times New Roman" w:hAnsi="Times New Roman" w:eastAsia="方正仿宋_GBK" w:cs="Times New Roman"/>
          <w:color w:val="000000"/>
          <w:sz w:val="32"/>
          <w:szCs w:val="32"/>
        </w:rPr>
        <w:t>万元，下降</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支出减少1.4万元，</w:t>
      </w:r>
      <w:r>
        <w:rPr>
          <w:rFonts w:hint="default" w:ascii="Times New Roman" w:hAnsi="Times New Roman" w:eastAsia="方正仿宋_GBK" w:cs="Times New Roman"/>
          <w:color w:val="000000"/>
          <w:sz w:val="32"/>
          <w:szCs w:val="32"/>
        </w:rPr>
        <w:t>下降</w:t>
      </w:r>
      <w:r>
        <w:rPr>
          <w:rFonts w:hint="default" w:ascii="Times New Roman" w:hAnsi="Times New Roman" w:eastAsia="方正仿宋_GBK" w:cs="Times New Roman"/>
          <w:color w:val="000000"/>
          <w:sz w:val="32"/>
          <w:szCs w:val="32"/>
          <w:lang w:val="en-US" w:eastAsia="zh-CN"/>
        </w:rPr>
        <w:t>0.3</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支出</w:t>
      </w:r>
      <w:r>
        <w:rPr>
          <w:rFonts w:hint="default" w:ascii="Times New Roman" w:hAnsi="Times New Roman" w:eastAsia="方正仿宋_GBK" w:cs="Times New Roman"/>
          <w:color w:val="000000"/>
          <w:sz w:val="32"/>
          <w:szCs w:val="32"/>
        </w:rPr>
        <w:t>主要变动原因是</w:t>
      </w:r>
      <w:r>
        <w:rPr>
          <w:rFonts w:hint="default" w:ascii="Times New Roman" w:hAnsi="Times New Roman" w:eastAsia="方正仿宋_GBK" w:cs="Times New Roman"/>
          <w:color w:val="000000"/>
          <w:sz w:val="32"/>
          <w:szCs w:val="32"/>
          <w:lang w:val="en-US" w:eastAsia="zh-CN"/>
        </w:rPr>
        <w:t>预算减少。</w:t>
      </w:r>
    </w:p>
    <w:p>
      <w:pPr>
        <w:pageBreakBefore w:val="0"/>
        <w:kinsoku/>
        <w:wordWrap/>
        <w:overflowPunct/>
        <w:topLinePunct w:val="0"/>
        <w:bidi w:val="0"/>
        <w:snapToGrid/>
        <w:spacing w:line="240" w:lineRule="auto"/>
        <w:ind w:left="0" w:leftChars="0" w:right="0" w:firstLine="0" w:firstLineChars="0"/>
        <w:jc w:val="center"/>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5080000" cy="3810000"/>
            <wp:effectExtent l="4445" t="4445" r="5715" b="1079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left="0" w:leftChars="0" w:right="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（图</w:t>
      </w:r>
      <w:r>
        <w:rPr>
          <w:rFonts w:hint="default" w:ascii="Times New Roman" w:hAnsi="Times New Roman" w:eastAsia="方正仿宋_GBK" w:cs="Times New Roman"/>
          <w:color w:val="000000" w:themeColor="text1"/>
          <w:sz w:val="32"/>
          <w:szCs w:val="32"/>
          <w14:textFill>
            <w14:solidFill>
              <w14:schemeClr w14:val="tx1"/>
            </w14:solidFill>
          </w14:textFill>
        </w:rPr>
        <w:t>1</w:t>
      </w:r>
      <w:r>
        <w:rPr>
          <w:rFonts w:hint="eastAsia" w:ascii="Times New Roman" w:hAnsi="Times New Roman" w:eastAsia="方正仿宋_GBK" w:cs="Times New Roman"/>
          <w:color w:val="000000" w:themeColor="text1"/>
          <w:sz w:val="32"/>
          <w:szCs w:val="32"/>
          <w14:textFill>
            <w14:solidFill>
              <w14:schemeClr w14:val="tx1"/>
            </w14:solidFill>
          </w14:textFill>
        </w:rPr>
        <w:t>：收、支决算总计变动情况图）（柱状图）</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outlineLvl w:val="1"/>
        <w:rPr>
          <w:rStyle w:val="28"/>
          <w:rFonts w:ascii="黑体" w:hAnsi="黑体" w:eastAsia="黑体"/>
          <w:b w:val="0"/>
        </w:rPr>
      </w:pPr>
      <w:bookmarkStart w:id="24" w:name="_Toc15396604"/>
      <w:bookmarkStart w:id="25" w:name="_Toc15377206"/>
      <w:r>
        <w:rPr>
          <w:rFonts w:hint="eastAsia" w:ascii="黑体" w:hAnsi="黑体" w:eastAsia="黑体"/>
          <w:color w:val="000000"/>
          <w:sz w:val="32"/>
          <w:szCs w:val="32"/>
          <w:lang w:eastAsia="zh-CN"/>
        </w:rPr>
        <w:t>二、</w:t>
      </w:r>
      <w:r>
        <w:rPr>
          <w:rFonts w:hint="eastAsia" w:ascii="黑体" w:hAnsi="黑体" w:eastAsia="黑体"/>
          <w:color w:val="000000"/>
          <w:sz w:val="32"/>
          <w:szCs w:val="32"/>
        </w:rPr>
        <w:t>收</w:t>
      </w:r>
      <w:r>
        <w:rPr>
          <w:rStyle w:val="28"/>
          <w:rFonts w:hint="eastAsia" w:ascii="黑体" w:hAnsi="黑体" w:eastAsia="黑体"/>
          <w:b w:val="0"/>
        </w:rPr>
        <w:t>入决算情况说明</w:t>
      </w:r>
      <w:bookmarkEnd w:id="24"/>
      <w:bookmarkEnd w:id="25"/>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val="en-US" w:eastAsia="zh-CN"/>
        </w:rPr>
        <w:t>2020</w:t>
      </w:r>
      <w:r>
        <w:rPr>
          <w:rFonts w:hint="eastAsia" w:ascii="Times New Roman" w:hAnsi="Times New Roman" w:eastAsia="方正仿宋_GBK" w:cs="Times New Roman"/>
          <w:color w:val="000000"/>
          <w:sz w:val="32"/>
          <w:szCs w:val="32"/>
        </w:rPr>
        <w:t>年本年收入合计439</w:t>
      </w:r>
      <w:r>
        <w:rPr>
          <w:rFonts w:hint="eastAsia" w:ascii="Times New Roman" w:hAnsi="Times New Roman" w:eastAsia="方正仿宋_GBK" w:cs="Times New Roman"/>
          <w:color w:val="000000"/>
          <w:sz w:val="32"/>
          <w:szCs w:val="32"/>
          <w:lang w:val="en-US" w:eastAsia="zh-CN"/>
        </w:rPr>
        <w:t>.9</w:t>
      </w:r>
      <w:r>
        <w:rPr>
          <w:rFonts w:hint="eastAsia" w:ascii="Times New Roman" w:hAnsi="Times New Roman" w:eastAsia="方正仿宋_GBK" w:cs="Times New Roman"/>
          <w:color w:val="000000"/>
          <w:sz w:val="32"/>
          <w:szCs w:val="32"/>
        </w:rPr>
        <w:t>万元，其中：一般公共预算财政拨款收入439</w:t>
      </w:r>
      <w:r>
        <w:rPr>
          <w:rFonts w:hint="eastAsia" w:ascii="Times New Roman" w:hAnsi="Times New Roman" w:eastAsia="方正仿宋_GBK" w:cs="Times New Roman"/>
          <w:color w:val="000000"/>
          <w:sz w:val="32"/>
          <w:szCs w:val="32"/>
          <w:lang w:val="en-US" w:eastAsia="zh-CN"/>
        </w:rPr>
        <w:t>.9</w:t>
      </w:r>
      <w:r>
        <w:rPr>
          <w:rFonts w:hint="eastAsia" w:ascii="Times New Roman" w:hAnsi="Times New Roman" w:eastAsia="方正仿宋_GBK" w:cs="Times New Roman"/>
          <w:color w:val="000000"/>
          <w:sz w:val="32"/>
          <w:szCs w:val="32"/>
        </w:rPr>
        <w:t>万元，占</w:t>
      </w:r>
      <w:r>
        <w:rPr>
          <w:rFonts w:hint="eastAsia" w:ascii="Times New Roman" w:hAnsi="Times New Roman" w:eastAsia="方正仿宋_GBK" w:cs="Times New Roman"/>
          <w:color w:val="000000"/>
          <w:sz w:val="32"/>
          <w:szCs w:val="32"/>
          <w:lang w:val="en-US" w:eastAsia="zh-CN"/>
        </w:rPr>
        <w:t>100</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w:t>
      </w:r>
    </w:p>
    <w:p>
      <w:pPr>
        <w:pStyle w:val="7"/>
        <w:pageBreakBefore w:val="0"/>
        <w:kinsoku/>
        <w:wordWrap/>
        <w:overflowPunct/>
        <w:topLinePunct w:val="0"/>
        <w:bidi w:val="0"/>
        <w:snapToGrid/>
        <w:spacing w:before="0" w:after="0"/>
        <w:ind w:left="0" w:leftChars="0" w:right="0"/>
        <w:jc w:val="center"/>
        <w:textAlignment w:val="auto"/>
        <w:rPr>
          <w:rFonts w:hint="eastAsia" w:eastAsia="仿宋"/>
          <w:lang w:eastAsia="zh-CN"/>
        </w:rPr>
      </w:pPr>
      <w:r>
        <w:rPr>
          <w:rFonts w:hint="eastAsia" w:eastAsia="仿宋"/>
          <w:lang w:eastAsia="zh-CN"/>
        </w:rPr>
        <w:drawing>
          <wp:inline distT="0" distB="0" distL="114300" distR="114300">
            <wp:extent cx="4401820" cy="2977515"/>
            <wp:effectExtent l="4445" t="4445" r="13335" b="889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left="0" w:leftChars="0" w:right="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（图2：收入决算结构图）（饼状图）</w:t>
      </w:r>
    </w:p>
    <w:p>
      <w:pPr>
        <w:pStyle w:val="26"/>
        <w:pageBreakBefore w:val="0"/>
        <w:numPr>
          <w:ilvl w:val="0"/>
          <w:numId w:val="0"/>
        </w:numPr>
        <w:kinsoku/>
        <w:wordWrap/>
        <w:overflowPunct/>
        <w:topLinePunct w:val="0"/>
        <w:bidi w:val="0"/>
        <w:snapToGrid/>
        <w:spacing w:line="600" w:lineRule="exact"/>
        <w:ind w:left="0" w:leftChars="0" w:right="0" w:firstLine="640" w:firstLineChars="200"/>
        <w:textAlignment w:val="auto"/>
        <w:outlineLvl w:val="1"/>
        <w:rPr>
          <w:rStyle w:val="28"/>
          <w:rFonts w:ascii="黑体" w:hAnsi="黑体" w:eastAsia="黑体"/>
          <w:b w:val="0"/>
        </w:rPr>
      </w:pPr>
      <w:bookmarkStart w:id="26" w:name="_Toc15377207"/>
      <w:bookmarkStart w:id="27" w:name="_Toc15396605"/>
      <w:r>
        <w:rPr>
          <w:rFonts w:hint="eastAsia" w:ascii="黑体" w:hAnsi="黑体" w:eastAsia="黑体"/>
          <w:color w:val="000000"/>
          <w:sz w:val="32"/>
          <w:szCs w:val="32"/>
          <w:lang w:val="en-US" w:eastAsia="zh-CN"/>
        </w:rPr>
        <w:t>三、</w:t>
      </w:r>
      <w:r>
        <w:rPr>
          <w:rFonts w:hint="eastAsia" w:ascii="黑体" w:hAnsi="黑体" w:eastAsia="黑体"/>
          <w:color w:val="000000"/>
          <w:sz w:val="32"/>
          <w:szCs w:val="32"/>
        </w:rPr>
        <w:t>支</w:t>
      </w:r>
      <w:r>
        <w:rPr>
          <w:rStyle w:val="28"/>
          <w:rFonts w:hint="eastAsia" w:ascii="黑体" w:hAnsi="黑体" w:eastAsia="黑体"/>
          <w:b w:val="0"/>
        </w:rPr>
        <w:t>出决算情况说明</w:t>
      </w:r>
      <w:bookmarkEnd w:id="26"/>
      <w:bookmarkEnd w:id="27"/>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2020年本年支出合计431.6万元，其中：基本支出420.09万元，占97%；项目支出11.5万元，占3%。</w:t>
      </w:r>
    </w:p>
    <w:p>
      <w:pPr>
        <w:pStyle w:val="7"/>
        <w:pageBreakBefore w:val="0"/>
        <w:kinsoku/>
        <w:wordWrap/>
        <w:overflowPunct/>
        <w:topLinePunct w:val="0"/>
        <w:bidi w:val="0"/>
        <w:snapToGrid/>
        <w:spacing w:before="0" w:after="0"/>
        <w:ind w:left="0" w:leftChars="0" w:right="0"/>
        <w:jc w:val="center"/>
        <w:textAlignment w:val="auto"/>
        <w:rPr>
          <w:rFonts w:hint="eastAsia" w:eastAsia="仿宋"/>
          <w:lang w:eastAsia="zh-CN"/>
        </w:rPr>
      </w:pPr>
      <w:r>
        <w:rPr>
          <w:rFonts w:hint="eastAsia" w:eastAsia="仿宋"/>
          <w:lang w:eastAsia="zh-CN"/>
        </w:rPr>
        <w:drawing>
          <wp:inline distT="0" distB="0" distL="114300" distR="114300">
            <wp:extent cx="4222115" cy="3132455"/>
            <wp:effectExtent l="5080" t="4445" r="20955" b="635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ageBreakBefore w:val="0"/>
        <w:kinsoku/>
        <w:wordWrap/>
        <w:overflowPunct/>
        <w:topLinePunct w:val="0"/>
        <w:bidi w:val="0"/>
        <w:snapToGrid/>
        <w:spacing w:line="600" w:lineRule="exact"/>
        <w:ind w:left="0" w:leftChars="0" w:right="0" w:firstLine="640" w:firstLineChars="200"/>
        <w:jc w:val="center"/>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pageBreakBefore w:val="0"/>
        <w:kinsoku/>
        <w:wordWrap/>
        <w:overflowPunct/>
        <w:topLinePunct w:val="0"/>
        <w:bidi w:val="0"/>
        <w:snapToGrid/>
        <w:spacing w:line="600" w:lineRule="exact"/>
        <w:ind w:left="0" w:leftChars="0" w:right="0" w:firstLine="640" w:firstLineChars="200"/>
        <w:textAlignment w:val="auto"/>
        <w:outlineLvl w:val="1"/>
        <w:rPr>
          <w:rStyle w:val="28"/>
          <w:rFonts w:ascii="黑体" w:hAnsi="黑体" w:eastAsia="黑体"/>
          <w:b w:val="0"/>
        </w:rPr>
      </w:pPr>
      <w:bookmarkStart w:id="28" w:name="_Toc15377208"/>
      <w:bookmarkStart w:id="29" w:name="_Toc15396606"/>
      <w:r>
        <w:rPr>
          <w:rFonts w:hint="eastAsia" w:ascii="黑体" w:hAnsi="黑体" w:eastAsia="黑体"/>
          <w:color w:val="000000"/>
          <w:sz w:val="32"/>
          <w:szCs w:val="32"/>
        </w:rPr>
        <w:t>四、财</w:t>
      </w:r>
      <w:r>
        <w:rPr>
          <w:rStyle w:val="28"/>
          <w:rFonts w:hint="eastAsia" w:ascii="黑体" w:hAnsi="黑体" w:eastAsia="黑体"/>
          <w:b w:val="0"/>
        </w:rPr>
        <w:t>政拨款收入支出决算总体情况说明</w:t>
      </w:r>
      <w:bookmarkEnd w:id="28"/>
      <w:bookmarkEnd w:id="29"/>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2020年财政拨款收、支总计431.6万元。与2019年相比，收入减少15.92万元，下降3%；支出减少1.4万元，下降0.3%，支出主要变动原因是预算减少。</w:t>
      </w:r>
    </w:p>
    <w:p>
      <w:pPr>
        <w:pageBreakBefore w:val="0"/>
        <w:kinsoku/>
        <w:wordWrap/>
        <w:overflowPunct/>
        <w:topLinePunct w:val="0"/>
        <w:bidi w:val="0"/>
        <w:snapToGrid/>
        <w:spacing w:line="240" w:lineRule="auto"/>
        <w:ind w:left="0" w:leftChars="0" w:right="0" w:firstLine="0" w:firstLineChars="0"/>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lang w:eastAsia="zh-CN"/>
        </w:rPr>
        <w:drawing>
          <wp:inline distT="0" distB="0" distL="114300" distR="114300">
            <wp:extent cx="5499100" cy="2896235"/>
            <wp:effectExtent l="4445" t="4445" r="13335" b="1016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ageBreakBefore w:val="0"/>
        <w:kinsoku/>
        <w:wordWrap/>
        <w:overflowPunct/>
        <w:topLinePunct w:val="0"/>
        <w:bidi w:val="0"/>
        <w:snapToGrid/>
        <w:spacing w:line="600" w:lineRule="exact"/>
        <w:ind w:left="0" w:leftChars="0" w:right="0" w:firstLine="640" w:firstLineChars="2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pageBreakBefore w:val="0"/>
        <w:kinsoku/>
        <w:wordWrap/>
        <w:overflowPunct/>
        <w:topLinePunct w:val="0"/>
        <w:bidi w:val="0"/>
        <w:snapToGrid/>
        <w:spacing w:line="600" w:lineRule="exact"/>
        <w:ind w:left="0" w:leftChars="0" w:right="0" w:firstLine="640" w:firstLineChars="200"/>
        <w:textAlignment w:val="auto"/>
        <w:outlineLvl w:val="1"/>
        <w:rPr>
          <w:rStyle w:val="28"/>
          <w:rFonts w:ascii="黑体" w:hAnsi="黑体" w:eastAsia="黑体"/>
          <w:b w:val="0"/>
        </w:rPr>
      </w:pPr>
      <w:bookmarkStart w:id="30" w:name="_Toc15377209"/>
      <w:bookmarkStart w:id="31"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b w:val="0"/>
        </w:rPr>
        <w:t>般公共预算财政拨款支出决算情况说明</w:t>
      </w:r>
      <w:bookmarkEnd w:id="30"/>
      <w:bookmarkEnd w:id="31"/>
    </w:p>
    <w:p>
      <w:pPr>
        <w:pageBreakBefore w:val="0"/>
        <w:kinsoku/>
        <w:wordWrap/>
        <w:overflowPunct/>
        <w:topLinePunct w:val="0"/>
        <w:bidi w:val="0"/>
        <w:snapToGrid/>
        <w:spacing w:line="600" w:lineRule="exact"/>
        <w:ind w:left="0" w:leftChars="0" w:right="0" w:firstLine="643" w:firstLineChars="200"/>
        <w:textAlignment w:val="auto"/>
        <w:outlineLvl w:val="2"/>
        <w:rPr>
          <w:rFonts w:hint="eastAsia" w:ascii="方正楷体_GBK" w:hAnsi="方正楷体_GBK" w:eastAsia="方正楷体_GBK" w:cs="方正楷体_GBK"/>
          <w:b/>
          <w:color w:val="000000"/>
          <w:sz w:val="32"/>
          <w:szCs w:val="32"/>
        </w:rPr>
      </w:pPr>
      <w:bookmarkStart w:id="32" w:name="_Toc15377210"/>
      <w:r>
        <w:rPr>
          <w:rFonts w:hint="eastAsia" w:ascii="方正楷体_GBK" w:hAnsi="方正楷体_GBK" w:eastAsia="方正楷体_GBK" w:cs="方正楷体_GBK"/>
          <w:b/>
          <w:color w:val="000000"/>
          <w:sz w:val="32"/>
          <w:szCs w:val="32"/>
        </w:rPr>
        <w:t>（一）一般公共预算财政拨款支出决算总体情况</w:t>
      </w:r>
      <w:bookmarkEnd w:id="32"/>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2020年一般公共预算财政拨款支出431.6万元，占本年支出合计的100%。比2019年支出减少1.4万元，下降0.3%，支出主要变动原因是预算减少。</w:t>
      </w:r>
    </w:p>
    <w:p>
      <w:pPr>
        <w:pageBreakBefore w:val="0"/>
        <w:kinsoku/>
        <w:wordWrap/>
        <w:overflowPunct/>
        <w:topLinePunct w:val="0"/>
        <w:bidi w:val="0"/>
        <w:snapToGrid/>
        <w:spacing w:line="240" w:lineRule="auto"/>
        <w:ind w:left="0" w:leftChars="0" w:right="0" w:firstLine="0" w:firstLineChars="0"/>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 xml:space="preserve"> </w:t>
      </w:r>
    </w:p>
    <w:p>
      <w:pPr>
        <w:pageBreakBefore w:val="0"/>
        <w:kinsoku/>
        <w:wordWrap/>
        <w:overflowPunct/>
        <w:topLinePunct w:val="0"/>
        <w:bidi w:val="0"/>
        <w:snapToGrid/>
        <w:spacing w:line="240" w:lineRule="auto"/>
        <w:ind w:left="0" w:leftChars="0" w:right="0" w:firstLine="0" w:firstLineChars="0"/>
        <w:jc w:val="center"/>
        <w:textAlignment w:val="auto"/>
        <w:rPr>
          <w:rFonts w:hint="default" w:ascii="仿宋" w:hAnsi="仿宋" w:eastAsia="仿宋"/>
          <w:color w:val="000000"/>
          <w:sz w:val="32"/>
          <w:szCs w:val="32"/>
          <w:lang w:val="en-US" w:eastAsia="zh-CN"/>
        </w:rPr>
      </w:pPr>
      <w:r>
        <w:rPr>
          <w:rFonts w:hint="default" w:ascii="仿宋" w:hAnsi="仿宋" w:eastAsia="仿宋"/>
          <w:color w:val="000000"/>
          <w:sz w:val="32"/>
          <w:szCs w:val="32"/>
          <w:lang w:val="en-US" w:eastAsia="zh-CN"/>
        </w:rPr>
        <w:drawing>
          <wp:inline distT="0" distB="0" distL="114300" distR="114300">
            <wp:extent cx="4874260" cy="2372995"/>
            <wp:effectExtent l="4445" t="5080" r="17145" b="2222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right="0"/>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（图5：一般公共预算财政拨款支出决算变动情况）（柱状图）</w:t>
      </w:r>
    </w:p>
    <w:p>
      <w:pPr>
        <w:pageBreakBefore w:val="0"/>
        <w:kinsoku/>
        <w:wordWrap/>
        <w:overflowPunct/>
        <w:topLinePunct w:val="0"/>
        <w:bidi w:val="0"/>
        <w:snapToGrid/>
        <w:spacing w:line="600" w:lineRule="exact"/>
        <w:ind w:left="0" w:leftChars="0" w:right="0" w:firstLine="643" w:firstLineChars="200"/>
        <w:textAlignment w:val="auto"/>
        <w:outlineLvl w:val="2"/>
        <w:rPr>
          <w:rFonts w:hint="eastAsia" w:ascii="方正楷体_GBK" w:hAnsi="方正楷体_GBK" w:eastAsia="方正楷体_GBK" w:cs="方正楷体_GBK"/>
          <w:b/>
          <w:color w:val="000000"/>
          <w:sz w:val="32"/>
          <w:szCs w:val="32"/>
        </w:rPr>
      </w:pPr>
      <w:bookmarkStart w:id="33" w:name="_Toc15377211"/>
      <w:r>
        <w:rPr>
          <w:rFonts w:hint="eastAsia" w:ascii="方正楷体_GBK" w:hAnsi="方正楷体_GBK" w:eastAsia="方正楷体_GBK" w:cs="方正楷体_GBK"/>
          <w:b/>
          <w:color w:val="000000"/>
          <w:sz w:val="32"/>
          <w:szCs w:val="32"/>
        </w:rPr>
        <w:t>（二）一般公共预算财政拨款支出决算结构情况</w:t>
      </w:r>
      <w:bookmarkEnd w:id="33"/>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2020年一般公共预算财政拨款支出431.6万元，主要用于以下方面</w:t>
      </w:r>
      <w:r>
        <w:rPr>
          <w:rFonts w:hint="eastAsia" w:eastAsia="方正仿宋_GBK" w:cs="Times New Roman"/>
          <w:color w:val="000000"/>
          <w:sz w:val="32"/>
          <w:szCs w:val="32"/>
          <w:lang w:val="en-US" w:eastAsia="zh-CN"/>
        </w:rPr>
        <w:t>：</w:t>
      </w:r>
      <w:r>
        <w:rPr>
          <w:rFonts w:hint="eastAsia" w:ascii="Times New Roman" w:hAnsi="Times New Roman" w:eastAsia="方正仿宋_GBK" w:cs="Times New Roman"/>
          <w:color w:val="000000"/>
          <w:sz w:val="32"/>
          <w:szCs w:val="32"/>
          <w:lang w:val="en-US" w:eastAsia="zh-CN"/>
        </w:rPr>
        <w:t>一般公共服务支出431.6万元，占100%；社会保障和就业支出28.4万元，占6.6%；卫生健康支出19.9万元，占4.6%；自然资源海洋气象等支出351.83万元，占81.5%；住房保障支出31.5万元，占7.3%。</w:t>
      </w:r>
    </w:p>
    <w:p>
      <w:pPr>
        <w:pStyle w:val="5"/>
        <w:pageBreakBefore w:val="0"/>
        <w:kinsoku/>
        <w:wordWrap/>
        <w:overflowPunct/>
        <w:topLinePunct w:val="0"/>
        <w:bidi w:val="0"/>
        <w:snapToGrid/>
        <w:spacing w:beforeLines="0"/>
        <w:ind w:left="0" w:leftChars="0" w:right="0"/>
        <w:jc w:val="center"/>
        <w:textAlignment w:val="auto"/>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inline distT="0" distB="0" distL="114300" distR="114300">
            <wp:extent cx="4604385" cy="2642235"/>
            <wp:effectExtent l="4445" t="4445" r="20320" b="2032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（图6：一般公共预算财政拨款支出决算结构）（饼状图）</w:t>
      </w:r>
    </w:p>
    <w:p>
      <w:pPr>
        <w:pageBreakBefore w:val="0"/>
        <w:kinsoku/>
        <w:wordWrap/>
        <w:overflowPunct/>
        <w:topLinePunct w:val="0"/>
        <w:bidi w:val="0"/>
        <w:snapToGrid/>
        <w:spacing w:line="600" w:lineRule="exact"/>
        <w:ind w:left="0" w:leftChars="0" w:right="0" w:firstLine="643" w:firstLineChars="200"/>
        <w:jc w:val="both"/>
        <w:textAlignment w:val="auto"/>
        <w:outlineLvl w:val="2"/>
        <w:rPr>
          <w:rFonts w:hint="eastAsia" w:ascii="方正楷体_GBK" w:hAnsi="方正楷体_GBK" w:eastAsia="方正楷体_GBK" w:cs="方正楷体_GBK"/>
          <w:b/>
          <w:color w:val="000000"/>
          <w:sz w:val="32"/>
          <w:szCs w:val="32"/>
        </w:rPr>
      </w:pPr>
      <w:bookmarkStart w:id="34" w:name="_Toc15377212"/>
      <w:r>
        <w:rPr>
          <w:rFonts w:hint="eastAsia" w:ascii="方正楷体_GBK" w:hAnsi="方正楷体_GBK" w:eastAsia="方正楷体_GBK" w:cs="方正楷体_GBK"/>
          <w:b/>
          <w:color w:val="000000"/>
          <w:sz w:val="32"/>
          <w:szCs w:val="32"/>
        </w:rPr>
        <w:t>（三）一般公共预算财政拨款支出决算具体情况</w:t>
      </w:r>
      <w:bookmarkEnd w:id="34"/>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bookmarkStart w:id="35" w:name="_Toc15377444"/>
      <w:bookmarkStart w:id="36" w:name="_Toc15378460"/>
      <w:bookmarkStart w:id="37" w:name="_Toc15377213"/>
      <w:r>
        <w:rPr>
          <w:rFonts w:hint="eastAsia" w:ascii="Times New Roman" w:hAnsi="Times New Roman" w:eastAsia="方正仿宋_GBK" w:cs="Times New Roman"/>
          <w:color w:val="000000"/>
          <w:sz w:val="32"/>
          <w:szCs w:val="32"/>
          <w:lang w:val="en-US" w:eastAsia="zh-CN"/>
        </w:rPr>
        <w:t>2020年般公共预算支出决算数为431.6万元，完成预算100%。其中：</w:t>
      </w:r>
      <w:bookmarkEnd w:id="35"/>
      <w:bookmarkEnd w:id="36"/>
      <w:bookmarkEnd w:id="37"/>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1.一般公共服务： 支出决算为431.6万元，完成预算100%。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2.社会保障和就业： 支出决算为28.4万元，完成预算6.6%。</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3.卫生健康：支出决算为19.9万元，完成预算4.6%。</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4.自然资源海洋气象等：支出351.83万元，占81.5%。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5.住房保障：支出31.5万元，占7.3%。</w:t>
      </w:r>
    </w:p>
    <w:p>
      <w:pPr>
        <w:pageBreakBefore w:val="0"/>
        <w:tabs>
          <w:tab w:val="right" w:pos="8306"/>
        </w:tabs>
        <w:kinsoku/>
        <w:wordWrap/>
        <w:overflowPunct/>
        <w:topLinePunct w:val="0"/>
        <w:bidi w:val="0"/>
        <w:snapToGrid/>
        <w:spacing w:line="600" w:lineRule="exact"/>
        <w:ind w:left="0" w:leftChars="0" w:right="0" w:firstLine="640"/>
        <w:jc w:val="both"/>
        <w:textAlignment w:val="auto"/>
        <w:outlineLvl w:val="1"/>
        <w:rPr>
          <w:rStyle w:val="28"/>
          <w:sz w:val="32"/>
          <w:szCs w:val="32"/>
        </w:rPr>
      </w:pPr>
      <w:bookmarkStart w:id="38" w:name="_Toc15396608"/>
      <w:bookmarkStart w:id="39"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8"/>
          <w:rFonts w:hint="eastAsia" w:ascii="黑体" w:hAnsi="黑体" w:eastAsia="黑体"/>
          <w:b w:val="0"/>
          <w:sz w:val="32"/>
          <w:szCs w:val="32"/>
        </w:rPr>
        <w:t>般公共预算财政拨款基本支出决算情况说明</w:t>
      </w:r>
      <w:bookmarkEnd w:id="38"/>
      <w:bookmarkEnd w:id="39"/>
      <w:r>
        <w:rPr>
          <w:rStyle w:val="28"/>
          <w:rFonts w:ascii="黑体" w:hAnsi="黑体" w:eastAsia="黑体"/>
          <w:b w:val="0"/>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2020年一般公共预算财政拨款基本支出420.09万元，其中：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人员经费349.59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日常公用经费70.5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outlineLvl w:val="1"/>
        <w:rPr>
          <w:rStyle w:val="28"/>
          <w:rFonts w:ascii="黑体" w:hAnsi="黑体" w:eastAsia="黑体"/>
          <w:b w:val="0"/>
          <w:sz w:val="32"/>
          <w:szCs w:val="32"/>
        </w:rPr>
      </w:pPr>
      <w:bookmarkStart w:id="40" w:name="_Toc15396609"/>
      <w:bookmarkStart w:id="41" w:name="_Toc15377215"/>
      <w:r>
        <w:rPr>
          <w:rFonts w:hint="eastAsia" w:ascii="黑体" w:eastAsia="黑体"/>
          <w:color w:val="000000"/>
          <w:sz w:val="32"/>
          <w:szCs w:val="32"/>
        </w:rPr>
        <w:t>七、</w:t>
      </w:r>
      <w:r>
        <w:rPr>
          <w:rStyle w:val="28"/>
          <w:rFonts w:hint="eastAsia" w:ascii="黑体" w:hAnsi="黑体" w:eastAsia="黑体"/>
          <w:sz w:val="32"/>
          <w:szCs w:val="32"/>
        </w:rPr>
        <w:t>“</w:t>
      </w:r>
      <w:r>
        <w:rPr>
          <w:rStyle w:val="28"/>
          <w:rFonts w:hint="eastAsia" w:ascii="黑体" w:hAnsi="黑体" w:eastAsia="黑体"/>
          <w:b w:val="0"/>
          <w:sz w:val="32"/>
          <w:szCs w:val="32"/>
        </w:rPr>
        <w:t>三公”经费财政拨款支出决算情况说明</w:t>
      </w:r>
      <w:bookmarkEnd w:id="40"/>
      <w:bookmarkEnd w:id="41"/>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auto"/>
        <w:outlineLvl w:val="2"/>
        <w:rPr>
          <w:rFonts w:hint="default" w:ascii="Times New Roman" w:hAnsi="Times New Roman" w:eastAsia="方正楷体_GBK" w:cs="Times New Roman"/>
          <w:b/>
          <w:color w:val="000000"/>
          <w:sz w:val="32"/>
          <w:szCs w:val="32"/>
        </w:rPr>
      </w:pPr>
      <w:bookmarkStart w:id="42" w:name="_Toc15377216"/>
      <w:r>
        <w:rPr>
          <w:rFonts w:hint="default" w:ascii="Times New Roman" w:hAnsi="Times New Roman" w:eastAsia="方正楷体_GBK" w:cs="Times New Roman"/>
          <w:b/>
          <w:color w:val="000000"/>
          <w:sz w:val="32"/>
          <w:szCs w:val="32"/>
        </w:rPr>
        <w:t>（一）“三公”经费财政拨款支出决算总体情况说明</w:t>
      </w:r>
      <w:bookmarkEnd w:id="42"/>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2020年无“三公”经费支出。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auto"/>
        <w:outlineLvl w:val="2"/>
        <w:rPr>
          <w:rFonts w:hint="default" w:ascii="Times New Roman" w:hAnsi="Times New Roman" w:eastAsia="方正楷体_GBK" w:cs="Times New Roman"/>
          <w:b/>
          <w:color w:val="000000"/>
          <w:sz w:val="32"/>
          <w:szCs w:val="32"/>
        </w:rPr>
      </w:pPr>
      <w:bookmarkStart w:id="43" w:name="_Toc15377217"/>
      <w:r>
        <w:rPr>
          <w:rFonts w:hint="eastAsia" w:ascii="Times New Roman" w:hAnsi="Times New Roman" w:eastAsia="方正楷体_GBK" w:cs="Times New Roman"/>
          <w:b/>
          <w:color w:val="000000"/>
          <w:sz w:val="32"/>
          <w:szCs w:val="32"/>
        </w:rPr>
        <w:t>（二）“三公”经费财政拨款支出决算具体情况说明</w:t>
      </w:r>
      <w:bookmarkEnd w:id="43"/>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2020年无“三公”经费支出。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outlineLvl w:val="1"/>
        <w:rPr>
          <w:rStyle w:val="28"/>
          <w:rFonts w:ascii="黑体" w:hAnsi="黑体" w:eastAsia="黑体"/>
          <w:sz w:val="32"/>
          <w:szCs w:val="32"/>
        </w:rPr>
      </w:pPr>
      <w:bookmarkStart w:id="44" w:name="_Toc15377218"/>
      <w:bookmarkStart w:id="45" w:name="_Toc15396610"/>
      <w:r>
        <w:rPr>
          <w:rFonts w:hint="eastAsia" w:ascii="黑体" w:eastAsia="黑体"/>
          <w:color w:val="000000"/>
          <w:sz w:val="32"/>
          <w:szCs w:val="32"/>
        </w:rPr>
        <w:t>八、</w:t>
      </w:r>
      <w:r>
        <w:rPr>
          <w:rStyle w:val="28"/>
          <w:rFonts w:hint="eastAsia" w:ascii="黑体" w:hAnsi="黑体" w:eastAsia="黑体"/>
          <w:b w:val="0"/>
          <w:sz w:val="32"/>
          <w:szCs w:val="32"/>
        </w:rPr>
        <w:t>政府性基金预算支出决算情况说明</w:t>
      </w:r>
      <w:bookmarkEnd w:id="44"/>
      <w:bookmarkEnd w:id="45"/>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2020年无政府性基金预算拨款支出。</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firstLine="640" w:firstLineChars="200"/>
        <w:jc w:val="both"/>
        <w:textAlignment w:val="auto"/>
        <w:outlineLvl w:val="1"/>
        <w:rPr>
          <w:rStyle w:val="28"/>
          <w:rFonts w:ascii="黑体" w:hAnsi="黑体" w:eastAsia="黑体"/>
          <w:b w:val="0"/>
          <w:sz w:val="32"/>
          <w:szCs w:val="32"/>
        </w:rPr>
      </w:pPr>
      <w:bookmarkStart w:id="46" w:name="_Toc15396611"/>
      <w:bookmarkStart w:id="47" w:name="_Toc15377219"/>
      <w:r>
        <w:rPr>
          <w:rStyle w:val="28"/>
          <w:rFonts w:hint="eastAsia" w:ascii="黑体" w:hAnsi="黑体" w:eastAsia="黑体"/>
          <w:b w:val="0"/>
          <w:sz w:val="32"/>
          <w:szCs w:val="32"/>
        </w:rPr>
        <w:t>国有资本经营预算支出决算情况说明</w:t>
      </w:r>
      <w:bookmarkEnd w:id="46"/>
      <w:bookmarkEnd w:id="47"/>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2020年无国有资本经营预算拨款支出。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outlineLvl w:val="1"/>
        <w:rPr>
          <w:rStyle w:val="28"/>
          <w:rFonts w:ascii="黑体" w:hAnsi="黑体" w:eastAsia="黑体"/>
          <w:sz w:val="32"/>
          <w:szCs w:val="32"/>
        </w:rPr>
      </w:pPr>
      <w:bookmarkStart w:id="48" w:name="_Toc15396612"/>
      <w:bookmarkStart w:id="49" w:name="_Toc15377221"/>
      <w:r>
        <w:rPr>
          <w:rFonts w:hint="eastAsia" w:ascii="黑体" w:hAnsi="黑体" w:eastAsia="黑体"/>
          <w:color w:val="000000"/>
          <w:sz w:val="32"/>
          <w:szCs w:val="32"/>
        </w:rPr>
        <w:t>十</w:t>
      </w:r>
      <w:r>
        <w:rPr>
          <w:rStyle w:val="28"/>
          <w:rFonts w:hint="eastAsia" w:ascii="黑体" w:hAnsi="黑体" w:eastAsia="黑体"/>
          <w:sz w:val="32"/>
          <w:szCs w:val="32"/>
        </w:rPr>
        <w:t>、</w:t>
      </w:r>
      <w:r>
        <w:rPr>
          <w:rStyle w:val="28"/>
          <w:rFonts w:hint="eastAsia" w:ascii="黑体" w:hAnsi="黑体" w:eastAsia="黑体"/>
          <w:b w:val="0"/>
          <w:sz w:val="32"/>
          <w:szCs w:val="32"/>
        </w:rPr>
        <w:t>其他重要事项的情况说明</w:t>
      </w:r>
      <w:bookmarkEnd w:id="48"/>
      <w:bookmarkEnd w:id="49"/>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auto"/>
        <w:outlineLvl w:val="2"/>
        <w:rPr>
          <w:rFonts w:hint="default" w:ascii="Times New Roman" w:hAnsi="Times New Roman" w:eastAsia="方正楷体_GBK" w:cs="Times New Roman"/>
          <w:b/>
          <w:color w:val="000000"/>
          <w:sz w:val="32"/>
          <w:szCs w:val="32"/>
        </w:rPr>
      </w:pPr>
      <w:bookmarkStart w:id="50" w:name="_Toc15377222"/>
      <w:r>
        <w:rPr>
          <w:rFonts w:hint="eastAsia" w:ascii="Times New Roman" w:hAnsi="Times New Roman" w:eastAsia="方正楷体_GBK" w:cs="Times New Roman"/>
          <w:b/>
          <w:color w:val="000000"/>
          <w:sz w:val="32"/>
          <w:szCs w:val="32"/>
        </w:rPr>
        <w:t>（一）机关运行经费支出情况</w:t>
      </w:r>
      <w:bookmarkEnd w:id="50"/>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2020年，恩阳区国土执法大队机关运行经费支出0万元。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auto"/>
        <w:outlineLvl w:val="2"/>
        <w:rPr>
          <w:rFonts w:hint="default" w:ascii="Times New Roman" w:hAnsi="Times New Roman" w:eastAsia="方正楷体_GBK" w:cs="Times New Roman"/>
          <w:b/>
          <w:color w:val="000000"/>
          <w:sz w:val="32"/>
          <w:szCs w:val="32"/>
        </w:rPr>
      </w:pPr>
      <w:bookmarkStart w:id="51" w:name="_Toc15377223"/>
      <w:r>
        <w:rPr>
          <w:rFonts w:hint="eastAsia" w:ascii="Times New Roman" w:hAnsi="Times New Roman" w:eastAsia="方正楷体_GBK" w:cs="Times New Roman"/>
          <w:b/>
          <w:color w:val="000000"/>
          <w:sz w:val="32"/>
          <w:szCs w:val="32"/>
        </w:rPr>
        <w:t>（二）政府采购支出情况</w:t>
      </w:r>
      <w:bookmarkEnd w:id="51"/>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2020年无政府采购支出。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auto"/>
        <w:outlineLvl w:val="2"/>
        <w:rPr>
          <w:rFonts w:hint="default" w:ascii="Times New Roman" w:hAnsi="Times New Roman" w:eastAsia="方正楷体_GBK" w:cs="Times New Roman"/>
          <w:b/>
          <w:color w:val="000000"/>
          <w:sz w:val="32"/>
          <w:szCs w:val="32"/>
        </w:rPr>
      </w:pPr>
      <w:bookmarkStart w:id="52" w:name="_Toc15377224"/>
      <w:r>
        <w:rPr>
          <w:rFonts w:hint="eastAsia" w:ascii="Times New Roman" w:hAnsi="Times New Roman" w:eastAsia="方正楷体_GBK" w:cs="Times New Roman"/>
          <w:b/>
          <w:color w:val="000000"/>
          <w:sz w:val="32"/>
          <w:szCs w:val="32"/>
        </w:rPr>
        <w:t>（三）国有资产占有使用情况</w:t>
      </w:r>
      <w:bookmarkEnd w:id="52"/>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截至2020年12月31日，无公务车辆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auto"/>
        <w:outlineLvl w:val="2"/>
        <w:rPr>
          <w:rFonts w:hint="default" w:ascii="Times New Roman" w:hAnsi="Times New Roman" w:eastAsia="方正楷体_GBK" w:cs="Times New Roman"/>
          <w:b/>
          <w:color w:val="000000"/>
          <w:sz w:val="32"/>
          <w:szCs w:val="32"/>
        </w:rPr>
      </w:pPr>
      <w:r>
        <w:rPr>
          <w:rFonts w:hint="eastAsia" w:ascii="Times New Roman" w:hAnsi="Times New Roman" w:eastAsia="方正楷体_GBK" w:cs="Times New Roman"/>
          <w:b/>
          <w:color w:val="000000"/>
          <w:sz w:val="32"/>
          <w:szCs w:val="32"/>
        </w:rPr>
        <w:t>（四）预算绩效管理情况。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 xml:space="preserve">根据预算绩效管理要求，本部门（单位）在年初预算编制阶段，组织对5个项目（党建工作经费、脱贫攻坚工作经费、会议费、机关物业管理及水、电、气费、接待费）编制了绩效目标。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本单位2020年未开展项目支出绩效评价，原因是因为本单位无专项项目预算，因此未组织开展项目支出绩效评价。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auto"/>
        <w:rPr>
          <w:rFonts w:hint="eastAsia" w:ascii="Times New Roman" w:hAnsi="Times New Roman" w:eastAsia="方正仿宋_GBK" w:cs="Times New Roman"/>
          <w:b/>
          <w:bCs/>
          <w:color w:val="000000"/>
          <w:sz w:val="32"/>
          <w:szCs w:val="32"/>
          <w:lang w:val="en-US" w:eastAsia="zh-CN"/>
        </w:rPr>
      </w:pPr>
      <w:r>
        <w:rPr>
          <w:rFonts w:hint="eastAsia" w:ascii="Times New Roman" w:hAnsi="Times New Roman" w:eastAsia="方正仿宋_GBK" w:cs="Times New Roman"/>
          <w:b/>
          <w:bCs/>
          <w:color w:val="000000"/>
          <w:sz w:val="32"/>
          <w:szCs w:val="32"/>
          <w:lang w:val="en-US" w:eastAsia="zh-CN"/>
        </w:rPr>
        <w:t>1.项目绩效目标完成情况。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1）党建工作经费：项目全年预算数2.8万元，执行数为2.8万元，完成预算的100%。通过项目实施，保障入党积极分子、发展对象、党员等教育培训，支部开展组织生活、主题活动；党建外出学习考察，党建宣传教育工作，党员活动室阵地建设等。发现的主要问题：绩效目标设定还不科学，预计发生的费用与实际存在较大的偏差。下一步改进措施：针对存在的问题，我们将进一步科学设定绩效目标，加强预算执行管理。一是改进部门收支预算编制，夯实预算基础工作，提高预算编制质量；二是认真研究政策，加强项目绩效目标审核，力求科学合理；三是认真研究重点项目的执行，特别是涉及政府采购的项目，提早规划，提前实施，确保项目顺利实施，提高财政资金的使用效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2）脱贫攻坚工作经费：项目全年预算数2.7万元，执行数为2.7万元，完成预算的100%。保障全面落实巴中市深化“挂包帮”精准扶贫下政策，通过对3个村169户贫困户开展驻村、结对帮扶工作，确保帮扶工作，确保帮扶村实现“一超七有”和贫困户实理“两不愁、三保障”。发现的主要问题：绩效目标设定还不科学，预计发生的费用与实际存在较大的偏差。我们将进一步科学设定绩效目标，加强预算执行管理。一是改进部门收支预算编制，夯实预算基础工作，提高预算编制质量；二是认真研究政策，加强项目绩效目标审核，力求科学合理；三是认真研究重点项目的执行，特别是涉及政府采购的项目，提早规划，提前实施，确保项目顺利实施，提高财政资金的使用效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3）会议费项目：项目全年预算数0.9万元，执行数为0.9万元，完成预算的100%。通过项目实施，保障通过组织召开国土系统大会和党风廉政警示教育会，提升职工综合素质能力，敲响廉政警钟。主要在的问题，我们将进一步科学设定绩效目标，加强预算执行管理。一是改进部门收支预算编制，夯实预算基础工作，提高预算编制质量；二是认真研究政策，加强项目绩效目标审核，力求科学合理；三是认真研究重点项目的执行，特别是涉及政府采购的项目，提早规划，提前实施，确保项目顺利实施，提高财政资金的使用效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4）机关物业管理及水、电、气费项目：项目全年预算数5万元，执行数为5万元，完成预算的100%。通过项目实施，为了保障办公秩序和保持办公区域整洁卫生，向第三方机构支付物业管理费，保持正常办公秩序，防止发生安全责任事故主要在的问题，我们将进一步科学设定绩效目标，加强预算执行管理。一是改进部门收支预算编制，夯实预算基础工作，提高预算编制质量；二是认真研究政策，加强项目绩效目标审核，力求科学合理；三是认真研究重点项目的执行，特别是涉及政府采购的项目，提早规划，提前实施，确保项目顺利实施，提高财政资金的使用效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5）接待费项目：项目全年预算数0.4万元，执行数为0.4万元，完成预算的100%。通过项目实施，为了接待国家、省主管部门、省主管部门、市州考察学习。主要在的问题，我们将进一步科学设定绩效目标，加强预算执行管理。一是改进部门收支预算编制，夯实预算基础工作，提高预算编制质量；二是认真研究政策，加强项目绩效目标审核，力求科学合理；三是认真研究重点项目的执行，特别是涉及政府采购的项目，提早规划，提前实施，确保项目顺利实施，提高财政资金的使用效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auto"/>
        <w:rPr>
          <w:rFonts w:hint="eastAsia" w:ascii="Times New Roman" w:hAnsi="Times New Roman" w:eastAsia="方正仿宋_GBK" w:cs="Times New Roman"/>
          <w:b/>
          <w:bCs/>
          <w:color w:val="000000"/>
          <w:sz w:val="32"/>
          <w:szCs w:val="32"/>
          <w:lang w:val="en-US" w:eastAsia="zh-CN"/>
        </w:rPr>
      </w:pPr>
      <w:r>
        <w:rPr>
          <w:rFonts w:hint="eastAsia" w:ascii="Times New Roman" w:hAnsi="Times New Roman" w:eastAsia="方正仿宋_GBK" w:cs="Times New Roman"/>
          <w:b/>
          <w:bCs/>
          <w:color w:val="000000"/>
          <w:sz w:val="32"/>
          <w:szCs w:val="32"/>
          <w:lang w:val="en-US" w:eastAsia="zh-CN"/>
        </w:rPr>
        <w:t>2.部门绩效评价结果。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本部门按要求对2020年部门整体支出绩效评价情况开展自评，《巴中市恩阳区自然资源和规划局2020年部门整体支出绩效评价报告》见附件（附件1）。</w:t>
      </w:r>
    </w:p>
    <w:p>
      <w:pPr>
        <w:pageBreakBefore w:val="0"/>
        <w:kinsoku/>
        <w:wordWrap/>
        <w:overflowPunct/>
        <w:topLinePunct w:val="0"/>
        <w:autoSpaceDE w:val="0"/>
        <w:autoSpaceDN w:val="0"/>
        <w:bidi w:val="0"/>
        <w:adjustRightInd w:val="0"/>
        <w:snapToGrid/>
        <w:spacing w:line="600" w:lineRule="exact"/>
        <w:ind w:left="0" w:leftChars="0" w:right="0"/>
        <w:jc w:val="both"/>
        <w:textAlignment w:val="auto"/>
        <w:outlineLvl w:val="2"/>
        <w:rPr>
          <w:rFonts w:hint="eastAsia" w:ascii="方正楷体_GBK" w:hAnsi="方正楷体_GBK" w:eastAsia="方正楷体_GBK" w:cs="方正楷体_GBK"/>
          <w:b/>
          <w:bCs w:val="0"/>
          <w:sz w:val="32"/>
          <w:szCs w:val="32"/>
          <w:lang w:eastAsia="zh-CN"/>
        </w:rPr>
      </w:pPr>
      <w:r>
        <w:rPr>
          <w:rFonts w:hint="eastAsia" w:ascii="方正楷体_GBK" w:hAnsi="方正楷体_GBK" w:eastAsia="方正楷体_GBK" w:cs="方正楷体_GBK"/>
          <w:b/>
          <w:bCs w:val="0"/>
          <w:color w:val="000000"/>
          <w:sz w:val="32"/>
          <w:szCs w:val="32"/>
          <w:lang w:val="en-US" w:eastAsia="zh-CN"/>
        </w:rPr>
        <w:t xml:space="preserve">    </w:t>
      </w:r>
      <w:r>
        <w:rPr>
          <w:rFonts w:hint="eastAsia" w:ascii="方正楷体_GBK" w:hAnsi="方正楷体_GBK" w:eastAsia="方正楷体_GBK" w:cs="方正楷体_GBK"/>
          <w:b/>
          <w:bCs w:val="0"/>
          <w:color w:val="000000"/>
          <w:sz w:val="32"/>
          <w:szCs w:val="32"/>
        </w:rPr>
        <w:t>（</w:t>
      </w:r>
      <w:r>
        <w:rPr>
          <w:rFonts w:hint="eastAsia" w:ascii="方正楷体_GBK" w:hAnsi="方正楷体_GBK" w:eastAsia="方正楷体_GBK" w:cs="方正楷体_GBK"/>
          <w:b/>
          <w:bCs w:val="0"/>
          <w:color w:val="000000"/>
          <w:sz w:val="32"/>
          <w:szCs w:val="32"/>
          <w:lang w:val="en-US" w:eastAsia="zh-CN"/>
        </w:rPr>
        <w:t>五</w:t>
      </w:r>
      <w:r>
        <w:rPr>
          <w:rFonts w:hint="eastAsia" w:ascii="方正楷体_GBK" w:hAnsi="方正楷体_GBK" w:eastAsia="方正楷体_GBK" w:cs="方正楷体_GBK"/>
          <w:b/>
          <w:bCs w:val="0"/>
          <w:color w:val="000000"/>
          <w:sz w:val="32"/>
          <w:szCs w:val="32"/>
        </w:rPr>
        <w:t>）其他重大事项情况说明</w:t>
      </w:r>
      <w:r>
        <w:rPr>
          <w:rFonts w:hint="eastAsia" w:ascii="方正楷体_GBK" w:hAnsi="方正楷体_GBK" w:eastAsia="方正楷体_GBK" w:cs="方正楷体_GBK"/>
          <w:b/>
          <w:bCs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本事业单位2020年部门</w:t>
      </w:r>
      <w:r>
        <w:rPr>
          <w:rFonts w:hint="eastAsia" w:ascii="Times New Roman" w:hAnsi="Times New Roman" w:eastAsia="方正仿宋_GBK" w:cs="Times New Roman"/>
          <w:color w:val="000000"/>
          <w:sz w:val="32"/>
          <w:szCs w:val="32"/>
          <w:lang w:val="zh-CN" w:eastAsia="zh-CN"/>
        </w:rPr>
        <w:t>整体支出绩效评价报告由上级主管行政机关统一公开。</w:t>
      </w:r>
    </w:p>
    <w:p>
      <w:pPr>
        <w:pageBreakBefore w:val="0"/>
        <w:kinsoku/>
        <w:wordWrap/>
        <w:overflowPunct/>
        <w:topLinePunct w:val="0"/>
        <w:bidi w:val="0"/>
        <w:snapToGrid/>
        <w:spacing w:line="580" w:lineRule="exact"/>
        <w:ind w:left="0" w:leftChars="0" w:right="0" w:firstLine="643" w:firstLineChars="200"/>
        <w:textAlignment w:val="auto"/>
        <w:rPr>
          <w:rFonts w:ascii="仿宋_GB2312" w:eastAsia="仿宋_GB2312"/>
          <w:b/>
          <w:color w:val="000000"/>
          <w:sz w:val="32"/>
          <w:szCs w:val="32"/>
        </w:rPr>
      </w:pPr>
    </w:p>
    <w:p>
      <w:pPr>
        <w:pageBreakBefore w:val="0"/>
        <w:widowControl/>
        <w:kinsoku/>
        <w:wordWrap/>
        <w:overflowPunct/>
        <w:topLinePunct w:val="0"/>
        <w:bidi w:val="0"/>
        <w:snapToGrid/>
        <w:ind w:left="0" w:leftChars="0" w:right="0"/>
        <w:jc w:val="left"/>
        <w:textAlignment w:val="auto"/>
        <w:rPr>
          <w:rFonts w:ascii="仿宋_GB2312" w:eastAsia="仿宋_GB2312"/>
          <w:b/>
          <w:color w:val="000000"/>
          <w:sz w:val="32"/>
          <w:szCs w:val="32"/>
        </w:rPr>
      </w:pPr>
      <w:r>
        <w:rPr>
          <w:rFonts w:ascii="仿宋_GB2312" w:eastAsia="仿宋_GB2312"/>
          <w:b/>
          <w:color w:val="000000"/>
          <w:sz w:val="32"/>
          <w:szCs w:val="32"/>
        </w:rPr>
        <w:br w:type="page"/>
      </w:r>
    </w:p>
    <w:p>
      <w:pPr>
        <w:pStyle w:val="6"/>
        <w:keepNext/>
        <w:keepLines/>
        <w:pageBreakBefore w:val="0"/>
        <w:widowControl w:val="0"/>
        <w:kinsoku/>
        <w:wordWrap/>
        <w:overflowPunct/>
        <w:topLinePunct w:val="0"/>
        <w:autoSpaceDE/>
        <w:autoSpaceDN/>
        <w:bidi w:val="0"/>
        <w:adjustRightInd/>
        <w:snapToGrid/>
        <w:spacing w:before="0" w:after="0" w:line="600" w:lineRule="exact"/>
        <w:ind w:left="0" w:leftChars="0" w:right="0"/>
        <w:jc w:val="center"/>
        <w:textAlignment w:val="auto"/>
        <w:rPr>
          <w:rFonts w:hint="eastAsia" w:ascii="方正小标宋_GBK" w:hAnsi="方正小标宋_GBK" w:eastAsia="方正小标宋_GBK" w:cs="方正小标宋_GBK"/>
          <w:b w:val="0"/>
        </w:rPr>
      </w:pPr>
      <w:bookmarkStart w:id="53" w:name="_Toc15396613"/>
      <w:bookmarkStart w:id="54" w:name="_Toc15377225"/>
      <w:r>
        <w:rPr>
          <w:rFonts w:hint="eastAsia" w:ascii="方正小标宋_GBK" w:hAnsi="方正小标宋_GBK" w:eastAsia="方正小标宋_GBK" w:cs="方正小标宋_GBK"/>
          <w:b w:val="0"/>
          <w:lang w:eastAsia="zh-CN"/>
        </w:rPr>
        <w:t>第三部分</w:t>
      </w:r>
      <w:r>
        <w:rPr>
          <w:rFonts w:hint="eastAsia" w:ascii="方正小标宋_GBK" w:hAnsi="方正小标宋_GBK" w:eastAsia="方正小标宋_GBK" w:cs="方正小标宋_GBK"/>
          <w:b w:val="0"/>
          <w:lang w:val="en-US" w:eastAsia="zh-CN"/>
        </w:rPr>
        <w:t xml:space="preserve">  </w:t>
      </w:r>
      <w:r>
        <w:rPr>
          <w:rFonts w:hint="eastAsia" w:ascii="方正小标宋_GBK" w:hAnsi="方正小标宋_GBK" w:eastAsia="方正小标宋_GBK" w:cs="方正小标宋_GBK"/>
          <w:b w:val="0"/>
        </w:rPr>
        <w:t>名词解释</w:t>
      </w:r>
      <w:bookmarkEnd w:id="53"/>
      <w:bookmarkEnd w:id="54"/>
    </w:p>
    <w:p>
      <w:pPr>
        <w:pageBreakBefore w:val="0"/>
        <w:kinsoku/>
        <w:wordWrap/>
        <w:overflowPunct/>
        <w:topLinePunct w:val="0"/>
        <w:bidi w:val="0"/>
        <w:spacing w:line="600" w:lineRule="exact"/>
        <w:ind w:left="0" w:leftChars="0" w:right="0"/>
        <w:jc w:val="left"/>
        <w:textAlignment w:val="auto"/>
        <w:rPr>
          <w:rFonts w:hint="default" w:ascii="Times New Roman" w:hAnsi="Times New Roman" w:eastAsia="方正仿宋_GBK" w:cs="Times New Roman"/>
          <w:b/>
          <w:color w:val="000000"/>
          <w:sz w:val="32"/>
          <w:szCs w:val="32"/>
        </w:rPr>
      </w:pPr>
    </w:p>
    <w:p>
      <w:pPr>
        <w:pageBreakBefore w:val="0"/>
        <w:kinsoku/>
        <w:wordWrap/>
        <w:overflowPunct/>
        <w:topLinePunct w:val="0"/>
        <w:bidi w:val="0"/>
        <w:ind w:left="0" w:leftChars="0" w:right="0" w:firstLine="640" w:firstLineChars="200"/>
        <w:textAlignment w:val="auto"/>
        <w:rPr>
          <w:rFonts w:hint="eastAsia" w:ascii="Times New Roman" w:hAnsi="Times New Roman" w:eastAsia="方正仿宋_GBK" w:cs="Times New Roman"/>
          <w:color w:val="000000"/>
          <w:sz w:val="32"/>
          <w:szCs w:val="32"/>
          <w:lang w:eastAsia="zh-CN"/>
        </w:rPr>
      </w:pPr>
    </w:p>
    <w:p>
      <w:pPr>
        <w:pageBreakBefore w:val="0"/>
        <w:kinsoku/>
        <w:wordWrap/>
        <w:overflowPunct/>
        <w:topLinePunct w:val="0"/>
        <w:bidi w:val="0"/>
        <w:ind w:left="0" w:leftChars="0" w:right="0"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1.财政拨款收入：指单位从同级财政部门取得的财政预算资金。</w:t>
      </w:r>
    </w:p>
    <w:p>
      <w:pPr>
        <w:pageBreakBefore w:val="0"/>
        <w:kinsoku/>
        <w:wordWrap/>
        <w:overflowPunct/>
        <w:topLinePunct w:val="0"/>
        <w:bidi w:val="0"/>
        <w:ind w:left="0" w:leftChars="0" w:right="0"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2.事业收入：指</w:t>
      </w:r>
      <w:r>
        <w:rPr>
          <w:rFonts w:hint="eastAsia" w:eastAsia="方正仿宋_GBK" w:cs="Times New Roman"/>
          <w:color w:val="000000"/>
          <w:sz w:val="32"/>
          <w:szCs w:val="32"/>
          <w:lang w:val="en-US" w:eastAsia="zh-CN"/>
        </w:rPr>
        <w:t>行政</w:t>
      </w:r>
      <w:r>
        <w:rPr>
          <w:rFonts w:hint="default" w:ascii="Times New Roman" w:hAnsi="Times New Roman" w:eastAsia="方正仿宋_GBK" w:cs="Times New Roman"/>
          <w:color w:val="000000"/>
          <w:sz w:val="32"/>
          <w:szCs w:val="32"/>
        </w:rPr>
        <w:t>事业单位开展专业业务活动及辅助活动取得的收入。如会计考试中心收取教务费等。</w:t>
      </w:r>
    </w:p>
    <w:p>
      <w:pPr>
        <w:pageBreakBefore w:val="0"/>
        <w:kinsoku/>
        <w:wordWrap/>
        <w:overflowPunct/>
        <w:topLinePunct w:val="0"/>
        <w:bidi w:val="0"/>
        <w:ind w:left="0" w:leftChars="0" w:right="0"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3.经营收入：指</w:t>
      </w:r>
      <w:r>
        <w:rPr>
          <w:rFonts w:hint="eastAsia" w:eastAsia="方正仿宋_GBK" w:cs="Times New Roman"/>
          <w:color w:val="000000"/>
          <w:sz w:val="32"/>
          <w:szCs w:val="32"/>
          <w:lang w:val="en-US" w:eastAsia="zh-CN"/>
        </w:rPr>
        <w:t>行政</w:t>
      </w:r>
      <w:r>
        <w:rPr>
          <w:rFonts w:hint="default" w:ascii="Times New Roman" w:hAnsi="Times New Roman" w:eastAsia="方正仿宋_GBK" w:cs="Times New Roman"/>
          <w:color w:val="000000"/>
          <w:sz w:val="32"/>
          <w:szCs w:val="32"/>
        </w:rPr>
        <w:t>事业单位在专业业务活动及其辅助活动之外开展非独立核算经营活动取得的收入。</w:t>
      </w:r>
    </w:p>
    <w:p>
      <w:pPr>
        <w:pageBreakBefore w:val="0"/>
        <w:kinsoku/>
        <w:wordWrap/>
        <w:overflowPunct/>
        <w:topLinePunct w:val="0"/>
        <w:bidi w:val="0"/>
        <w:ind w:left="0" w:leftChars="0" w:right="0"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4.其他收入：指单位取得的除上述收入以外的各项收入。 </w:t>
      </w:r>
    </w:p>
    <w:p>
      <w:pPr>
        <w:pageBreakBefore w:val="0"/>
        <w:kinsoku/>
        <w:wordWrap/>
        <w:overflowPunct/>
        <w:topLinePunct w:val="0"/>
        <w:bidi w:val="0"/>
        <w:ind w:left="0" w:leftChars="0" w:right="0"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5.用事业基金弥补收支差额：指</w:t>
      </w:r>
      <w:r>
        <w:rPr>
          <w:rFonts w:hint="eastAsia" w:eastAsia="方正仿宋_GBK" w:cs="Times New Roman"/>
          <w:color w:val="000000"/>
          <w:sz w:val="32"/>
          <w:szCs w:val="32"/>
          <w:lang w:val="en-US" w:eastAsia="zh-CN"/>
        </w:rPr>
        <w:t>行政</w:t>
      </w:r>
      <w:r>
        <w:rPr>
          <w:rFonts w:hint="default" w:ascii="Times New Roman" w:hAnsi="Times New Roman" w:eastAsia="方正仿宋_GBK" w:cs="Times New Roman"/>
          <w:color w:val="000000"/>
          <w:sz w:val="32"/>
          <w:szCs w:val="32"/>
        </w:rPr>
        <w:t>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ageBreakBefore w:val="0"/>
        <w:kinsoku/>
        <w:wordWrap/>
        <w:overflowPunct/>
        <w:topLinePunct w:val="0"/>
        <w:bidi w:val="0"/>
        <w:ind w:left="0" w:leftChars="0" w:right="0"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6.年初结转和结余：指以前年度尚未完成、结转到本年按有关规定继续使用的资金。 </w:t>
      </w:r>
    </w:p>
    <w:p>
      <w:pPr>
        <w:pageBreakBefore w:val="0"/>
        <w:kinsoku/>
        <w:wordWrap/>
        <w:overflowPunct/>
        <w:topLinePunct w:val="0"/>
        <w:bidi w:val="0"/>
        <w:ind w:left="0" w:leftChars="0" w:right="0"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7.结余分配：指</w:t>
      </w:r>
      <w:r>
        <w:rPr>
          <w:rFonts w:hint="eastAsia" w:eastAsia="方正仿宋_GBK" w:cs="Times New Roman"/>
          <w:color w:val="000000"/>
          <w:sz w:val="32"/>
          <w:szCs w:val="32"/>
          <w:lang w:val="en-US" w:eastAsia="zh-CN"/>
        </w:rPr>
        <w:t>行政</w:t>
      </w:r>
      <w:r>
        <w:rPr>
          <w:rFonts w:hint="default" w:ascii="Times New Roman" w:hAnsi="Times New Roman" w:eastAsia="方正仿宋_GBK" w:cs="Times New Roman"/>
          <w:color w:val="000000"/>
          <w:sz w:val="32"/>
          <w:szCs w:val="32"/>
        </w:rPr>
        <w:t>事业单位按照事业单位会计制度的规定从非财政补助结余中分配的事业基金和职工福利基金等。</w:t>
      </w:r>
    </w:p>
    <w:p>
      <w:pPr>
        <w:pageBreakBefore w:val="0"/>
        <w:kinsoku/>
        <w:wordWrap/>
        <w:overflowPunct/>
        <w:topLinePunct w:val="0"/>
        <w:bidi w:val="0"/>
        <w:ind w:left="0" w:leftChars="0" w:right="0"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8、年末结转和结余：指单位按有关规定结转到下年或以后年度继续使用的资金。</w:t>
      </w:r>
    </w:p>
    <w:p>
      <w:pPr>
        <w:pageBreakBefore w:val="0"/>
        <w:kinsoku/>
        <w:wordWrap/>
        <w:overflowPunct/>
        <w:topLinePunct w:val="0"/>
        <w:bidi w:val="0"/>
        <w:ind w:left="0" w:leftChars="0" w:right="0"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9.教育支出(类)进修及培训(款)培训支出(项): 指用于部门财政业务培训等支出。</w:t>
      </w:r>
    </w:p>
    <w:p>
      <w:pPr>
        <w:pageBreakBefore w:val="0"/>
        <w:kinsoku/>
        <w:wordWrap/>
        <w:overflowPunct/>
        <w:topLinePunct w:val="0"/>
        <w:bidi w:val="0"/>
        <w:ind w:left="0" w:leftChars="0" w:right="0"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10.社会保障和就业(类)行政事业单位养老支出(款) 机关事业单位基本养老保险缴费支出(项):指部门实施养老保险制度由单位缴纳的养老保险费的支出。</w:t>
      </w:r>
    </w:p>
    <w:p>
      <w:pPr>
        <w:pageBreakBefore w:val="0"/>
        <w:kinsoku/>
        <w:wordWrap/>
        <w:overflowPunct/>
        <w:topLinePunct w:val="0"/>
        <w:bidi w:val="0"/>
        <w:ind w:left="0" w:leftChars="0" w:right="0"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11.卫生健康支出(类)行政事业单位医疗(款) 行政单位医疗(项):指单位用于缴纳单位公务员基本医疗保险支出。</w:t>
      </w:r>
    </w:p>
    <w:p>
      <w:pPr>
        <w:pageBreakBefore w:val="0"/>
        <w:kinsoku/>
        <w:wordWrap/>
        <w:overflowPunct/>
        <w:topLinePunct w:val="0"/>
        <w:bidi w:val="0"/>
        <w:ind w:left="0" w:leftChars="0" w:right="0"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12.卫生健康支出(类)行政事业单位医疗(款) 事业单位医疗(项):指单位用于缴纳事业单位基本医疗保险支出。</w:t>
      </w:r>
    </w:p>
    <w:p>
      <w:pPr>
        <w:pageBreakBefore w:val="0"/>
        <w:kinsoku/>
        <w:wordWrap/>
        <w:overflowPunct/>
        <w:topLinePunct w:val="0"/>
        <w:bidi w:val="0"/>
        <w:ind w:left="0" w:leftChars="0" w:right="0"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13.卫生健康支出(类)行政事业单位医疗(款) 公务员医疗补助(项):指单位在基本医疗保险制度的基础上，为公务员缴纳的补充医疗保障，。</w:t>
      </w:r>
    </w:p>
    <w:p>
      <w:pPr>
        <w:pageBreakBefore w:val="0"/>
        <w:kinsoku/>
        <w:wordWrap/>
        <w:overflowPunct/>
        <w:topLinePunct w:val="0"/>
        <w:bidi w:val="0"/>
        <w:ind w:left="0" w:leftChars="0" w:right="0"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14.自然资源气象支出(类)自然资源事务(款) 行政运行(项):指单位用于保障机构正常运行、开展日常工作的基本支出。</w:t>
      </w:r>
    </w:p>
    <w:p>
      <w:pPr>
        <w:pageBreakBefore w:val="0"/>
        <w:kinsoku/>
        <w:wordWrap/>
        <w:overflowPunct/>
        <w:topLinePunct w:val="0"/>
        <w:bidi w:val="0"/>
        <w:ind w:left="0" w:leftChars="0" w:right="0"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15.自然资源气象支出(类)自然资源事务(款) 行政运行(项):指单位用于保障机构正常运行、开展日常工作的基本支出。</w:t>
      </w:r>
    </w:p>
    <w:p>
      <w:pPr>
        <w:pageBreakBefore w:val="0"/>
        <w:kinsoku/>
        <w:wordWrap/>
        <w:overflowPunct/>
        <w:topLinePunct w:val="0"/>
        <w:bidi w:val="0"/>
        <w:ind w:left="0" w:leftChars="0" w:right="0"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16.自然资源气象支出(类)自然资源事务(款) 一般行政事务管理支出(项):指单位用于保障机构正常运行、开展日常工作的项目支出。</w:t>
      </w:r>
    </w:p>
    <w:p>
      <w:pPr>
        <w:pageBreakBefore w:val="0"/>
        <w:kinsoku/>
        <w:wordWrap/>
        <w:overflowPunct/>
        <w:topLinePunct w:val="0"/>
        <w:bidi w:val="0"/>
        <w:ind w:left="0" w:leftChars="0" w:right="0"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17.住房保障(类)住房改革支出(款)住房公积金(项): 反映行政事业单位按规定为职工缴纳的住房公积金。</w:t>
      </w:r>
    </w:p>
    <w:p>
      <w:pPr>
        <w:pageBreakBefore w:val="0"/>
        <w:kinsoku/>
        <w:wordWrap/>
        <w:overflowPunct/>
        <w:topLinePunct w:val="0"/>
        <w:bidi w:val="0"/>
        <w:ind w:left="0" w:leftChars="0" w:right="0"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1</w:t>
      </w:r>
      <w:r>
        <w:rPr>
          <w:rFonts w:hint="eastAsia" w:eastAsia="方正仿宋_GBK" w:cs="Times New Roman"/>
          <w:color w:val="000000"/>
          <w:sz w:val="32"/>
          <w:szCs w:val="32"/>
          <w:lang w:val="en-US" w:eastAsia="zh-CN"/>
        </w:rPr>
        <w:t>8</w:t>
      </w:r>
      <w:r>
        <w:rPr>
          <w:rFonts w:hint="default" w:ascii="Times New Roman" w:hAnsi="Times New Roman" w:eastAsia="方正仿宋_GBK" w:cs="Times New Roman"/>
          <w:color w:val="000000"/>
          <w:sz w:val="32"/>
          <w:szCs w:val="32"/>
        </w:rPr>
        <w:t>.基本支出：指为保障机构正常运转、完成日常工作任务而发生的人员支出和公用支出。</w:t>
      </w:r>
    </w:p>
    <w:p>
      <w:pPr>
        <w:pageBreakBefore w:val="0"/>
        <w:kinsoku/>
        <w:wordWrap/>
        <w:overflowPunct/>
        <w:topLinePunct w:val="0"/>
        <w:bidi w:val="0"/>
        <w:ind w:left="0" w:leftChars="0" w:right="0" w:firstLine="640" w:firstLineChars="200"/>
        <w:textAlignment w:val="auto"/>
        <w:rPr>
          <w:rFonts w:hint="eastAsia" w:ascii="Times New Roman" w:hAnsi="Times New Roman" w:eastAsia="方正仿宋_GBK" w:cs="Times New Roman"/>
          <w:color w:val="000000"/>
          <w:sz w:val="32"/>
          <w:szCs w:val="32"/>
          <w:lang w:eastAsia="zh-CN"/>
        </w:rPr>
      </w:pPr>
      <w:r>
        <w:rPr>
          <w:rFonts w:hint="eastAsia" w:eastAsia="方正仿宋_GBK" w:cs="Times New Roman"/>
          <w:color w:val="000000"/>
          <w:sz w:val="32"/>
          <w:szCs w:val="32"/>
          <w:lang w:val="en-US" w:eastAsia="zh-CN"/>
        </w:rPr>
        <w:t>19</w:t>
      </w:r>
      <w:r>
        <w:rPr>
          <w:rFonts w:hint="default" w:ascii="Times New Roman" w:hAnsi="Times New Roman" w:eastAsia="方正仿宋_GBK" w:cs="Times New Roman"/>
          <w:color w:val="000000"/>
          <w:sz w:val="32"/>
          <w:szCs w:val="32"/>
        </w:rPr>
        <w:t>.项目支出：指在基本支出之外为完成特定行政任务和事业发展目标所发生的支出。 </w:t>
      </w:r>
    </w:p>
    <w:p>
      <w:pPr>
        <w:pageBreakBefore w:val="0"/>
        <w:kinsoku/>
        <w:wordWrap/>
        <w:overflowPunct/>
        <w:topLinePunct w:val="0"/>
        <w:bidi w:val="0"/>
        <w:ind w:left="0" w:leftChars="0" w:right="0" w:firstLine="640" w:firstLineChars="200"/>
        <w:textAlignment w:val="auto"/>
        <w:rPr>
          <w:rFonts w:hint="eastAsia" w:ascii="Times New Roman" w:hAnsi="Times New Roman" w:eastAsia="方正仿宋_GBK" w:cs="Times New Roman"/>
          <w:color w:val="000000"/>
          <w:sz w:val="32"/>
          <w:szCs w:val="32"/>
          <w:lang w:eastAsia="zh-CN"/>
        </w:rPr>
      </w:pPr>
      <w:r>
        <w:rPr>
          <w:rFonts w:hint="eastAsia" w:eastAsia="方正仿宋_GBK" w:cs="Times New Roman"/>
          <w:color w:val="000000"/>
          <w:sz w:val="32"/>
          <w:szCs w:val="32"/>
          <w:lang w:val="en-US" w:eastAsia="zh-CN"/>
        </w:rPr>
        <w:t>20</w:t>
      </w:r>
      <w:r>
        <w:rPr>
          <w:rFonts w:hint="default" w:ascii="Times New Roman" w:hAnsi="Times New Roman" w:eastAsia="方正仿宋_GBK" w:cs="Times New Roman"/>
          <w:color w:val="000000"/>
          <w:sz w:val="32"/>
          <w:szCs w:val="32"/>
        </w:rPr>
        <w:t>.经营支出：指事业单位在专业业务活动及其辅助活动之外开展非独立核算经营活动发生的支出。</w:t>
      </w:r>
    </w:p>
    <w:p>
      <w:pPr>
        <w:pageBreakBefore w:val="0"/>
        <w:kinsoku/>
        <w:wordWrap/>
        <w:overflowPunct/>
        <w:topLinePunct w:val="0"/>
        <w:bidi w:val="0"/>
        <w:ind w:left="0" w:leftChars="0" w:right="0"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2</w:t>
      </w:r>
      <w:r>
        <w:rPr>
          <w:rFonts w:hint="eastAsia"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ageBreakBefore w:val="0"/>
        <w:kinsoku/>
        <w:wordWrap/>
        <w:overflowPunct/>
        <w:topLinePunct w:val="0"/>
        <w:bidi w:val="0"/>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2</w:t>
      </w:r>
      <w:r>
        <w:rPr>
          <w:rFonts w:hint="eastAsia"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rPr>
          <w:rFonts w:hint="default"/>
        </w:rPr>
      </w:pPr>
    </w:p>
    <w:p>
      <w:pPr>
        <w:pageBreakBefore w:val="0"/>
        <w:kinsoku/>
        <w:wordWrap/>
        <w:overflowPunct/>
        <w:topLinePunct w:val="0"/>
        <w:bidi w:val="0"/>
        <w:spacing w:line="600" w:lineRule="exact"/>
        <w:ind w:left="0" w:leftChars="0" w:right="0"/>
        <w:jc w:val="left"/>
        <w:textAlignment w:val="auto"/>
        <w:outlineLvl w:val="0"/>
        <w:rPr>
          <w:rFonts w:ascii="方正小标宋简体" w:hAnsi="方正小标宋简体" w:eastAsia="方正小标宋简体" w:cs="方正小标宋简体"/>
          <w:sz w:val="32"/>
          <w:szCs w:val="32"/>
        </w:rPr>
      </w:pPr>
      <w:bookmarkStart w:id="55" w:name="_Toc15377226"/>
      <w:r>
        <w:rPr>
          <w:rFonts w:ascii="宋体"/>
          <w:b/>
          <w:color w:val="000000"/>
          <w:sz w:val="44"/>
          <w:szCs w:val="44"/>
        </w:rPr>
        <w:br w:type="page"/>
      </w:r>
    </w:p>
    <w:p>
      <w:pPr>
        <w:pStyle w:val="6"/>
        <w:keepNext/>
        <w:keepLines/>
        <w:pageBreakBefore w:val="0"/>
        <w:widowControl w:val="0"/>
        <w:kinsoku/>
        <w:wordWrap/>
        <w:overflowPunct/>
        <w:topLinePunct w:val="0"/>
        <w:autoSpaceDE/>
        <w:autoSpaceDN/>
        <w:bidi w:val="0"/>
        <w:adjustRightInd/>
        <w:snapToGrid/>
        <w:spacing w:before="0" w:after="0" w:line="600" w:lineRule="exact"/>
        <w:ind w:left="0" w:leftChars="0" w:right="0"/>
        <w:jc w:val="center"/>
        <w:textAlignment w:val="auto"/>
        <w:rPr>
          <w:rFonts w:hint="eastAsia" w:ascii="方正小标宋_GBK" w:hAnsi="方正小标宋_GBK" w:eastAsia="方正小标宋_GBK" w:cs="方正小标宋_GBK"/>
          <w:b w:val="0"/>
        </w:rPr>
      </w:pPr>
      <w:bookmarkStart w:id="56" w:name="_Toc15396618"/>
      <w:r>
        <w:rPr>
          <w:rFonts w:hint="eastAsia" w:ascii="方正小标宋_GBK" w:hAnsi="方正小标宋_GBK" w:eastAsia="方正小标宋_GBK" w:cs="方正小标宋_GBK"/>
          <w:b w:val="0"/>
        </w:rPr>
        <w:t>第</w:t>
      </w:r>
      <w:r>
        <w:rPr>
          <w:rFonts w:hint="eastAsia" w:ascii="方正小标宋_GBK" w:hAnsi="方正小标宋_GBK" w:eastAsia="方正小标宋_GBK" w:cs="方正小标宋_GBK"/>
          <w:b w:val="0"/>
          <w:lang w:val="en-US" w:eastAsia="zh-CN"/>
        </w:rPr>
        <w:t>四</w:t>
      </w:r>
      <w:r>
        <w:rPr>
          <w:rFonts w:hint="eastAsia" w:ascii="方正小标宋_GBK" w:hAnsi="方正小标宋_GBK" w:eastAsia="方正小标宋_GBK" w:cs="方正小标宋_GBK"/>
          <w:b w:val="0"/>
        </w:rPr>
        <w:t>部分 附表</w:t>
      </w:r>
      <w:bookmarkEnd w:id="55"/>
      <w:bookmarkEnd w:id="56"/>
    </w:p>
    <w:p>
      <w:pPr>
        <w:pStyle w:val="7"/>
        <w:keepNext/>
        <w:keepLines/>
        <w:pageBreakBefore w:val="0"/>
        <w:widowControl w:val="0"/>
        <w:kinsoku/>
        <w:wordWrap/>
        <w:overflowPunct/>
        <w:topLinePunct w:val="0"/>
        <w:autoSpaceDE/>
        <w:autoSpaceDN/>
        <w:bidi w:val="0"/>
        <w:adjustRightInd/>
        <w:snapToGrid/>
        <w:spacing w:before="0" w:after="0" w:line="576" w:lineRule="exact"/>
        <w:ind w:left="0" w:leftChars="0" w:right="0"/>
        <w:textAlignment w:val="auto"/>
        <w:rPr>
          <w:rFonts w:hint="default" w:ascii="Times New Roman" w:hAnsi="Times New Roman" w:eastAsia="方正仿宋_GBK" w:cs="Times New Roman"/>
          <w:b w:val="0"/>
          <w:color w:val="000000"/>
        </w:rPr>
      </w:pPr>
      <w:bookmarkStart w:id="57" w:name="_Toc15396619"/>
    </w:p>
    <w:p>
      <w:pPr>
        <w:pStyle w:val="7"/>
        <w:keepNext/>
        <w:keepLines/>
        <w:pageBreakBefore w:val="0"/>
        <w:widowControl w:val="0"/>
        <w:kinsoku/>
        <w:wordWrap/>
        <w:overflowPunct/>
        <w:topLinePunct w:val="0"/>
        <w:autoSpaceDE/>
        <w:autoSpaceDN/>
        <w:bidi w:val="0"/>
        <w:adjustRightInd/>
        <w:snapToGrid/>
        <w:spacing w:before="0" w:after="0" w:line="576" w:lineRule="exact"/>
        <w:ind w:left="0" w:leftChars="0" w:right="0"/>
        <w:textAlignment w:val="auto"/>
        <w:rPr>
          <w:rFonts w:hint="default" w:ascii="Times New Roman" w:hAnsi="Times New Roman" w:eastAsia="方正仿宋_GBK" w:cs="Times New Roman"/>
          <w:color w:val="000000"/>
        </w:rPr>
      </w:pPr>
      <w:r>
        <w:rPr>
          <w:rFonts w:hint="default" w:ascii="Times New Roman" w:hAnsi="Times New Roman" w:eastAsia="方正仿宋_GBK" w:cs="Times New Roman"/>
          <w:b w:val="0"/>
          <w:color w:val="000000"/>
        </w:rPr>
        <w:t>一、收</w:t>
      </w:r>
      <w:r>
        <w:rPr>
          <w:rStyle w:val="28"/>
          <w:rFonts w:hint="default" w:ascii="Times New Roman" w:hAnsi="Times New Roman" w:eastAsia="方正仿宋_GBK" w:cs="Times New Roman"/>
          <w:b w:val="0"/>
          <w:bCs w:val="0"/>
        </w:rPr>
        <w:t>入支出决算总表</w:t>
      </w:r>
      <w:bookmarkEnd w:id="57"/>
    </w:p>
    <w:p>
      <w:pPr>
        <w:pStyle w:val="7"/>
        <w:keepNext/>
        <w:keepLines/>
        <w:pageBreakBefore w:val="0"/>
        <w:widowControl w:val="0"/>
        <w:kinsoku/>
        <w:wordWrap/>
        <w:overflowPunct/>
        <w:topLinePunct w:val="0"/>
        <w:autoSpaceDE/>
        <w:autoSpaceDN/>
        <w:bidi w:val="0"/>
        <w:adjustRightInd/>
        <w:snapToGrid/>
        <w:spacing w:before="0" w:after="0" w:line="576" w:lineRule="exact"/>
        <w:ind w:left="0" w:leftChars="0" w:right="0"/>
        <w:textAlignment w:val="auto"/>
        <w:rPr>
          <w:rFonts w:hint="default" w:ascii="Times New Roman" w:hAnsi="Times New Roman" w:eastAsia="方正仿宋_GBK" w:cs="Times New Roman"/>
          <w:color w:val="000000"/>
        </w:rPr>
      </w:pPr>
      <w:bookmarkStart w:id="58" w:name="_Toc15396620"/>
      <w:r>
        <w:rPr>
          <w:rFonts w:hint="default" w:ascii="Times New Roman" w:hAnsi="Times New Roman" w:eastAsia="方正仿宋_GBK" w:cs="Times New Roman"/>
          <w:b w:val="0"/>
          <w:color w:val="000000"/>
        </w:rPr>
        <w:t>二、收</w:t>
      </w:r>
      <w:r>
        <w:rPr>
          <w:rStyle w:val="28"/>
          <w:rFonts w:hint="default" w:ascii="Times New Roman" w:hAnsi="Times New Roman" w:eastAsia="方正仿宋_GBK" w:cs="Times New Roman"/>
          <w:b w:val="0"/>
          <w:bCs w:val="0"/>
        </w:rPr>
        <w:t>入决算表</w:t>
      </w:r>
      <w:bookmarkEnd w:id="58"/>
    </w:p>
    <w:p>
      <w:pPr>
        <w:pStyle w:val="7"/>
        <w:keepNext/>
        <w:keepLines/>
        <w:pageBreakBefore w:val="0"/>
        <w:widowControl w:val="0"/>
        <w:kinsoku/>
        <w:wordWrap/>
        <w:overflowPunct/>
        <w:topLinePunct w:val="0"/>
        <w:autoSpaceDE/>
        <w:autoSpaceDN/>
        <w:bidi w:val="0"/>
        <w:adjustRightInd/>
        <w:snapToGrid/>
        <w:spacing w:before="0" w:after="0" w:line="576" w:lineRule="exact"/>
        <w:ind w:left="0" w:leftChars="0" w:right="0"/>
        <w:textAlignment w:val="auto"/>
        <w:rPr>
          <w:rFonts w:hint="default" w:ascii="Times New Roman" w:hAnsi="Times New Roman" w:eastAsia="方正仿宋_GBK" w:cs="Times New Roman"/>
          <w:color w:val="000000"/>
        </w:rPr>
      </w:pPr>
      <w:bookmarkStart w:id="59" w:name="_Toc15396621"/>
      <w:r>
        <w:rPr>
          <w:rStyle w:val="28"/>
          <w:rFonts w:hint="default" w:ascii="Times New Roman" w:hAnsi="Times New Roman" w:eastAsia="方正仿宋_GBK" w:cs="Times New Roman"/>
          <w:b w:val="0"/>
          <w:bCs w:val="0"/>
        </w:rPr>
        <w:t>三、</w:t>
      </w:r>
      <w:r>
        <w:rPr>
          <w:rFonts w:hint="default" w:ascii="Times New Roman" w:hAnsi="Times New Roman" w:eastAsia="方正仿宋_GBK" w:cs="Times New Roman"/>
          <w:b w:val="0"/>
          <w:color w:val="000000"/>
        </w:rPr>
        <w:t>支</w:t>
      </w:r>
      <w:r>
        <w:rPr>
          <w:rStyle w:val="28"/>
          <w:rFonts w:hint="default" w:ascii="Times New Roman" w:hAnsi="Times New Roman" w:eastAsia="方正仿宋_GBK" w:cs="Times New Roman"/>
          <w:b w:val="0"/>
          <w:bCs w:val="0"/>
        </w:rPr>
        <w:t>出决算表</w:t>
      </w:r>
      <w:bookmarkEnd w:id="59"/>
    </w:p>
    <w:p>
      <w:pPr>
        <w:pStyle w:val="7"/>
        <w:keepNext/>
        <w:keepLines/>
        <w:pageBreakBefore w:val="0"/>
        <w:widowControl w:val="0"/>
        <w:kinsoku/>
        <w:wordWrap/>
        <w:overflowPunct/>
        <w:topLinePunct w:val="0"/>
        <w:autoSpaceDE/>
        <w:autoSpaceDN/>
        <w:bidi w:val="0"/>
        <w:adjustRightInd/>
        <w:snapToGrid/>
        <w:spacing w:before="0" w:after="0" w:line="576" w:lineRule="exact"/>
        <w:ind w:left="0" w:leftChars="0" w:right="0"/>
        <w:textAlignment w:val="auto"/>
        <w:rPr>
          <w:rFonts w:hint="default" w:ascii="Times New Roman" w:hAnsi="Times New Roman" w:eastAsia="方正仿宋_GBK" w:cs="Times New Roman"/>
          <w:b w:val="0"/>
          <w:color w:val="000000"/>
        </w:rPr>
      </w:pPr>
      <w:bookmarkStart w:id="60" w:name="_Toc15396622"/>
      <w:r>
        <w:rPr>
          <w:rStyle w:val="28"/>
          <w:rFonts w:hint="default" w:ascii="Times New Roman" w:hAnsi="Times New Roman" w:eastAsia="方正仿宋_GBK" w:cs="Times New Roman"/>
          <w:b w:val="0"/>
          <w:bCs w:val="0"/>
        </w:rPr>
        <w:t>四、</w:t>
      </w:r>
      <w:r>
        <w:rPr>
          <w:rFonts w:hint="default" w:ascii="Times New Roman" w:hAnsi="Times New Roman" w:eastAsia="方正仿宋_GBK" w:cs="Times New Roman"/>
          <w:b w:val="0"/>
          <w:color w:val="000000"/>
        </w:rPr>
        <w:t>财</w:t>
      </w:r>
      <w:r>
        <w:rPr>
          <w:rStyle w:val="28"/>
          <w:rFonts w:hint="default" w:ascii="Times New Roman" w:hAnsi="Times New Roman" w:eastAsia="方正仿宋_GBK" w:cs="Times New Roman"/>
          <w:b w:val="0"/>
          <w:bCs w:val="0"/>
        </w:rPr>
        <w:t>政拨款收入支出决算总表</w:t>
      </w:r>
      <w:bookmarkEnd w:id="60"/>
    </w:p>
    <w:p>
      <w:pPr>
        <w:pStyle w:val="7"/>
        <w:keepNext/>
        <w:keepLines/>
        <w:pageBreakBefore w:val="0"/>
        <w:widowControl w:val="0"/>
        <w:kinsoku/>
        <w:wordWrap/>
        <w:overflowPunct/>
        <w:topLinePunct w:val="0"/>
        <w:autoSpaceDE/>
        <w:autoSpaceDN/>
        <w:bidi w:val="0"/>
        <w:adjustRightInd/>
        <w:snapToGrid/>
        <w:spacing w:before="0" w:after="0" w:line="576" w:lineRule="exact"/>
        <w:ind w:left="0" w:leftChars="0" w:right="0"/>
        <w:textAlignment w:val="auto"/>
        <w:rPr>
          <w:rStyle w:val="28"/>
          <w:rFonts w:hint="default" w:ascii="Times New Roman" w:hAnsi="Times New Roman" w:eastAsia="方正仿宋_GBK" w:cs="Times New Roman"/>
          <w:b w:val="0"/>
          <w:bCs w:val="0"/>
        </w:rPr>
      </w:pPr>
      <w:bookmarkStart w:id="61" w:name="_Toc15396623"/>
      <w:r>
        <w:rPr>
          <w:rStyle w:val="28"/>
          <w:rFonts w:hint="default" w:ascii="Times New Roman" w:hAnsi="Times New Roman" w:eastAsia="方正仿宋_GBK" w:cs="Times New Roman"/>
          <w:b w:val="0"/>
          <w:bCs w:val="0"/>
        </w:rPr>
        <w:t>五、</w:t>
      </w:r>
      <w:r>
        <w:rPr>
          <w:rFonts w:hint="default" w:ascii="Times New Roman" w:hAnsi="Times New Roman" w:eastAsia="方正仿宋_GBK" w:cs="Times New Roman"/>
          <w:b w:val="0"/>
          <w:color w:val="000000"/>
        </w:rPr>
        <w:t>财</w:t>
      </w:r>
      <w:r>
        <w:rPr>
          <w:rStyle w:val="28"/>
          <w:rFonts w:hint="default" w:ascii="Times New Roman" w:hAnsi="Times New Roman" w:eastAsia="方正仿宋_GBK" w:cs="Times New Roman"/>
          <w:b w:val="0"/>
          <w:bCs w:val="0"/>
        </w:rPr>
        <w:t>政拨款支出决算明细表</w:t>
      </w:r>
      <w:bookmarkEnd w:id="61"/>
      <w:bookmarkStart w:id="62" w:name="_Toc15396624"/>
    </w:p>
    <w:p>
      <w:pPr>
        <w:pStyle w:val="7"/>
        <w:keepNext/>
        <w:keepLines/>
        <w:pageBreakBefore w:val="0"/>
        <w:widowControl w:val="0"/>
        <w:kinsoku/>
        <w:wordWrap/>
        <w:overflowPunct/>
        <w:topLinePunct w:val="0"/>
        <w:autoSpaceDE/>
        <w:autoSpaceDN/>
        <w:bidi w:val="0"/>
        <w:adjustRightInd/>
        <w:snapToGrid/>
        <w:spacing w:before="0" w:after="0" w:line="576" w:lineRule="exact"/>
        <w:ind w:left="0" w:leftChars="0" w:right="0"/>
        <w:textAlignment w:val="auto"/>
        <w:rPr>
          <w:rFonts w:hint="default" w:ascii="Times New Roman" w:hAnsi="Times New Roman" w:eastAsia="方正仿宋_GBK" w:cs="Times New Roman"/>
          <w:color w:val="000000"/>
        </w:rPr>
      </w:pPr>
      <w:r>
        <w:rPr>
          <w:rStyle w:val="28"/>
          <w:rFonts w:hint="default" w:ascii="Times New Roman" w:hAnsi="Times New Roman" w:eastAsia="方正仿宋_GBK" w:cs="Times New Roman"/>
          <w:b w:val="0"/>
          <w:bCs w:val="0"/>
        </w:rPr>
        <w:t>六、</w:t>
      </w:r>
      <w:r>
        <w:rPr>
          <w:rFonts w:hint="default" w:ascii="Times New Roman" w:hAnsi="Times New Roman" w:eastAsia="方正仿宋_GBK" w:cs="Times New Roman"/>
          <w:b w:val="0"/>
          <w:color w:val="000000"/>
        </w:rPr>
        <w:t>一</w:t>
      </w:r>
      <w:r>
        <w:rPr>
          <w:rStyle w:val="28"/>
          <w:rFonts w:hint="default" w:ascii="Times New Roman" w:hAnsi="Times New Roman" w:eastAsia="方正仿宋_GBK" w:cs="Times New Roman"/>
          <w:b w:val="0"/>
          <w:bCs w:val="0"/>
        </w:rPr>
        <w:t>般公共预算财政拨款支出决算表</w:t>
      </w:r>
      <w:bookmarkEnd w:id="62"/>
    </w:p>
    <w:p>
      <w:pPr>
        <w:pStyle w:val="7"/>
        <w:keepNext/>
        <w:keepLines/>
        <w:pageBreakBefore w:val="0"/>
        <w:widowControl w:val="0"/>
        <w:kinsoku/>
        <w:wordWrap/>
        <w:overflowPunct/>
        <w:topLinePunct w:val="0"/>
        <w:autoSpaceDE/>
        <w:autoSpaceDN/>
        <w:bidi w:val="0"/>
        <w:adjustRightInd/>
        <w:snapToGrid/>
        <w:spacing w:before="0" w:after="0" w:line="576" w:lineRule="exact"/>
        <w:ind w:left="0" w:leftChars="0" w:right="0"/>
        <w:textAlignment w:val="auto"/>
        <w:rPr>
          <w:rFonts w:hint="default" w:ascii="Times New Roman" w:hAnsi="Times New Roman" w:eastAsia="方正仿宋_GBK" w:cs="Times New Roman"/>
          <w:color w:val="000000"/>
        </w:rPr>
      </w:pPr>
      <w:bookmarkStart w:id="63" w:name="_Toc15396625"/>
      <w:r>
        <w:rPr>
          <w:rStyle w:val="28"/>
          <w:rFonts w:hint="default" w:ascii="Times New Roman" w:hAnsi="Times New Roman" w:eastAsia="方正仿宋_GBK" w:cs="Times New Roman"/>
          <w:b w:val="0"/>
          <w:bCs w:val="0"/>
        </w:rPr>
        <w:t>七、</w:t>
      </w:r>
      <w:r>
        <w:rPr>
          <w:rFonts w:hint="default" w:ascii="Times New Roman" w:hAnsi="Times New Roman" w:eastAsia="方正仿宋_GBK" w:cs="Times New Roman"/>
          <w:b w:val="0"/>
          <w:color w:val="000000"/>
        </w:rPr>
        <w:t>一</w:t>
      </w:r>
      <w:r>
        <w:rPr>
          <w:rStyle w:val="28"/>
          <w:rFonts w:hint="default" w:ascii="Times New Roman" w:hAnsi="Times New Roman" w:eastAsia="方正仿宋_GBK" w:cs="Times New Roman"/>
          <w:b w:val="0"/>
          <w:bCs w:val="0"/>
        </w:rPr>
        <w:t>般公共预算财政拨款支出决算明细表</w:t>
      </w:r>
      <w:bookmarkEnd w:id="63"/>
    </w:p>
    <w:p>
      <w:pPr>
        <w:pStyle w:val="7"/>
        <w:keepNext/>
        <w:keepLines/>
        <w:pageBreakBefore w:val="0"/>
        <w:widowControl w:val="0"/>
        <w:kinsoku/>
        <w:wordWrap/>
        <w:overflowPunct/>
        <w:topLinePunct w:val="0"/>
        <w:autoSpaceDE/>
        <w:autoSpaceDN/>
        <w:bidi w:val="0"/>
        <w:adjustRightInd/>
        <w:snapToGrid/>
        <w:spacing w:before="0" w:after="0" w:line="576" w:lineRule="exact"/>
        <w:ind w:left="0" w:leftChars="0" w:right="0"/>
        <w:textAlignment w:val="auto"/>
        <w:rPr>
          <w:rFonts w:hint="default" w:ascii="Times New Roman" w:hAnsi="Times New Roman" w:eastAsia="方正仿宋_GBK" w:cs="Times New Roman"/>
          <w:color w:val="000000"/>
        </w:rPr>
      </w:pPr>
      <w:bookmarkStart w:id="64" w:name="_Toc15396626"/>
      <w:r>
        <w:rPr>
          <w:rStyle w:val="28"/>
          <w:rFonts w:hint="default" w:ascii="Times New Roman" w:hAnsi="Times New Roman" w:eastAsia="方正仿宋_GBK" w:cs="Times New Roman"/>
          <w:b w:val="0"/>
          <w:bCs w:val="0"/>
        </w:rPr>
        <w:t>八、</w:t>
      </w:r>
      <w:r>
        <w:rPr>
          <w:rFonts w:hint="default" w:ascii="Times New Roman" w:hAnsi="Times New Roman" w:eastAsia="方正仿宋_GBK" w:cs="Times New Roman"/>
          <w:b w:val="0"/>
          <w:color w:val="000000"/>
        </w:rPr>
        <w:t>一</w:t>
      </w:r>
      <w:r>
        <w:rPr>
          <w:rStyle w:val="28"/>
          <w:rFonts w:hint="default" w:ascii="Times New Roman" w:hAnsi="Times New Roman" w:eastAsia="方正仿宋_GBK" w:cs="Times New Roman"/>
          <w:b w:val="0"/>
          <w:bCs w:val="0"/>
        </w:rPr>
        <w:t>般公共预算财政拨款基本支出决算表</w:t>
      </w:r>
      <w:bookmarkEnd w:id="64"/>
    </w:p>
    <w:p>
      <w:pPr>
        <w:pStyle w:val="7"/>
        <w:keepNext/>
        <w:keepLines/>
        <w:pageBreakBefore w:val="0"/>
        <w:widowControl w:val="0"/>
        <w:kinsoku/>
        <w:wordWrap/>
        <w:overflowPunct/>
        <w:topLinePunct w:val="0"/>
        <w:autoSpaceDE/>
        <w:autoSpaceDN/>
        <w:bidi w:val="0"/>
        <w:adjustRightInd/>
        <w:snapToGrid/>
        <w:spacing w:before="0" w:after="0" w:line="576" w:lineRule="exact"/>
        <w:ind w:left="0" w:leftChars="0" w:right="0"/>
        <w:textAlignment w:val="auto"/>
        <w:rPr>
          <w:rFonts w:hint="default" w:ascii="Times New Roman" w:hAnsi="Times New Roman" w:eastAsia="方正仿宋_GBK" w:cs="Times New Roman"/>
          <w:color w:val="000000"/>
        </w:rPr>
      </w:pPr>
      <w:bookmarkStart w:id="65" w:name="_Toc15396627"/>
      <w:r>
        <w:rPr>
          <w:rStyle w:val="28"/>
          <w:rFonts w:hint="default" w:ascii="Times New Roman" w:hAnsi="Times New Roman" w:eastAsia="方正仿宋_GBK" w:cs="Times New Roman"/>
          <w:b w:val="0"/>
          <w:bCs w:val="0"/>
        </w:rPr>
        <w:t>九、</w:t>
      </w:r>
      <w:r>
        <w:rPr>
          <w:rFonts w:hint="default" w:ascii="Times New Roman" w:hAnsi="Times New Roman" w:eastAsia="方正仿宋_GBK" w:cs="Times New Roman"/>
          <w:b w:val="0"/>
          <w:color w:val="000000"/>
        </w:rPr>
        <w:t>一</w:t>
      </w:r>
      <w:r>
        <w:rPr>
          <w:rStyle w:val="28"/>
          <w:rFonts w:hint="default" w:ascii="Times New Roman" w:hAnsi="Times New Roman" w:eastAsia="方正仿宋_GBK" w:cs="Times New Roman"/>
          <w:b w:val="0"/>
          <w:bCs w:val="0"/>
        </w:rPr>
        <w:t>般公共预算财政拨款项目支出决算表</w:t>
      </w:r>
      <w:bookmarkEnd w:id="65"/>
    </w:p>
    <w:p>
      <w:pPr>
        <w:pStyle w:val="7"/>
        <w:keepNext/>
        <w:keepLines/>
        <w:pageBreakBefore w:val="0"/>
        <w:widowControl w:val="0"/>
        <w:kinsoku/>
        <w:wordWrap/>
        <w:overflowPunct/>
        <w:topLinePunct w:val="0"/>
        <w:autoSpaceDE/>
        <w:autoSpaceDN/>
        <w:bidi w:val="0"/>
        <w:adjustRightInd/>
        <w:snapToGrid/>
        <w:spacing w:before="0" w:after="0" w:line="576" w:lineRule="exact"/>
        <w:ind w:left="0" w:leftChars="0" w:right="0"/>
        <w:textAlignment w:val="auto"/>
        <w:rPr>
          <w:rFonts w:hint="default" w:ascii="Times New Roman" w:hAnsi="Times New Roman" w:eastAsia="方正仿宋_GBK" w:cs="Times New Roman"/>
          <w:color w:val="000000"/>
        </w:rPr>
      </w:pPr>
      <w:bookmarkStart w:id="66" w:name="_Toc15396628"/>
      <w:r>
        <w:rPr>
          <w:rStyle w:val="28"/>
          <w:rFonts w:hint="default" w:ascii="Times New Roman" w:hAnsi="Times New Roman" w:eastAsia="方正仿宋_GBK" w:cs="Times New Roman"/>
          <w:b w:val="0"/>
          <w:bCs w:val="0"/>
        </w:rPr>
        <w:t>十、</w:t>
      </w:r>
      <w:r>
        <w:rPr>
          <w:rFonts w:hint="default" w:ascii="Times New Roman" w:hAnsi="Times New Roman" w:eastAsia="方正仿宋_GBK" w:cs="Times New Roman"/>
          <w:b w:val="0"/>
          <w:color w:val="000000"/>
        </w:rPr>
        <w:t>一</w:t>
      </w:r>
      <w:r>
        <w:rPr>
          <w:rStyle w:val="28"/>
          <w:rFonts w:hint="default" w:ascii="Times New Roman" w:hAnsi="Times New Roman" w:eastAsia="方正仿宋_GBK" w:cs="Times New Roman"/>
          <w:b w:val="0"/>
          <w:bCs w:val="0"/>
        </w:rPr>
        <w:t>般公共预算财政拨款“三公”经费支出决算表</w:t>
      </w:r>
      <w:bookmarkEnd w:id="66"/>
    </w:p>
    <w:p>
      <w:pPr>
        <w:pStyle w:val="7"/>
        <w:keepNext/>
        <w:keepLines/>
        <w:pageBreakBefore w:val="0"/>
        <w:widowControl w:val="0"/>
        <w:kinsoku/>
        <w:wordWrap/>
        <w:overflowPunct/>
        <w:topLinePunct w:val="0"/>
        <w:autoSpaceDE/>
        <w:autoSpaceDN/>
        <w:bidi w:val="0"/>
        <w:adjustRightInd/>
        <w:snapToGrid/>
        <w:spacing w:before="0" w:after="0" w:line="576" w:lineRule="exact"/>
        <w:ind w:left="0" w:leftChars="0" w:right="0"/>
        <w:textAlignment w:val="auto"/>
        <w:rPr>
          <w:rFonts w:hint="default" w:ascii="Times New Roman" w:hAnsi="Times New Roman" w:eastAsia="方正仿宋_GBK" w:cs="Times New Roman"/>
          <w:color w:val="000000"/>
        </w:rPr>
      </w:pPr>
      <w:bookmarkStart w:id="67" w:name="_Toc15396629"/>
      <w:r>
        <w:rPr>
          <w:rStyle w:val="28"/>
          <w:rFonts w:hint="default" w:ascii="Times New Roman" w:hAnsi="Times New Roman" w:eastAsia="方正仿宋_GBK" w:cs="Times New Roman"/>
          <w:b w:val="0"/>
          <w:bCs w:val="0"/>
        </w:rPr>
        <w:t>十一、</w:t>
      </w:r>
      <w:r>
        <w:rPr>
          <w:rFonts w:hint="default" w:ascii="Times New Roman" w:hAnsi="Times New Roman" w:eastAsia="方正仿宋_GBK" w:cs="Times New Roman"/>
          <w:b w:val="0"/>
          <w:color w:val="000000"/>
        </w:rPr>
        <w:t>政</w:t>
      </w:r>
      <w:r>
        <w:rPr>
          <w:rStyle w:val="28"/>
          <w:rFonts w:hint="default" w:ascii="Times New Roman" w:hAnsi="Times New Roman" w:eastAsia="方正仿宋_GBK" w:cs="Times New Roman"/>
          <w:b w:val="0"/>
          <w:bCs w:val="0"/>
        </w:rPr>
        <w:t>府性基金预算财政拨款收入支出决算表</w:t>
      </w:r>
      <w:bookmarkEnd w:id="67"/>
    </w:p>
    <w:p>
      <w:pPr>
        <w:pStyle w:val="7"/>
        <w:keepNext/>
        <w:keepLines/>
        <w:pageBreakBefore w:val="0"/>
        <w:widowControl w:val="0"/>
        <w:kinsoku/>
        <w:wordWrap/>
        <w:overflowPunct/>
        <w:topLinePunct w:val="0"/>
        <w:autoSpaceDE/>
        <w:autoSpaceDN/>
        <w:bidi w:val="0"/>
        <w:adjustRightInd/>
        <w:snapToGrid/>
        <w:spacing w:before="0" w:after="0" w:line="576" w:lineRule="exact"/>
        <w:ind w:left="0" w:leftChars="0" w:right="0"/>
        <w:textAlignment w:val="auto"/>
        <w:rPr>
          <w:rFonts w:hint="default" w:ascii="Times New Roman" w:hAnsi="Times New Roman" w:eastAsia="方正仿宋_GBK" w:cs="Times New Roman"/>
          <w:color w:val="000000"/>
        </w:rPr>
      </w:pPr>
      <w:bookmarkStart w:id="68" w:name="_Toc15396630"/>
      <w:r>
        <w:rPr>
          <w:rStyle w:val="28"/>
          <w:rFonts w:hint="default" w:ascii="Times New Roman" w:hAnsi="Times New Roman" w:eastAsia="方正仿宋_GBK" w:cs="Times New Roman"/>
          <w:b w:val="0"/>
          <w:bCs w:val="0"/>
        </w:rPr>
        <w:t>十二、</w:t>
      </w:r>
      <w:r>
        <w:rPr>
          <w:rFonts w:hint="default" w:ascii="Times New Roman" w:hAnsi="Times New Roman" w:eastAsia="方正仿宋_GBK" w:cs="Times New Roman"/>
          <w:b w:val="0"/>
          <w:color w:val="000000"/>
        </w:rPr>
        <w:t>政</w:t>
      </w:r>
      <w:r>
        <w:rPr>
          <w:rStyle w:val="28"/>
          <w:rFonts w:hint="default" w:ascii="Times New Roman" w:hAnsi="Times New Roman" w:eastAsia="方正仿宋_GBK" w:cs="Times New Roman"/>
          <w:b w:val="0"/>
          <w:bCs w:val="0"/>
        </w:rPr>
        <w:t>府性基金预算财政拨款“三公”经费支出决算表</w:t>
      </w:r>
      <w:bookmarkEnd w:id="68"/>
    </w:p>
    <w:p>
      <w:pPr>
        <w:pStyle w:val="7"/>
        <w:keepNext/>
        <w:keepLines/>
        <w:pageBreakBefore w:val="0"/>
        <w:widowControl w:val="0"/>
        <w:kinsoku/>
        <w:wordWrap/>
        <w:overflowPunct/>
        <w:topLinePunct w:val="0"/>
        <w:autoSpaceDE/>
        <w:autoSpaceDN/>
        <w:bidi w:val="0"/>
        <w:adjustRightInd/>
        <w:snapToGrid/>
        <w:spacing w:before="0" w:after="0" w:line="576" w:lineRule="exact"/>
        <w:ind w:left="0" w:leftChars="0" w:right="0"/>
        <w:textAlignment w:val="auto"/>
        <w:rPr>
          <w:rStyle w:val="28"/>
          <w:rFonts w:hint="eastAsia" w:ascii="Times New Roman" w:hAnsi="Times New Roman" w:eastAsia="方正仿宋_GBK" w:cs="Times New Roman"/>
          <w:b w:val="0"/>
          <w:bCs w:val="0"/>
          <w:lang w:eastAsia="zh-CN"/>
        </w:rPr>
      </w:pPr>
      <w:bookmarkStart w:id="69" w:name="_Toc15396631"/>
      <w:r>
        <w:rPr>
          <w:rStyle w:val="28"/>
          <w:rFonts w:hint="default" w:ascii="Times New Roman" w:hAnsi="Times New Roman" w:eastAsia="方正仿宋_GBK" w:cs="Times New Roman"/>
          <w:b w:val="0"/>
          <w:bCs w:val="0"/>
        </w:rPr>
        <w:t>十三、</w:t>
      </w:r>
      <w:r>
        <w:rPr>
          <w:rFonts w:hint="default" w:ascii="Times New Roman" w:hAnsi="Times New Roman" w:eastAsia="方正仿宋_GBK" w:cs="Times New Roman"/>
          <w:b w:val="0"/>
          <w:color w:val="000000"/>
        </w:rPr>
        <w:t>国</w:t>
      </w:r>
      <w:r>
        <w:rPr>
          <w:rStyle w:val="28"/>
          <w:rFonts w:hint="default" w:ascii="Times New Roman" w:hAnsi="Times New Roman" w:eastAsia="方正仿宋_GBK" w:cs="Times New Roman"/>
          <w:b w:val="0"/>
          <w:bCs w:val="0"/>
        </w:rPr>
        <w:t>有资本经营预算支出决算表</w:t>
      </w:r>
      <w:bookmarkEnd w:id="69"/>
    </w:p>
    <w:sectPr>
      <w:headerReference r:id="rId3" w:type="default"/>
      <w:footerReference r:id="rId4" w:type="default"/>
      <w:pgSz w:w="11906" w:h="16838"/>
      <w:pgMar w:top="1701" w:right="1474" w:bottom="1701" w:left="1587" w:header="851" w:footer="992" w:gutter="0"/>
      <w:pgNumType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24</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0672469"/>
    <w:multiLevelType w:val="singleLevel"/>
    <w:tmpl w:val="E0672469"/>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DC71FB"/>
    <w:rsid w:val="01F253DA"/>
    <w:rsid w:val="031C3739"/>
    <w:rsid w:val="03354F52"/>
    <w:rsid w:val="04F229CE"/>
    <w:rsid w:val="05617949"/>
    <w:rsid w:val="05BD697C"/>
    <w:rsid w:val="097E587E"/>
    <w:rsid w:val="09B96A70"/>
    <w:rsid w:val="0BC47827"/>
    <w:rsid w:val="10A77C2B"/>
    <w:rsid w:val="10C055FF"/>
    <w:rsid w:val="152968B9"/>
    <w:rsid w:val="15326E86"/>
    <w:rsid w:val="16945B6D"/>
    <w:rsid w:val="16BB723D"/>
    <w:rsid w:val="1A8758BD"/>
    <w:rsid w:val="20196BA1"/>
    <w:rsid w:val="240371BF"/>
    <w:rsid w:val="27845791"/>
    <w:rsid w:val="28876224"/>
    <w:rsid w:val="294B0A07"/>
    <w:rsid w:val="29FD04D3"/>
    <w:rsid w:val="2BD164EA"/>
    <w:rsid w:val="2CAB3772"/>
    <w:rsid w:val="2DD55EAB"/>
    <w:rsid w:val="30A57D1E"/>
    <w:rsid w:val="319F7F4E"/>
    <w:rsid w:val="32050EB6"/>
    <w:rsid w:val="33EE7551"/>
    <w:rsid w:val="34342A7E"/>
    <w:rsid w:val="373C6068"/>
    <w:rsid w:val="39426394"/>
    <w:rsid w:val="3C727199"/>
    <w:rsid w:val="3C9E61A7"/>
    <w:rsid w:val="3CE44B22"/>
    <w:rsid w:val="405E5900"/>
    <w:rsid w:val="424A37DF"/>
    <w:rsid w:val="449402E7"/>
    <w:rsid w:val="49E64113"/>
    <w:rsid w:val="4BDA4C73"/>
    <w:rsid w:val="4CC36728"/>
    <w:rsid w:val="4DDE07A9"/>
    <w:rsid w:val="4E834C4D"/>
    <w:rsid w:val="4ECE2238"/>
    <w:rsid w:val="55333084"/>
    <w:rsid w:val="572051FB"/>
    <w:rsid w:val="572A6162"/>
    <w:rsid w:val="5D8052B6"/>
    <w:rsid w:val="5E194199"/>
    <w:rsid w:val="5E601F92"/>
    <w:rsid w:val="615E3045"/>
    <w:rsid w:val="63607DB3"/>
    <w:rsid w:val="657F4060"/>
    <w:rsid w:val="66663313"/>
    <w:rsid w:val="68BD7E9A"/>
    <w:rsid w:val="693E2DAE"/>
    <w:rsid w:val="6B8F3A79"/>
    <w:rsid w:val="6B943A82"/>
    <w:rsid w:val="6FA07DCC"/>
    <w:rsid w:val="71052D43"/>
    <w:rsid w:val="72734D90"/>
    <w:rsid w:val="76F84C96"/>
    <w:rsid w:val="79EC141D"/>
    <w:rsid w:val="7A737F57"/>
    <w:rsid w:val="7C14139E"/>
    <w:rsid w:val="7C342234"/>
    <w:rsid w:val="7E6E4032"/>
    <w:rsid w:val="7FE21933"/>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7">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widowControl w:val="0"/>
      <w:spacing w:after="0"/>
      <w:ind w:left="420" w:leftChars="200" w:firstLine="420" w:firstLineChars="200"/>
      <w:jc w:val="both"/>
    </w:pPr>
    <w:rPr>
      <w:rFonts w:ascii="Calibri" w:hAnsi="Calibri" w:eastAsia="宋体" w:cs="Times New Roman"/>
      <w:kern w:val="2"/>
      <w:sz w:val="21"/>
      <w:szCs w:val="24"/>
      <w:lang w:val="en-US" w:eastAsia="zh-CN" w:bidi="ar-SA"/>
    </w:rPr>
  </w:style>
  <w:style w:type="paragraph" w:styleId="3">
    <w:name w:val="Body Text Indent"/>
    <w:basedOn w:val="1"/>
    <w:semiHidden/>
    <w:qFormat/>
    <w:uiPriority w:val="99"/>
    <w:pPr>
      <w:ind w:left="420" w:leftChars="200"/>
    </w:pPr>
  </w:style>
  <w:style w:type="paragraph" w:styleId="4">
    <w:name w:val="Body Text First Indent"/>
    <w:basedOn w:val="5"/>
    <w:next w:val="5"/>
    <w:qFormat/>
    <w:uiPriority w:val="0"/>
    <w:pPr>
      <w:widowControl w:val="0"/>
      <w:spacing w:after="120"/>
      <w:ind w:firstLine="482" w:firstLineChars="200"/>
      <w:jc w:val="both"/>
    </w:pPr>
    <w:rPr>
      <w:rFonts w:ascii="Times New Roman" w:hAnsi="Times New Roman" w:eastAsia="宋体" w:cs="Times New Roman"/>
      <w:kern w:val="2"/>
      <w:sz w:val="21"/>
      <w:szCs w:val="24"/>
      <w:lang w:val="en-US" w:eastAsia="zh-CN" w:bidi="ar-SA"/>
    </w:rPr>
  </w:style>
  <w:style w:type="paragraph" w:styleId="5">
    <w:name w:val="Body Text"/>
    <w:basedOn w:val="1"/>
    <w:link w:val="24"/>
    <w:qFormat/>
    <w:uiPriority w:val="99"/>
    <w:pPr>
      <w:spacing w:beforeLines="30"/>
    </w:pPr>
    <w:rPr>
      <w:rFonts w:ascii="仿宋_GB2312" w:eastAsia="仿宋_GB2312"/>
      <w:kern w:val="0"/>
      <w:sz w:val="30"/>
    </w:r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0"/>
    <w:unhideWhenUsed/>
    <w:qFormat/>
    <w:uiPriority w:val="99"/>
    <w:rPr>
      <w:sz w:val="18"/>
      <w:szCs w:val="18"/>
    </w:rPr>
  </w:style>
  <w:style w:type="paragraph" w:styleId="11">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2"/>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1"/>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5"/>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6">
    <w:name w:val="List Paragraph"/>
    <w:basedOn w:val="1"/>
    <w:qFormat/>
    <w:uiPriority w:val="34"/>
    <w:pPr>
      <w:ind w:firstLine="420" w:firstLineChars="200"/>
    </w:pPr>
  </w:style>
  <w:style w:type="character" w:customStyle="1" w:styleId="27">
    <w:name w:val="标题 1 Char"/>
    <w:basedOn w:val="16"/>
    <w:link w:val="6"/>
    <w:qFormat/>
    <w:uiPriority w:val="9"/>
    <w:rPr>
      <w:rFonts w:ascii="Times New Roman" w:hAnsi="Times New Roman"/>
      <w:b/>
      <w:bCs/>
      <w:kern w:val="44"/>
      <w:sz w:val="44"/>
      <w:szCs w:val="44"/>
    </w:rPr>
  </w:style>
  <w:style w:type="character" w:customStyle="1" w:styleId="28">
    <w:name w:val="标题 2 Char"/>
    <w:basedOn w:val="16"/>
    <w:link w:val="7"/>
    <w:qFormat/>
    <w:uiPriority w:val="9"/>
    <w:rPr>
      <w:rFonts w:asciiTheme="majorHAnsi" w:hAnsiTheme="majorHAnsi" w:eastAsiaTheme="majorEastAsia" w:cstheme="majorBidi"/>
      <w:b/>
      <w:bCs/>
      <w:kern w:val="2"/>
      <w:sz w:val="32"/>
      <w:szCs w:val="32"/>
    </w:rPr>
  </w:style>
  <w:style w:type="paragraph" w:customStyle="1" w:styleId="29">
    <w:name w:val="TOC 标题1"/>
    <w:basedOn w:val="6"/>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10"/>
    <w:semiHidden/>
    <w:qFormat/>
    <w:uiPriority w:val="99"/>
    <w:rPr>
      <w:rFonts w:ascii="Times New Roman" w:hAnsi="Times New Roman"/>
      <w:kern w:val="2"/>
      <w:sz w:val="18"/>
      <w:szCs w:val="18"/>
    </w:rPr>
  </w:style>
  <w:style w:type="character" w:customStyle="1" w:styleId="31">
    <w:name w:val="标题 3 Char"/>
    <w:basedOn w:val="16"/>
    <w:link w:val="8"/>
    <w:qFormat/>
    <w:uiPriority w:val="9"/>
    <w:rPr>
      <w:rFonts w:ascii="Times New Roman" w:hAnsi="Times New Roman"/>
      <w:b/>
      <w:bCs/>
      <w:kern w:val="2"/>
      <w:sz w:val="32"/>
      <w:szCs w:val="32"/>
    </w:rPr>
  </w:style>
  <w:style w:type="paragraph" w:customStyle="1" w:styleId="32">
    <w:name w:val="TOC Heading"/>
    <w:basedOn w:val="6"/>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numRef>
              <c:f>Sheet1!$A$2:$A$5</c:f>
              <c:numCache>
                <c:formatCode>General</c:formatCode>
                <c:ptCount val="4"/>
                <c:pt idx="0">
                  <c:v>2019</c:v>
                </c:pt>
                <c:pt idx="1">
                  <c:v>2020</c:v>
                </c:pt>
              </c:numCache>
            </c:numRef>
          </c:cat>
          <c:val>
            <c:numRef>
              <c:f>Sheet1!$B$2:$B$5</c:f>
              <c:numCache>
                <c:formatCode>General</c:formatCode>
                <c:ptCount val="4"/>
                <c:pt idx="0">
                  <c:v>455.82</c:v>
                </c:pt>
                <c:pt idx="1">
                  <c:v>439.9</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numRef>
              <c:f>Sheet1!$A$2:$A$5</c:f>
              <c:numCache>
                <c:formatCode>General</c:formatCode>
                <c:ptCount val="4"/>
                <c:pt idx="0">
                  <c:v>2019</c:v>
                </c:pt>
                <c:pt idx="1">
                  <c:v>2020</c:v>
                </c:pt>
              </c:numCache>
            </c:numRef>
          </c:cat>
          <c:val>
            <c:numRef>
              <c:f>Sheet1!$C$2:$C$5</c:f>
              <c:numCache>
                <c:formatCode>General</c:formatCode>
                <c:ptCount val="4"/>
                <c:pt idx="0">
                  <c:v>433</c:v>
                </c:pt>
                <c:pt idx="1">
                  <c:v>431.6</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numRef>
              <c:f>Sheet1!$A$2:$A$5</c:f>
              <c:numCache>
                <c:formatCode>General</c:formatCode>
                <c:ptCount val="4"/>
                <c:pt idx="0">
                  <c:v>2019</c:v>
                </c:pt>
                <c:pt idx="1">
                  <c:v>2020</c:v>
                </c:pt>
              </c:numCache>
            </c:num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82599685"/>
        <c:axId val="309002193"/>
      </c:barChart>
      <c:catAx>
        <c:axId val="38259968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9002193"/>
        <c:crosses val="autoZero"/>
        <c:auto val="1"/>
        <c:lblAlgn val="ctr"/>
        <c:lblOffset val="100"/>
        <c:noMultiLvlLbl val="0"/>
      </c:catAx>
      <c:valAx>
        <c:axId val="30900219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59968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一般公共预算</c:v>
                </c:pt>
              </c:strCache>
            </c:strRef>
          </c:cat>
          <c:val>
            <c:numRef>
              <c:f>Sheet1!$B$2:$B$5</c:f>
              <c:numCache>
                <c:formatCode>General</c:formatCode>
                <c:ptCount val="4"/>
                <c:pt idx="0">
                  <c:v>100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基本支出</c:v>
                </c:pt>
                <c:pt idx="1">
                  <c:v>项目支出</c:v>
                </c:pt>
              </c:strCache>
            </c:strRef>
          </c:cat>
          <c:val>
            <c:numRef>
              <c:f>Sheet1!$B$2:$B$5</c:f>
              <c:numCache>
                <c:formatCode>General</c:formatCode>
                <c:ptCount val="4"/>
                <c:pt idx="0">
                  <c:v>97</c:v>
                </c:pt>
                <c:pt idx="1">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numRef>
              <c:f>Sheet1!$A$2:$A$5</c:f>
              <c:numCache>
                <c:formatCode>General</c:formatCode>
                <c:ptCount val="4"/>
                <c:pt idx="0">
                  <c:v>2019</c:v>
                </c:pt>
                <c:pt idx="1">
                  <c:v>2020</c:v>
                </c:pt>
              </c:numCache>
            </c:numRef>
          </c:cat>
          <c:val>
            <c:numRef>
              <c:f>Sheet1!$B$2:$B$5</c:f>
              <c:numCache>
                <c:formatCode>General</c:formatCode>
                <c:ptCount val="4"/>
                <c:pt idx="0">
                  <c:v>455.82</c:v>
                </c:pt>
                <c:pt idx="1">
                  <c:v>439.9</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numRef>
              <c:f>Sheet1!$A$2:$A$5</c:f>
              <c:numCache>
                <c:formatCode>General</c:formatCode>
                <c:ptCount val="4"/>
                <c:pt idx="0">
                  <c:v>2019</c:v>
                </c:pt>
                <c:pt idx="1">
                  <c:v>2020</c:v>
                </c:pt>
              </c:numCache>
            </c:numRef>
          </c:cat>
          <c:val>
            <c:numRef>
              <c:f>Sheet1!$C$2:$C$5</c:f>
              <c:numCache>
                <c:formatCode>General</c:formatCode>
                <c:ptCount val="4"/>
                <c:pt idx="0">
                  <c:v>433</c:v>
                </c:pt>
                <c:pt idx="1">
                  <c:v>431.6</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numRef>
              <c:f>Sheet1!$A$2:$A$5</c:f>
              <c:numCache>
                <c:formatCode>General</c:formatCode>
                <c:ptCount val="4"/>
                <c:pt idx="0">
                  <c:v>2019</c:v>
                </c:pt>
                <c:pt idx="1">
                  <c:v>2020</c:v>
                </c:pt>
              </c:numCache>
            </c:num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572562859"/>
        <c:axId val="227474170"/>
      </c:barChart>
      <c:catAx>
        <c:axId val="57256285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7474170"/>
        <c:crosses val="autoZero"/>
        <c:auto val="1"/>
        <c:lblAlgn val="ctr"/>
        <c:lblOffset val="100"/>
        <c:noMultiLvlLbl val="0"/>
      </c:catAx>
      <c:valAx>
        <c:axId val="22747417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256285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numRef>
              <c:f>Sheet1!$A$2:$A$5</c:f>
              <c:numCache>
                <c:formatCode>General</c:formatCode>
                <c:ptCount val="4"/>
                <c:pt idx="0">
                  <c:v>2019</c:v>
                </c:pt>
                <c:pt idx="1">
                  <c:v>2020</c:v>
                </c:pt>
              </c:numCache>
            </c:numRef>
          </c:cat>
          <c:val>
            <c:numRef>
              <c:f>Sheet1!$B$2:$B$5</c:f>
              <c:numCache>
                <c:formatCode>General</c:formatCode>
                <c:ptCount val="4"/>
                <c:pt idx="0">
                  <c:v>455.82</c:v>
                </c:pt>
                <c:pt idx="1">
                  <c:v>439.9</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numRef>
              <c:f>Sheet1!$A$2:$A$5</c:f>
              <c:numCache>
                <c:formatCode>General</c:formatCode>
                <c:ptCount val="4"/>
                <c:pt idx="0">
                  <c:v>2019</c:v>
                </c:pt>
                <c:pt idx="1">
                  <c:v>2020</c:v>
                </c:pt>
              </c:numCache>
            </c:numRef>
          </c:cat>
          <c:val>
            <c:numRef>
              <c:f>Sheet1!$C$2:$C$5</c:f>
              <c:numCache>
                <c:formatCode>General</c:formatCode>
                <c:ptCount val="4"/>
                <c:pt idx="0">
                  <c:v>433</c:v>
                </c:pt>
                <c:pt idx="1">
                  <c:v>431.6</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numRef>
              <c:f>Sheet1!$A$2:$A$5</c:f>
              <c:numCache>
                <c:formatCode>General</c:formatCode>
                <c:ptCount val="4"/>
                <c:pt idx="0">
                  <c:v>2019</c:v>
                </c:pt>
                <c:pt idx="1">
                  <c:v>2020</c:v>
                </c:pt>
              </c:numCache>
            </c:num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529783453"/>
        <c:axId val="425833181"/>
      </c:barChart>
      <c:catAx>
        <c:axId val="52978345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5833181"/>
        <c:crosses val="autoZero"/>
        <c:auto val="1"/>
        <c:lblAlgn val="ctr"/>
        <c:lblOffset val="100"/>
        <c:noMultiLvlLbl val="0"/>
      </c:catAx>
      <c:valAx>
        <c:axId val="42583318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978345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社会保障和就业支出</c:v>
                </c:pt>
                <c:pt idx="1">
                  <c:v>卫生健康支出</c:v>
                </c:pt>
                <c:pt idx="2">
                  <c:v>自然资源气象等支出</c:v>
                </c:pt>
                <c:pt idx="3">
                  <c:v>住房保障支出</c:v>
                </c:pt>
              </c:strCache>
            </c:strRef>
          </c:cat>
          <c:val>
            <c:numRef>
              <c:f>Sheet1!$B$2:$B$5</c:f>
              <c:numCache>
                <c:formatCode>General</c:formatCode>
                <c:ptCount val="4"/>
                <c:pt idx="0">
                  <c:v>6.6</c:v>
                </c:pt>
                <c:pt idx="1">
                  <c:v>4.6</c:v>
                </c:pt>
                <c:pt idx="2">
                  <c:v>81.5</c:v>
                </c:pt>
                <c:pt idx="3">
                  <c:v>7.3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27</TotalTime>
  <ScaleCrop>false</ScaleCrop>
  <LinksUpToDate>false</LinksUpToDate>
  <CharactersWithSpaces>8536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cp:lastModifiedBy>
  <cp:lastPrinted>2020-07-23T02:58:00Z</cp:lastPrinted>
  <dcterms:modified xsi:type="dcterms:W3CDTF">2021-09-16T04:02:49Z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58E29A6D6D2746FD842BB7B36D8A885B</vt:lpwstr>
  </property>
</Properties>
</file>