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77193"/>
      <w:bookmarkStart w:id="4" w:name="_Toc15396597"/>
      <w:bookmarkStart w:id="5" w:name="_Toc1539647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06268"/>
      <w:bookmarkStart w:id="8" w:name="_Toc15377426"/>
      <w:bookmarkStart w:id="9" w:name="_Toc15378442"/>
      <w:bookmarkStart w:id="10" w:name="_Toc15377194"/>
      <w:bookmarkStart w:id="11" w:name="_Toc15396598"/>
      <w:r>
        <w:rPr>
          <w:rFonts w:hint="eastAsia" w:ascii="方正小标宋简体" w:hAnsi="宋体" w:eastAsia="方正小标宋简体"/>
          <w:color w:val="000000"/>
          <w:sz w:val="72"/>
          <w:szCs w:val="72"/>
          <w:lang w:eastAsia="zh-CN"/>
        </w:rPr>
        <w:t>巴中市恩阳区土地征收事务中心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70" w:name="_GoBack"/>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3"/>
        <w:adjustRightInd w:val="0"/>
        <w:snapToGrid w:val="0"/>
        <w:spacing w:before="0"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第一部分 部门概况</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一、基本职能及主要工作</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二、机构设置</w:t>
      </w:r>
    </w:p>
    <w:p>
      <w:pPr>
        <w:pStyle w:val="13"/>
        <w:adjustRightInd w:val="0"/>
        <w:snapToGrid w:val="0"/>
        <w:spacing w:before="0"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第二部分</w:t>
      </w:r>
      <w:r>
        <w:rPr>
          <w:rFonts w:hint="eastAsia" w:ascii="华文仿宋" w:hAnsi="华文仿宋" w:eastAsia="华文仿宋" w:cs="华文仿宋"/>
          <w:b/>
          <w:bCs/>
          <w:sz w:val="28"/>
          <w:szCs w:val="28"/>
          <w:lang w:val="en-US" w:eastAsia="zh-CN"/>
        </w:rPr>
        <w:t xml:space="preserve"> </w:t>
      </w:r>
      <w:r>
        <w:rPr>
          <w:rFonts w:hint="eastAsia" w:ascii="华文仿宋" w:hAnsi="华文仿宋" w:eastAsia="华文仿宋" w:cs="华文仿宋"/>
          <w:b/>
          <w:bCs/>
          <w:sz w:val="28"/>
          <w:szCs w:val="28"/>
        </w:rPr>
        <w:t>部门决算情况说明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一、收入支出决算总体情况说明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二、收入决算情况说明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三、支出决算情况说明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四、财政拨款收入支出决算总体情况说明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五、一般公共预算财政拨款支出决算情况说明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六、一般公共预算财政拨款基本支出决算情况说明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七、“三公”经费财政拨款支出决算情况说明</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八、政府性基金预算支出决算情况说明</w:t>
      </w:r>
    </w:p>
    <w:p>
      <w:pPr>
        <w:pStyle w:val="14"/>
        <w:adjustRightInd w:val="0"/>
        <w:snapToGrid w:val="0"/>
        <w:spacing w:line="440" w:lineRule="exact"/>
        <w:ind w:left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九、 国有资本经营预算支出决算情况说明</w:t>
      </w:r>
    </w:p>
    <w:p>
      <w:pPr>
        <w:adjustRightInd w:val="0"/>
        <w:snapToGrid w:val="0"/>
        <w:spacing w:line="440" w:lineRule="exact"/>
        <w:ind w:firstLine="560" w:firstLineChars="200"/>
        <w:jc w:val="left"/>
        <w:rPr>
          <w:rFonts w:hint="eastAsia" w:ascii="华文仿宋" w:hAnsi="华文仿宋" w:eastAsia="华文仿宋" w:cs="华文仿宋"/>
          <w:sz w:val="28"/>
          <w:szCs w:val="28"/>
        </w:rPr>
      </w:pPr>
      <w:r>
        <w:rPr>
          <w:rStyle w:val="18"/>
          <w:rFonts w:hint="eastAsia" w:ascii="华文仿宋" w:hAnsi="华文仿宋" w:eastAsia="华文仿宋" w:cs="华文仿宋"/>
          <w:color w:val="000000" w:themeColor="text1"/>
          <w:sz w:val="28"/>
          <w:szCs w:val="28"/>
          <w:u w:val="none"/>
          <w14:textFill>
            <w14:solidFill>
              <w14:schemeClr w14:val="tx1"/>
            </w14:solidFill>
          </w14:textFill>
        </w:rPr>
        <w:t>十、</w:t>
      </w:r>
      <w:r>
        <w:rPr>
          <w:rFonts w:hint="eastAsia" w:ascii="华文仿宋" w:hAnsi="华文仿宋" w:eastAsia="华文仿宋" w:cs="华文仿宋"/>
          <w:sz w:val="28"/>
          <w:szCs w:val="28"/>
        </w:rPr>
        <w:t>其他重要事项的情况说明</w:t>
      </w:r>
      <w:r>
        <w:rPr>
          <w:rFonts w:hint="eastAsia" w:ascii="华文仿宋" w:hAnsi="华文仿宋" w:eastAsia="华文仿宋" w:cs="华文仿宋"/>
          <w:sz w:val="28"/>
          <w:szCs w:val="28"/>
        </w:rPr>
        <w:tab/>
      </w:r>
    </w:p>
    <w:p>
      <w:pPr>
        <w:pStyle w:val="13"/>
        <w:adjustRightInd w:val="0"/>
        <w:snapToGrid w:val="0"/>
        <w:spacing w:before="0" w:line="440" w:lineRule="exact"/>
        <w:jc w:val="left"/>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第三部分 名词解释</w:t>
      </w:r>
    </w:p>
    <w:p>
      <w:pPr>
        <w:pStyle w:val="13"/>
        <w:adjustRightInd w:val="0"/>
        <w:snapToGrid w:val="0"/>
        <w:spacing w:before="0"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w:t>
      </w:r>
      <w:r>
        <w:rPr>
          <w:rFonts w:hint="eastAsia" w:ascii="华文仿宋" w:hAnsi="华文仿宋" w:eastAsia="华文仿宋" w:cs="华文仿宋"/>
          <w:b/>
          <w:bCs/>
          <w:sz w:val="28"/>
          <w:szCs w:val="28"/>
          <w:lang w:eastAsia="zh-CN"/>
        </w:rPr>
        <w:t>四</w:t>
      </w:r>
      <w:r>
        <w:rPr>
          <w:rFonts w:hint="eastAsia" w:ascii="华文仿宋" w:hAnsi="华文仿宋" w:eastAsia="华文仿宋" w:cs="华文仿宋"/>
          <w:b/>
          <w:bCs/>
          <w:sz w:val="28"/>
          <w:szCs w:val="28"/>
        </w:rPr>
        <w:t>部分 附表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一、收入支出决算总表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二、收入决算表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三、支出决算表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四、财政拨款收入支出决算总表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五、财政拨款支出决算明细表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六、一般公共预算财政拨款支出决算表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七、一般公共预算财政拨款支出决算明细表</w:t>
      </w:r>
    </w:p>
    <w:p>
      <w:pPr>
        <w:rPr>
          <w:rFonts w:hint="eastAsia"/>
        </w:rPr>
      </w:pP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八、一般公共预算财政拨款基本支出决算表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九、一般公共预算财政拨款项目支出决算表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十、一般公共预算财政拨款“三公”经费支出决算表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十一、政府性基金预算财政拨款收入支出决算表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十二、政府性基金预算财政拨款“三公”经费支出决算表</w:t>
      </w:r>
    </w:p>
    <w:p>
      <w:pPr>
        <w:pStyle w:val="14"/>
        <w:adjustRightInd w:val="0"/>
        <w:snapToGrid w:val="0"/>
        <w:spacing w:line="440" w:lineRule="exact"/>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十三、国有资本经营预算支出决算表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bookmarkEnd w:id="70"/>
    <w:p>
      <w:pPr>
        <w:pStyle w:val="6"/>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7"/>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负责具体实施辖区内土地征收工作，协调征收集体土地前期工作和临时用地工作；拟定辖区内农用地转用和土地征收方案，做好征地报批相关工作；负责向被征地单位和群众宣传解释土地征收、安置补偿方面的法律、法规；完成上级交办的其他工作。</w:t>
      </w:r>
    </w:p>
    <w:p>
      <w:pPr>
        <w:pStyle w:val="5"/>
        <w:adjustRightInd w:val="0"/>
        <w:snapToGrid w:val="0"/>
        <w:spacing w:before="93" w:line="600" w:lineRule="exact"/>
        <w:ind w:firstLine="320" w:firstLineChars="100"/>
        <w:outlineLvl w:val="2"/>
        <w:rPr>
          <w:rFonts w:hint="eastAsia" w:ascii="华文仿宋" w:hAnsi="华文仿宋" w:eastAsia="华文仿宋" w:cs="华文仿宋"/>
          <w:bCs/>
          <w:color w:val="0D0D0D" w:themeColor="text1" w:themeTint="F2"/>
          <w:sz w:val="32"/>
          <w:szCs w:val="32"/>
          <w14:textFill>
            <w14:solidFill>
              <w14:schemeClr w14:val="tx1">
                <w14:lumMod w14:val="95000"/>
                <w14:lumOff w14:val="5000"/>
              </w14:schemeClr>
            </w14:solidFill>
          </w14:textFill>
        </w:rPr>
      </w:pPr>
      <w:bookmarkStart w:id="18" w:name="_Toc15378446"/>
      <w:bookmarkStart w:id="19" w:name="_Toc15377199"/>
      <w:r>
        <w:rPr>
          <w:rFonts w:hint="eastAsia" w:ascii="华文仿宋" w:hAnsi="华文仿宋" w:eastAsia="华文仿宋" w:cs="华文仿宋"/>
          <w:bCs/>
          <w:color w:val="0D0D0D" w:themeColor="text1" w:themeTint="F2"/>
          <w:sz w:val="32"/>
          <w:szCs w:val="32"/>
          <w14:textFill>
            <w14:solidFill>
              <w14:schemeClr w14:val="tx1">
                <w14:lumMod w14:val="95000"/>
                <w14:lumOff w14:val="5000"/>
              </w14:schemeClr>
            </w14:solidFill>
          </w14:textFill>
        </w:rPr>
        <w:t>（二）20</w:t>
      </w:r>
      <w:r>
        <w:rPr>
          <w:rFonts w:hint="eastAsia" w:ascii="华文仿宋" w:hAnsi="华文仿宋" w:eastAsia="华文仿宋" w:cs="华文仿宋"/>
          <w:bCs/>
          <w:color w:val="0D0D0D" w:themeColor="text1" w:themeTint="F2"/>
          <w:sz w:val="32"/>
          <w:szCs w:val="32"/>
          <w:lang w:val="en-US" w:eastAsia="zh-CN"/>
          <w14:textFill>
            <w14:solidFill>
              <w14:schemeClr w14:val="tx1">
                <w14:lumMod w14:val="95000"/>
                <w14:lumOff w14:val="5000"/>
              </w14:schemeClr>
            </w14:solidFill>
          </w14:textFill>
        </w:rPr>
        <w:t>20</w:t>
      </w:r>
      <w:r>
        <w:rPr>
          <w:rFonts w:hint="eastAsia" w:ascii="华文仿宋" w:hAnsi="华文仿宋" w:eastAsia="华文仿宋" w:cs="华文仿宋"/>
          <w:bCs/>
          <w:color w:val="0D0D0D" w:themeColor="text1" w:themeTint="F2"/>
          <w:sz w:val="32"/>
          <w:szCs w:val="32"/>
          <w14:textFill>
            <w14:solidFill>
              <w14:schemeClr w14:val="tx1">
                <w14:lumMod w14:val="95000"/>
                <w14:lumOff w14:val="5000"/>
              </w14:schemeClr>
            </w14:solidFill>
          </w14:textFill>
        </w:rPr>
        <w:t>年重点工作完成情况。</w:t>
      </w:r>
      <w:bookmarkEnd w:id="18"/>
      <w:bookmarkEnd w:id="19"/>
    </w:p>
    <w:p>
      <w:pPr>
        <w:numPr>
          <w:ilvl w:val="0"/>
          <w:numId w:val="0"/>
        </w:numPr>
        <w:ind w:firstLine="640" w:firstLineChars="200"/>
        <w:jc w:val="both"/>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1.建设用地征地报批。</w:t>
      </w:r>
    </w:p>
    <w:p>
      <w:pPr>
        <w:numPr>
          <w:ilvl w:val="0"/>
          <w:numId w:val="0"/>
        </w:numPr>
        <w:ind w:firstLine="640" w:firstLineChars="200"/>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（1）</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完成2020年第2、4批次建设用地</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和</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S303恩阳城区过境道路工程建设用地。</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共计</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97.9834</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公顷的征地资料组卷，包含大巴山干部学院、蓝润饲料厂等重点项目，目前均已上报市人民政府审查。</w:t>
      </w:r>
    </w:p>
    <w:p>
      <w:pPr>
        <w:numPr>
          <w:ilvl w:val="0"/>
          <w:numId w:val="0"/>
        </w:numPr>
        <w:ind w:firstLine="640" w:firstLineChars="200"/>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取得巴中市恩阳区2019年第1批乡镇建设用地、巴中恩阳西龛110KV输变电工程用地以及巴中市恩阳区2019年第2批乡镇建设用地（蓝润生猪养殖柳林工业园用地265.43亩）的省人民政府批复。已完成土地征收公告和安置补偿方案公告的发布、张贴。</w:t>
      </w:r>
    </w:p>
    <w:p>
      <w:pPr>
        <w:numPr>
          <w:ilvl w:val="0"/>
          <w:numId w:val="0"/>
        </w:numPr>
        <w:ind w:firstLine="640" w:firstLineChars="200"/>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完成黄石盘水库报省、部组卷资料的审查，并取得自然资源部批复。</w:t>
      </w:r>
    </w:p>
    <w:p>
      <w:pPr>
        <w:numPr>
          <w:ilvl w:val="0"/>
          <w:numId w:val="0"/>
        </w:numPr>
        <w:ind w:firstLine="640" w:firstLineChars="200"/>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4</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完成巴中恩阳观音35KV输变电项目和巴中市恩阳区2018年第1批城市建设用地失地农民保险人员名单的确定。</w:t>
      </w:r>
    </w:p>
    <w:p>
      <w:pPr>
        <w:numPr>
          <w:ilvl w:val="0"/>
          <w:numId w:val="0"/>
        </w:numPr>
        <w:ind w:firstLine="672" w:firstLineChars="200"/>
        <w:rPr>
          <w:rFonts w:hint="eastAsia" w:ascii="华文仿宋" w:hAnsi="华文仿宋" w:eastAsia="华文仿宋" w:cs="华文仿宋"/>
          <w:color w:val="0D0D0D" w:themeColor="text1" w:themeTint="F2"/>
          <w:spacing w:val="8"/>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pacing w:val="8"/>
          <w:sz w:val="32"/>
          <w:szCs w:val="32"/>
          <w:lang w:val="en-US" w:eastAsia="zh-CN"/>
          <w14:textFill>
            <w14:solidFill>
              <w14:schemeClr w14:val="tx1">
                <w14:lumMod w14:val="95000"/>
                <w14:lumOff w14:val="5000"/>
              </w14:schemeClr>
            </w14:solidFill>
          </w14:textFill>
        </w:rPr>
        <w:t>2.征地拆迁扫黑除恶。开展对全区18个镇（街道），黄石盘水库、汉巴南铁路、工业园企业等在境重大项目分片区督导扫黑除恶线索排查工作。联合区扫黑办、区公安分局出台了《2020年扫黑除恶专项斗争征地拆迁安置补偿领域乱象整治方案》。</w:t>
      </w:r>
    </w:p>
    <w:p>
      <w:pPr>
        <w:numPr>
          <w:ilvl w:val="0"/>
          <w:numId w:val="0"/>
        </w:numPr>
        <w:ind w:firstLine="640" w:firstLineChars="200"/>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3.征地区片综合地价制定工作。完成区片综合地价划分和定价，并已取得省人民政府批复。</w:t>
      </w:r>
    </w:p>
    <w:p>
      <w:pPr>
        <w:numPr>
          <w:ilvl w:val="0"/>
          <w:numId w:val="0"/>
        </w:numPr>
        <w:spacing w:line="600" w:lineRule="exact"/>
        <w:ind w:firstLine="672" w:firstLineChars="200"/>
        <w:jc w:val="both"/>
        <w:rPr>
          <w:rFonts w:hint="eastAsia" w:ascii="华文仿宋" w:hAnsi="华文仿宋" w:eastAsia="华文仿宋" w:cs="华文仿宋"/>
          <w:color w:val="0D0D0D" w:themeColor="text1" w:themeTint="F2"/>
          <w:spacing w:val="8"/>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pacing w:val="8"/>
          <w:sz w:val="32"/>
          <w:szCs w:val="32"/>
          <w:lang w:val="en-US" w:eastAsia="zh-CN"/>
          <w14:textFill>
            <w14:solidFill>
              <w14:schemeClr w14:val="tx1">
                <w14:lumMod w14:val="95000"/>
                <w14:lumOff w14:val="5000"/>
              </w14:schemeClr>
            </w14:solidFill>
          </w14:textFill>
        </w:rPr>
        <w:t>4.土地例行督察发现问题整改。督促完成土地例行督察发现土地补偿费和安置补助费未支付到位问题整改清零，被征地农民社会保障费用落实不到位问题整改到位资金9998万元。</w:t>
      </w:r>
    </w:p>
    <w:p>
      <w:pPr>
        <w:numPr>
          <w:ilvl w:val="0"/>
          <w:numId w:val="0"/>
        </w:numPr>
        <w:spacing w:line="600" w:lineRule="exact"/>
        <w:ind w:firstLine="672" w:firstLineChars="200"/>
        <w:jc w:val="both"/>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pacing w:val="8"/>
          <w:sz w:val="32"/>
          <w:szCs w:val="32"/>
          <w:lang w:val="en-US" w:eastAsia="zh-CN"/>
          <w14:textFill>
            <w14:solidFill>
              <w14:schemeClr w14:val="tx1">
                <w14:lumMod w14:val="95000"/>
                <w14:lumOff w14:val="5000"/>
              </w14:schemeClr>
            </w14:solidFill>
          </w14:textFill>
        </w:rPr>
        <w:t>5.</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为有效保障我区经济社会发展用地，切实维护被征地农民合法权益和社会稳定，</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做好</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《土地管理法》（修正案）过渡期内，集体土地征收报批</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工作。印发《&lt;土地管理法&gt;（修正案）施行后过渡期恩阳区建设用地报批工作指引的通知》</w:t>
      </w:r>
    </w:p>
    <w:p>
      <w:pPr>
        <w:numPr>
          <w:ilvl w:val="0"/>
          <w:numId w:val="0"/>
        </w:numPr>
        <w:spacing w:line="600" w:lineRule="exact"/>
        <w:ind w:firstLine="640" w:firstLineChars="200"/>
        <w:jc w:val="both"/>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6.农村三类建设用地、设施农用地、临时用地。</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完成四宗“三类”建设用地农用地转用，总计2.5587公顷</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与农业农村局</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联合</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出台</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了</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巴中市恩阳区农村宅基地审批管理实施办法</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关于做好生猪养殖用地保障的通知</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办理临时用地5宗，总计24.2167公顷</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完成了2013年以来农村村民建房资料整理归档</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r>
        <w:rPr>
          <w:rFonts w:hint="eastAsia" w:ascii="华文仿宋" w:hAnsi="华文仿宋" w:eastAsia="华文仿宋" w:cs="华文仿宋"/>
          <w:color w:val="0D0D0D" w:themeColor="text1" w:themeTint="F2"/>
          <w:sz w:val="32"/>
          <w:szCs w:val="32"/>
          <w14:textFill>
            <w14:solidFill>
              <w14:schemeClr w14:val="tx1">
                <w14:lumMod w14:val="95000"/>
                <w14:lumOff w14:val="5000"/>
              </w14:schemeClr>
            </w14:solidFill>
          </w14:textFill>
        </w:rPr>
        <w:t>完成了2020年第2批农用地转用（宅基地）的勘测定界</w:t>
      </w:r>
      <w:r>
        <w:rPr>
          <w:rFonts w:hint="eastAsia" w:ascii="华文仿宋" w:hAnsi="华文仿宋" w:eastAsia="华文仿宋" w:cs="华文仿宋"/>
          <w:color w:val="0D0D0D" w:themeColor="text1" w:themeTint="F2"/>
          <w:sz w:val="32"/>
          <w:szCs w:val="32"/>
          <w:lang w:eastAsia="zh-CN"/>
          <w14:textFill>
            <w14:solidFill>
              <w14:schemeClr w14:val="tx1">
                <w14:lumMod w14:val="95000"/>
                <w14:lumOff w14:val="5000"/>
              </w14:schemeClr>
            </w14:solidFill>
          </w14:textFill>
        </w:rPr>
        <w:t>。</w:t>
      </w:r>
    </w:p>
    <w:p>
      <w:pPr>
        <w:pStyle w:val="7"/>
        <w:ind w:left="0" w:leftChars="0" w:firstLine="640" w:firstLineChars="200"/>
        <w:rPr>
          <w:rFonts w:hint="eastAsia" w:ascii="华文仿宋" w:hAnsi="华文仿宋" w:eastAsia="华文仿宋" w:cs="华文仿宋"/>
          <w:b w:val="0"/>
          <w:bCs/>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b w:val="0"/>
          <w:bCs/>
          <w:color w:val="0D0D0D" w:themeColor="text1" w:themeTint="F2"/>
          <w:kern w:val="2"/>
          <w:sz w:val="32"/>
          <w:szCs w:val="32"/>
          <w:lang w:val="en-US" w:eastAsia="zh-CN" w:bidi="ar-SA"/>
          <w14:textFill>
            <w14:solidFill>
              <w14:schemeClr w14:val="tx1">
                <w14:lumMod w14:val="95000"/>
                <w14:lumOff w14:val="5000"/>
              </w14:schemeClr>
            </w14:solidFill>
          </w14:textFill>
        </w:rPr>
        <w:t>7.</w:t>
      </w:r>
      <w:r>
        <w:rPr>
          <w:rFonts w:hint="eastAsia" w:ascii="华文仿宋" w:hAnsi="华文仿宋" w:eastAsia="华文仿宋" w:cs="华文仿宋"/>
          <w:b w:val="0"/>
          <w:bCs/>
          <w:color w:val="0D0D0D" w:themeColor="text1" w:themeTint="F2"/>
          <w:sz w:val="32"/>
          <w:szCs w:val="32"/>
          <w:lang w:val="en-US" w:eastAsia="zh-CN"/>
          <w14:textFill>
            <w14:solidFill>
              <w14:schemeClr w14:val="tx1">
                <w14:lumMod w14:val="95000"/>
                <w14:lumOff w14:val="5000"/>
              </w14:schemeClr>
            </w14:solidFill>
          </w14:textFill>
        </w:rPr>
        <w:t>及时按市书记市长经济责任审计，对下发的永久基本农田划定不实或占用41个图斑626.6亩进行了核查，，发现划定不实12个图斑197.74亩，撂荒8个图斑113.39亩，因农业产业结构调整、农村公路和临时使用土地现已不属于永久基本农田19个图斑227.17亩，并提出相关整改建议。</w:t>
      </w:r>
    </w:p>
    <w:p>
      <w:pPr>
        <w:pStyle w:val="7"/>
        <w:ind w:left="0" w:leftChars="0" w:firstLine="640" w:firstLineChars="200"/>
        <w:rPr>
          <w:rFonts w:hint="eastAsia" w:ascii="华文仿宋" w:hAnsi="华文仿宋" w:eastAsia="华文仿宋" w:cs="华文仿宋"/>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b w:val="0"/>
          <w:bCs w:val="0"/>
          <w:color w:val="0D0D0D" w:themeColor="text1" w:themeTint="F2"/>
          <w:sz w:val="32"/>
          <w:szCs w:val="32"/>
          <w:lang w:val="en-US" w:eastAsia="zh-CN"/>
          <w14:textFill>
            <w14:solidFill>
              <w14:schemeClr w14:val="tx1">
                <w14:lumMod w14:val="95000"/>
                <w14:lumOff w14:val="5000"/>
              </w14:schemeClr>
            </w14:solidFill>
          </w14:textFill>
        </w:rPr>
        <w:t>8.做好全域土地综合整治工作，争取年地纳入全省试点。</w:t>
      </w:r>
    </w:p>
    <w:p>
      <w:pPr>
        <w:numPr>
          <w:ilvl w:val="0"/>
          <w:numId w:val="0"/>
        </w:numPr>
        <w:spacing w:line="600" w:lineRule="exact"/>
        <w:ind w:firstLine="640" w:firstLineChars="200"/>
        <w:jc w:val="both"/>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9.指标交易工作。三星乡双柏村等7个土地整理项目其中2000亩占补平衡指标已与成都市青白江规划和自然资源局按照42000元/亩的价格达成正式协议，共计8400万元；150.0779亩与新津区规划和自然资局按照47950元/亩的价格达成正式协议，共计719.6235万元。九镇乡包树梁村、石洞寺村、九龙居委会、八卦石村、彭家梁村土地整理项目953.4185亩占补平衡指标与邛崃市规划和自然资源局按照36500元/亩的价格达成正式协议，共计3479.9775万元；九镇乡螺蛳石村等3个土地整理项目占补平衡指标1328.5038亩已与邛四川天府新区成都管理委员会自然资源和规划建设局按照28894元/亩的价格达成正式协议，共计3838.5788万元。</w:t>
      </w:r>
    </w:p>
    <w:p>
      <w:pPr>
        <w:spacing w:line="600" w:lineRule="exact"/>
        <w:ind w:firstLine="640" w:firstLineChars="200"/>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10.耕地保护工作。一是加强宣传力度。通过“4.22”世界地球日、“6.25”全国土地日、“12.4”全国法制日等主题活动日和“法律七进”活动、脱贫攻坚工作等时机，采取张贴标语、散发宣传资料、搭建咨询台、组织宣传车辆巡回宣传等方式，大力宣传《新土地法》《基本农田保护条例》等相关法律法规。二是严格控制各项建设占用耕地。严格落实土地用途管制制度，强化土地利用总体规划的约束力，按照土地利用总体规划确定土地的用途和土地利用计划的安排，合理使用土地。严格报批程序，对耕地实行特别保护，严格限制农用地转为建设用地，严把农用地转用、土地征用审批关，从严执行耕地保护“五不准”的规定，做到不擅自降低基本农田保护比例和布局，确保实现土地资源的合理利用和耕地数量的总体稳定。</w:t>
      </w:r>
    </w:p>
    <w:p>
      <w:pPr>
        <w:numPr>
          <w:ilvl w:val="0"/>
          <w:numId w:val="0"/>
        </w:numPr>
        <w:spacing w:line="600" w:lineRule="exact"/>
        <w:ind w:firstLine="640" w:firstLineChars="200"/>
        <w:jc w:val="both"/>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华文仿宋" w:hAnsi="华文仿宋" w:eastAsia="华文仿宋" w:cs="华文仿宋"/>
          <w:color w:val="0D0D0D" w:themeColor="text1" w:themeTint="F2"/>
          <w:sz w:val="32"/>
          <w:szCs w:val="32"/>
          <w:lang w:val="en-US" w:eastAsia="zh-CN"/>
          <w14:textFill>
            <w14:solidFill>
              <w14:schemeClr w14:val="tx1">
                <w14:lumMod w14:val="95000"/>
                <w14:lumOff w14:val="5000"/>
              </w14:schemeClr>
            </w14:solidFill>
          </w14:textFill>
        </w:rPr>
        <w:t>在做好工作的同时，我股积极开展机关效能建设和党风廉政建设，严格遵守各项规章制度，不断加强思想教育、作风教育、反腐倡廉教育，进一步加强爱岗敬业、职业道德和业务能力教育，深入推进自然资源和规划系统特色廉政建设，切实履行“服务人民、依法办公、清正廉洁”的自觉性。</w:t>
      </w:r>
    </w:p>
    <w:p>
      <w:pPr>
        <w:pStyle w:val="7"/>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widowControl/>
        <w:jc w:val="left"/>
        <w:rPr>
          <w:rFonts w:ascii="仿宋" w:hAnsi="仿宋" w:eastAsia="仿宋"/>
          <w:color w:val="000000"/>
          <w:kern w:val="0"/>
          <w:sz w:val="32"/>
          <w:szCs w:val="32"/>
        </w:rPr>
      </w:pPr>
      <w:r>
        <w:rPr>
          <w:rFonts w:hint="eastAsia" w:ascii="仿宋" w:hAnsi="仿宋" w:eastAsia="仿宋"/>
          <w:color w:val="000000"/>
          <w:sz w:val="32"/>
          <w:szCs w:val="32"/>
          <w:lang w:val="en-US" w:eastAsia="zh-CN"/>
        </w:rPr>
        <w:t xml:space="preserve">    巴中市恩阳区土地征收事务中心为巴中市恩阳区自然资源和规划局下属事业单位。</w:t>
      </w:r>
      <w:r>
        <w:rPr>
          <w:rFonts w:ascii="仿宋" w:hAnsi="仿宋" w:eastAsia="仿宋"/>
          <w:color w:val="000000"/>
          <w:sz w:val="32"/>
          <w:szCs w:val="32"/>
        </w:rPr>
        <w:br w:type="page"/>
      </w:r>
    </w:p>
    <w:p>
      <w:pPr>
        <w:pStyle w:val="6"/>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w:t>
      </w:r>
      <w:r>
        <w:rPr>
          <w:rStyle w:val="27"/>
          <w:rFonts w:hint="eastAsia" w:ascii="黑体" w:hAnsi="黑体" w:eastAsia="黑体"/>
          <w:b w:val="0"/>
          <w:bCs w:val="0"/>
          <w:lang w:val="en-US" w:eastAsia="zh-CN"/>
        </w:rPr>
        <w:t>20</w:t>
      </w:r>
      <w:r>
        <w:rPr>
          <w:rStyle w:val="27"/>
          <w:rFonts w:hint="eastAsia" w:ascii="黑体" w:hAnsi="黑体" w:eastAsia="黑体"/>
          <w:b w:val="0"/>
          <w:bCs w:val="0"/>
        </w:rPr>
        <w:t>年度部门决算情况说明</w:t>
      </w:r>
      <w:bookmarkEnd w:id="22"/>
      <w:bookmarkEnd w:id="23"/>
    </w:p>
    <w:p/>
    <w:p>
      <w:pPr>
        <w:pStyle w:val="26"/>
        <w:numPr>
          <w:ilvl w:val="0"/>
          <w:numId w:val="1"/>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89.81万元，与2019年相比，收入增加13.08万元，增加17.05%；2020年支出总计79.94万元，与2019年相比，支出减少1.79，减少2.19%。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2020年增加了引进人才安家费及工作补贴。</w:t>
      </w:r>
    </w:p>
    <w:p>
      <w:pPr>
        <w:rPr>
          <w:rFonts w:hint="eastAsia"/>
        </w:rPr>
      </w:pPr>
    </w:p>
    <w:p>
      <w:pPr>
        <w:pStyle w:val="7"/>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89.81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89.81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pStyle w:val="7"/>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6"/>
        <w:numPr>
          <w:ilvl w:val="0"/>
          <w:numId w:val="1"/>
        </w:numPr>
        <w:spacing w:line="600" w:lineRule="exact"/>
        <w:ind w:firstLineChars="0"/>
        <w:outlineLvl w:val="1"/>
        <w:rPr>
          <w:rStyle w:val="2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hint="eastAsia"/>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79.94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73.84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92.37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7.63</w:t>
      </w:r>
      <w:r>
        <w:rPr>
          <w:rFonts w:ascii="仿宋" w:hAnsi="仿宋" w:eastAsia="仿宋"/>
          <w:color w:val="000000"/>
          <w:sz w:val="32"/>
          <w:szCs w:val="32"/>
        </w:rPr>
        <w:t>%</w:t>
      </w:r>
      <w:r>
        <w:rPr>
          <w:rFonts w:hint="eastAsia" w:ascii="仿宋" w:hAnsi="仿宋" w:eastAsia="仿宋"/>
          <w:color w:val="000000"/>
          <w:sz w:val="32"/>
          <w:szCs w:val="32"/>
        </w:rPr>
        <w:t>。</w:t>
      </w:r>
    </w:p>
    <w:p>
      <w:pPr>
        <w:pStyle w:val="7"/>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财政</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89.81万元，与2019年相比，收入增加13.08万元，增加17.05%；2020年财政拨款支出总计79.94万元，与2019年相比，支出减少1.79万元，减少2.19%。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2020年增加了引进人才安家费及工作补贴。</w:t>
      </w:r>
    </w:p>
    <w:p>
      <w:pPr>
        <w:pStyle w:val="7"/>
        <w:rPr>
          <w:rFonts w:hint="eastAsia"/>
          <w:lang w:val="en-US" w:eastAsia="zh-CN"/>
        </w:rPr>
      </w:pPr>
      <w:r>
        <w:rPr>
          <w:rFonts w:hint="eastAsia"/>
          <w:lang w:val="en-US"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b/>
          <w:color w:val="00B050"/>
          <w:sz w:val="32"/>
          <w:szCs w:val="32"/>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79.94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2.19</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是公用经费压减。</w:t>
      </w:r>
    </w:p>
    <w:p>
      <w:pPr>
        <w:pStyle w:val="7"/>
        <w:rPr>
          <w:rFonts w:hint="eastAsia"/>
          <w:lang w:eastAsia="zh-CN"/>
        </w:rPr>
      </w:pPr>
      <w:r>
        <w:rPr>
          <w:rFonts w:hint="eastAsia"/>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79.94</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5.89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自然资源海洋气象等支出</w:t>
      </w:r>
      <w:r>
        <w:rPr>
          <w:rFonts w:hint="eastAsia" w:ascii="仿宋" w:hAnsi="仿宋" w:eastAsia="仿宋"/>
          <w:color w:val="000000" w:themeColor="text1"/>
          <w:sz w:val="32"/>
          <w:szCs w:val="32"/>
          <w:lang w:val="en-US" w:eastAsia="zh-CN"/>
          <w14:textFill>
            <w14:solidFill>
              <w14:schemeClr w14:val="tx1"/>
            </w14:solidFill>
          </w14:textFill>
        </w:rPr>
        <w:t>65.75万元，占82.25 %；</w:t>
      </w:r>
      <w:r>
        <w:rPr>
          <w:rFonts w:hint="eastAsia" w:ascii="仿宋" w:hAnsi="仿宋" w:eastAsia="仿宋"/>
          <w:color w:val="000000" w:themeColor="text1"/>
          <w:sz w:val="32"/>
          <w:szCs w:val="32"/>
          <w14:textFill>
            <w14:solidFill>
              <w14:schemeClr w14:val="tx1"/>
            </w14:solidFill>
          </w14:textFill>
        </w:rPr>
        <w:t>。</w:t>
      </w:r>
    </w:p>
    <w:p>
      <w:pPr>
        <w:pStyle w:val="7"/>
        <w:rPr>
          <w:rFonts w:hint="eastAsia" w:ascii="仿宋" w:hAnsi="仿宋" w:eastAsia="仿宋"/>
          <w:color w:val="000000" w:themeColor="text1"/>
          <w:sz w:val="32"/>
          <w:szCs w:val="32"/>
          <w14:textFill>
            <w14:solidFill>
              <w14:schemeClr w14:val="tx1"/>
            </w14:solidFill>
          </w14:textFill>
        </w:rPr>
      </w:pPr>
    </w:p>
    <w:p>
      <w:pPr>
        <w:rPr>
          <w:rFonts w:hint="eastAsia" w:ascii="仿宋" w:hAnsi="仿宋" w:eastAsia="仿宋"/>
          <w:color w:val="000000" w:themeColor="text1"/>
          <w:sz w:val="32"/>
          <w:szCs w:val="32"/>
          <w14:textFill>
            <w14:solidFill>
              <w14:schemeClr w14:val="tx1"/>
            </w14:solidFill>
          </w14:textFill>
        </w:rPr>
      </w:pPr>
    </w:p>
    <w:p>
      <w:pPr>
        <w:pStyle w:val="7"/>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79.94万元</w:t>
      </w:r>
      <w:r>
        <w:rPr>
          <w:rFonts w:hint="eastAsia" w:ascii="仿宋" w:hAnsi="仿宋" w:eastAsia="仿宋"/>
          <w:color w:val="000000" w:themeColor="text1"/>
          <w:sz w:val="32"/>
          <w:szCs w:val="32"/>
          <w14:textFill>
            <w14:solidFill>
              <w14:schemeClr w14:val="tx1"/>
            </w14:solidFill>
          </w14:textFill>
        </w:rPr>
        <w:t>，</w:t>
      </w:r>
      <w:r>
        <w:rPr>
          <w:rStyle w:val="17"/>
          <w:rFonts w:hint="eastAsia" w:ascii="仿宋" w:hAnsi="仿宋" w:eastAsia="仿宋"/>
          <w:bCs/>
          <w:color w:val="000000" w:themeColor="text1"/>
          <w:sz w:val="32"/>
          <w:szCs w:val="32"/>
          <w14:textFill>
            <w14:solidFill>
              <w14:schemeClr w14:val="tx1"/>
            </w14:solidFill>
          </w14:textFill>
        </w:rPr>
        <w:t>完成</w:t>
      </w:r>
      <w:r>
        <w:rPr>
          <w:rStyle w:val="17"/>
          <w:rFonts w:hint="eastAsia" w:ascii="仿宋" w:hAnsi="仿宋" w:eastAsia="仿宋"/>
          <w:bCs/>
          <w:color w:val="000000"/>
          <w:sz w:val="32"/>
          <w:szCs w:val="32"/>
        </w:rPr>
        <w:t>预算</w:t>
      </w:r>
      <w:r>
        <w:rPr>
          <w:rStyle w:val="17"/>
          <w:rFonts w:hint="eastAsia" w:ascii="仿宋" w:hAnsi="仿宋" w:eastAsia="仿宋"/>
          <w:bCs/>
          <w:color w:val="000000"/>
          <w:sz w:val="32"/>
          <w:szCs w:val="32"/>
          <w:lang w:val="en-US" w:eastAsia="zh-CN"/>
        </w:rPr>
        <w:t>89.01</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1.</w:t>
      </w:r>
      <w:r>
        <w:rPr>
          <w:rStyle w:val="17"/>
          <w:rFonts w:hint="eastAsia" w:ascii="仿宋" w:hAnsi="仿宋" w:eastAsia="仿宋"/>
          <w:bCs/>
          <w:color w:val="000000"/>
          <w:sz w:val="32"/>
          <w:szCs w:val="32"/>
          <w:lang w:eastAsia="zh-CN"/>
        </w:rPr>
        <w:t>自然资源海洋气象等支出—自然资源事务、其他自然资源事务支出</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65.75</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98.58</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；决算数小于预算数的原因是事业运行支出有结余</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2.</w:t>
      </w:r>
      <w:r>
        <w:rPr>
          <w:rStyle w:val="17"/>
          <w:rFonts w:hint="eastAsia" w:ascii="仿宋" w:hAnsi="仿宋" w:eastAsia="仿宋"/>
          <w:bCs/>
          <w:color w:val="000000"/>
          <w:sz w:val="32"/>
          <w:szCs w:val="32"/>
          <w:lang w:eastAsia="zh-CN"/>
        </w:rPr>
        <w:t>住房保障支出—住房改革支出—住房公积金</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5.89</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94.85</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，决算数小于预算数的主要原因是</w:t>
      </w:r>
      <w:r>
        <w:rPr>
          <w:rStyle w:val="17"/>
          <w:rFonts w:hint="eastAsia" w:ascii="仿宋" w:hAnsi="仿宋" w:eastAsia="仿宋"/>
          <w:b w:val="0"/>
          <w:bCs/>
          <w:color w:val="000000"/>
          <w:sz w:val="32"/>
          <w:szCs w:val="32"/>
          <w:lang w:eastAsia="zh-CN"/>
        </w:rPr>
        <w:t>住房公积金支出有结余</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hint="eastAsia" w:ascii="仿宋" w:hAnsi="仿宋" w:eastAsia="仿宋"/>
          <w:bCs/>
          <w:color w:val="000000"/>
          <w:sz w:val="32"/>
          <w:szCs w:val="32"/>
          <w:lang w:val="en-US" w:eastAsia="zh-CN"/>
        </w:rPr>
        <w:t>3</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w:t>
      </w:r>
      <w:r>
        <w:rPr>
          <w:rStyle w:val="17"/>
          <w:rFonts w:hint="eastAsia" w:ascii="仿宋" w:hAnsi="仿宋" w:eastAsia="仿宋"/>
          <w:bCs/>
          <w:color w:val="000000"/>
          <w:sz w:val="32"/>
          <w:szCs w:val="32"/>
          <w:lang w:eastAsia="zh-CN"/>
        </w:rPr>
        <w:t>—行政事业单位养老支出—机关事业单位基本养老保险缴费支出</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5.2</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Style w:val="17"/>
          <w:rFonts w:hint="eastAsia" w:ascii="仿宋" w:hAnsi="仿宋" w:eastAsia="仿宋"/>
          <w:bCs/>
          <w:color w:val="000000"/>
          <w:sz w:val="32"/>
          <w:szCs w:val="32"/>
          <w:lang w:val="en-US" w:eastAsia="zh-CN"/>
        </w:rPr>
        <w:t>4</w:t>
      </w:r>
      <w:r>
        <w:rPr>
          <w:rStyle w:val="17"/>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eastAsia="zh-CN"/>
          <w14:textFill>
            <w14:solidFill>
              <w14:schemeClr w14:val="tx1"/>
            </w14:solidFill>
          </w14:textFill>
        </w:rPr>
        <w:t>—行政事业单位医疗—事业单位医疗</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3.1</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73.84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62.94</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14.8万元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0.6万元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14.6万元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5.2万元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职工基本医疗保险缴费</w:t>
      </w:r>
      <w:r>
        <w:rPr>
          <w:rFonts w:hint="eastAsia" w:ascii="仿宋" w:hAnsi="仿宋" w:eastAsia="仿宋"/>
          <w:color w:val="000000"/>
          <w:sz w:val="32"/>
          <w:szCs w:val="32"/>
          <w:lang w:val="en-US" w:eastAsia="zh-CN"/>
        </w:rPr>
        <w:t>2.5万元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0.6万元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18.5万元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5.89万元</w:t>
      </w:r>
      <w:r>
        <w:rPr>
          <w:rFonts w:hint="eastAsia" w:ascii="仿宋" w:hAnsi="仿宋" w:eastAsia="仿宋"/>
          <w:color w:val="000000"/>
          <w:sz w:val="32"/>
          <w:szCs w:val="32"/>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10.9</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2万元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1万元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3.2万元</w:t>
      </w:r>
      <w:r>
        <w:rPr>
          <w:rFonts w:hint="eastAsia" w:ascii="仿宋" w:hAnsi="仿宋" w:eastAsia="仿宋"/>
          <w:color w:val="000000"/>
          <w:sz w:val="32"/>
          <w:szCs w:val="32"/>
        </w:rPr>
        <w:t>、委托业务费</w:t>
      </w:r>
      <w:r>
        <w:rPr>
          <w:rFonts w:hint="eastAsia" w:ascii="仿宋" w:hAnsi="仿宋" w:eastAsia="仿宋"/>
          <w:color w:val="000000"/>
          <w:sz w:val="32"/>
          <w:szCs w:val="32"/>
          <w:lang w:val="en-US" w:eastAsia="zh-CN"/>
        </w:rPr>
        <w:t>1.5万元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0.7万元</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0.5万元</w:t>
      </w:r>
      <w:r>
        <w:rPr>
          <w:rFonts w:hint="eastAsia" w:ascii="仿宋" w:hAnsi="仿宋" w:eastAsia="仿宋"/>
          <w:color w:val="000000"/>
          <w:sz w:val="32"/>
          <w:szCs w:val="32"/>
        </w:rPr>
        <w:t>。</w:t>
      </w:r>
    </w:p>
    <w:p>
      <w:pPr>
        <w:spacing w:line="600" w:lineRule="exact"/>
        <w:ind w:firstLine="640"/>
        <w:outlineLvl w:val="1"/>
        <w:rPr>
          <w:rStyle w:val="2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我单位无三公经费预算及支出</w:t>
      </w:r>
    </w:p>
    <w:p>
      <w:pPr>
        <w:spacing w:line="600" w:lineRule="exact"/>
        <w:ind w:firstLine="640"/>
        <w:outlineLvl w:val="1"/>
        <w:rPr>
          <w:rStyle w:val="28"/>
          <w:rFonts w:ascii="黑体" w:hAnsi="黑体" w:eastAsia="黑体"/>
        </w:rPr>
      </w:pPr>
      <w:bookmarkStart w:id="44" w:name="_Toc15396610"/>
      <w:bookmarkStart w:id="45" w:name="_Toc15377218"/>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4"/>
      <w:bookmarkEnd w:id="45"/>
    </w:p>
    <w:p>
      <w:pPr>
        <w:spacing w:line="600" w:lineRule="exact"/>
        <w:ind w:firstLine="64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2020年我单位无政府性基金预算支出。</w:t>
      </w:r>
    </w:p>
    <w:p>
      <w:pPr>
        <w:numPr>
          <w:ilvl w:val="0"/>
          <w:numId w:val="2"/>
        </w:numPr>
        <w:spacing w:line="600" w:lineRule="exact"/>
        <w:ind w:firstLine="640"/>
        <w:outlineLvl w:val="1"/>
        <w:rPr>
          <w:rStyle w:val="28"/>
          <w:rFonts w:ascii="黑体" w:hAnsi="黑体" w:eastAsia="黑体"/>
          <w:b w:val="0"/>
        </w:rPr>
      </w:pPr>
      <w:bookmarkStart w:id="46" w:name="_Toc15396611"/>
      <w:bookmarkStart w:id="47" w:name="_Toc15377219"/>
      <w:r>
        <w:rPr>
          <w:rStyle w:val="28"/>
          <w:rFonts w:hint="eastAsia" w:ascii="黑体" w:hAnsi="黑体" w:eastAsia="黑体"/>
          <w:b w:val="0"/>
        </w:rPr>
        <w:t>国有资本经营预算支出决算情况说明</w:t>
      </w:r>
      <w:bookmarkEnd w:id="46"/>
      <w:bookmarkEnd w:id="47"/>
    </w:p>
    <w:p>
      <w:pPr>
        <w:spacing w:line="600" w:lineRule="exact"/>
        <w:ind w:firstLine="64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2020年我单位无国有资本经营预算支出。</w:t>
      </w:r>
    </w:p>
    <w:p>
      <w:pPr>
        <w:spacing w:line="600" w:lineRule="exact"/>
        <w:ind w:firstLine="640" w:firstLineChars="200"/>
        <w:outlineLvl w:val="1"/>
        <w:rPr>
          <w:rStyle w:val="28"/>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巴中市恩阳区土地征收事务中心无机关运行经费支出。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val="en-US" w:eastAsia="zh-CN"/>
        </w:rPr>
        <w:t>2020年我单位无政府采购支出。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我单位共有车辆</w:t>
      </w:r>
      <w:r>
        <w:rPr>
          <w:rFonts w:hint="eastAsia" w:ascii="仿宋_GB2312" w:eastAsia="仿宋_GB2312"/>
          <w:color w:val="000000"/>
          <w:sz w:val="32"/>
          <w:szCs w:val="32"/>
          <w:lang w:val="en-US" w:eastAsia="zh-CN"/>
        </w:rPr>
        <w:t>0辆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hAnsi="仿宋_GB2312" w:eastAsia="仿宋_GB2312" w:cs="仿宋_GB2312"/>
          <w:sz w:val="32"/>
          <w:szCs w:val="32"/>
          <w:lang w:val="en-US" w:eastAsia="zh-CN"/>
        </w:rPr>
        <w:t>9个</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党建工作经费、脱贫攻坚工作经费、机关物业管理及水电气费、资料印刷费、接待费</w:t>
      </w:r>
      <w:r>
        <w:rPr>
          <w:rFonts w:hint="eastAsia" w:ascii="仿宋_GB2312" w:hAnsi="仿宋_GB2312" w:eastAsia="仿宋_GB2312" w:cs="仿宋_GB2312"/>
          <w:sz w:val="32"/>
          <w:szCs w:val="32"/>
        </w:rPr>
        <w:t>）开展了预算事前绩效评估。</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党建工作经费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rPr>
        <w:t>入党积极分子、发展对象、党员等</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教育培训；支部开展组织生活、主题活动。党建外出学习考察。党建宣传教育工作，党员活动室阵地建设等</w:t>
      </w:r>
      <w:r>
        <w:rPr>
          <w:rFonts w:hint="eastAsia" w:ascii="仿宋_GB2312" w:hAnsi="仿宋_GB2312" w:eastAsia="仿宋_GB2312" w:cs="仿宋_GB2312"/>
          <w:sz w:val="32"/>
          <w:szCs w:val="32"/>
          <w:lang w:eastAsia="zh-CN"/>
        </w:rPr>
        <w:t>。发现的主要问题：绩效目标设定还不科学，预计发生的费用与实际存在较大的偏差。下一步改进措施：</w:t>
      </w:r>
      <w:r>
        <w:rPr>
          <w:rFonts w:hint="eastAsia" w:ascii="仿宋_GB2312" w:hAnsi="仿宋_GB2312" w:eastAsia="仿宋_GB2312" w:cs="仿宋_GB2312"/>
          <w:sz w:val="32"/>
          <w:szCs w:val="32"/>
        </w:rPr>
        <w:t>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脱贫攻坚工作经费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%。通过项目实施，全面落实巴中市深化“挂包帮”精准扶贫政策，通过对3个村169户贫困户开展驻村、结对帮扶工作，确保帮扶村实现“一超七有”和贫困户实现“两不愁、三保障”。</w:t>
      </w:r>
      <w:r>
        <w:rPr>
          <w:rFonts w:hint="eastAsia" w:ascii="仿宋_GB2312" w:hAnsi="仿宋_GB2312" w:eastAsia="仿宋_GB2312" w:cs="仿宋_GB2312"/>
          <w:sz w:val="32"/>
          <w:szCs w:val="32"/>
          <w:lang w:eastAsia="zh-CN"/>
        </w:rPr>
        <w:t>发现的主要问题：绩效目标设定还不科学，预计发生的费用与实际存在较大的偏差。下一步改进措施：</w:t>
      </w:r>
      <w:r>
        <w:rPr>
          <w:rFonts w:hint="eastAsia" w:ascii="仿宋_GB2312" w:hAnsi="仿宋_GB2312" w:eastAsia="仿宋_GB2312" w:cs="仿宋_GB2312"/>
          <w:sz w:val="32"/>
          <w:szCs w:val="32"/>
        </w:rPr>
        <w:t>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机关物业管理及水电气费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过项目实施，保持正常办公秩序，防止发生安全责任事故。发现的主要问题：绩效目标设定还不科学，预计发生的费用与实际存在较大的偏差。下一步改进措施：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（4）资料印刷费。</w:t>
      </w:r>
      <w:r>
        <w:rPr>
          <w:rFonts w:hint="eastAsia" w:ascii="华文仿宋" w:hAnsi="华文仿宋" w:eastAsia="华文仿宋" w:cs="华文仿宋"/>
          <w:sz w:val="30"/>
          <w:szCs w:val="30"/>
          <w:lang w:val="en-US" w:eastAsia="zh-CN"/>
        </w:rPr>
        <w:t>项目全年预算0.9万元，执行数为0.9万元，完成预算的100%。通过项目实施，完成“6.25”地球日及“12.4“法制日宣传资料印制，达到宣传效果。</w:t>
      </w:r>
      <w:r>
        <w:rPr>
          <w:rFonts w:hint="eastAsia" w:ascii="仿宋_GB2312" w:hAnsi="仿宋_GB2312" w:eastAsia="仿宋_GB2312" w:cs="仿宋_GB2312"/>
          <w:sz w:val="32"/>
          <w:szCs w:val="32"/>
          <w:lang w:val="en-US" w:eastAsia="zh-CN"/>
        </w:rPr>
        <w:t>发现的主要问题：绩效目标设定还不科学，预计发生的费用与实际存在较大的偏差。下一步改进措施：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公务接待费。项目全年预算0.2万元，执行数为0万元，完成预算0%。主要原因是没有公务接待发生。发现的主要问题：绩效目标设定还不科学，预计发生的费用与实际存在较大的偏差。下一步改进措施：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p>
    <w:p>
      <w:pPr>
        <w:spacing w:line="58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widowControl/>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lang w:eastAsia="zh-CN"/>
        </w:rPr>
        <w:t>巴中市恩阳区自然资源和规划局已对</w:t>
      </w:r>
      <w:r>
        <w:rPr>
          <w:rFonts w:hint="eastAsia" w:ascii="仿宋_GB2312" w:hAnsi="仿宋_GB2312" w:eastAsia="仿宋_GB2312" w:cs="仿宋_GB2312"/>
          <w:sz w:val="32"/>
          <w:szCs w:val="32"/>
          <w:lang w:val="en-US" w:eastAsia="zh-CN"/>
        </w:rPr>
        <w:t>2020年部门整体支出进行了绩效评价。下属事业单位未再进行整体绩效评价。</w:t>
      </w: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7"/>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7"/>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1.财政拨款收入：指单位从同级财政部门取得的财政预算资金。</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2.事业收入：指事业单位开展专业业务活动及辅助活动取得的收入。如</w:t>
      </w:r>
      <w:r>
        <w:rPr>
          <w:rFonts w:hint="eastAsia" w:ascii="华文仿宋" w:hAnsi="华文仿宋" w:eastAsia="华文仿宋" w:cs="华文仿宋"/>
          <w:sz w:val="32"/>
          <w:szCs w:val="32"/>
          <w:lang w:eastAsia="zh-CN"/>
        </w:rPr>
        <w:t>会计考试中心收取教务费</w:t>
      </w:r>
      <w:r>
        <w:rPr>
          <w:rFonts w:hint="eastAsia" w:ascii="华文仿宋" w:hAnsi="华文仿宋" w:eastAsia="华文仿宋" w:cs="华文仿宋"/>
          <w:sz w:val="32"/>
          <w:szCs w:val="32"/>
        </w:rPr>
        <w:t>等。</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3.经营收入：指事业单位在专业业务活动及其辅助活动之外开展非独立核算经营活动取得的收入。</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4.其他收入：指单位取得的除上述收入以外的各项收入。 </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6.年初结转和结余：指以前年度尚未完成、结转到本年按有关规定继续使用的资金。 </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7.结余分配：指事业单位按照事业单位会计制度的规定从非财政补助结余中分配的事业基金和职工福利基金等。</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8、年末结转和结余：指单位按有关规定结转到下年或以后年度继续使用的资金。</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9.一般公共服务(类)</w:t>
      </w:r>
      <w:r>
        <w:rPr>
          <w:rFonts w:hint="eastAsia" w:ascii="华文仿宋" w:hAnsi="华文仿宋" w:eastAsia="华文仿宋" w:cs="华文仿宋"/>
          <w:sz w:val="32"/>
          <w:szCs w:val="32"/>
          <w:lang w:eastAsia="zh-CN"/>
        </w:rPr>
        <w:t>人力资源事务</w:t>
      </w:r>
      <w:r>
        <w:rPr>
          <w:rFonts w:hint="eastAsia" w:ascii="华文仿宋" w:hAnsi="华文仿宋" w:eastAsia="华文仿宋" w:cs="华文仿宋"/>
          <w:sz w:val="32"/>
          <w:szCs w:val="32"/>
        </w:rPr>
        <w:t>(款)</w:t>
      </w:r>
      <w:r>
        <w:rPr>
          <w:rFonts w:hint="eastAsia" w:ascii="华文仿宋" w:hAnsi="华文仿宋" w:eastAsia="华文仿宋" w:cs="华文仿宋"/>
          <w:sz w:val="32"/>
          <w:szCs w:val="32"/>
          <w:lang w:eastAsia="zh-CN"/>
        </w:rPr>
        <w:t>引进人才费用</w:t>
      </w:r>
      <w:r>
        <w:rPr>
          <w:rFonts w:hint="eastAsia" w:ascii="华文仿宋" w:hAnsi="华文仿宋" w:eastAsia="华文仿宋" w:cs="华文仿宋"/>
          <w:sz w:val="32"/>
          <w:szCs w:val="32"/>
        </w:rPr>
        <w:t>(项): 指</w:t>
      </w:r>
      <w:r>
        <w:rPr>
          <w:rFonts w:hint="eastAsia" w:ascii="华文仿宋" w:hAnsi="华文仿宋" w:eastAsia="华文仿宋" w:cs="华文仿宋"/>
          <w:sz w:val="32"/>
          <w:szCs w:val="32"/>
          <w:lang w:eastAsia="zh-CN"/>
        </w:rPr>
        <w:t>给予优秀引进人才的一次性安家补助及工作补贴。</w:t>
      </w:r>
    </w:p>
    <w:p>
      <w:pPr>
        <w:pStyle w:val="2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华文仿宋" w:hAnsi="华文仿宋" w:eastAsia="华文仿宋" w:cs="华文仿宋"/>
          <w:color w:val="000000"/>
          <w:kern w:val="0"/>
          <w:sz w:val="32"/>
          <w:szCs w:val="32"/>
          <w:lang w:val="en-US" w:eastAsia="zh-CN" w:bidi="ar-SA"/>
        </w:rPr>
      </w:pPr>
      <w:r>
        <w:rPr>
          <w:rFonts w:hint="eastAsia" w:ascii="华文仿宋" w:hAnsi="华文仿宋" w:eastAsia="华文仿宋" w:cs="华文仿宋"/>
          <w:color w:val="000000"/>
          <w:kern w:val="0"/>
          <w:sz w:val="32"/>
          <w:szCs w:val="32"/>
          <w:lang w:val="en-US" w:eastAsia="zh-CN" w:bidi="ar-SA"/>
        </w:rPr>
        <w:t>10.社会保障和就业(类)行政事业单位养老支出(款) 机关事业单位基本养老保险缴费支出(项):指部门实施养老保险制度由单位缴纳的养老保险费的支出。</w:t>
      </w:r>
    </w:p>
    <w:p>
      <w:pPr>
        <w:spacing w:line="560" w:lineRule="exact"/>
        <w:ind w:firstLine="640" w:firstLineChars="200"/>
        <w:jc w:val="both"/>
        <w:textAlignment w:val="baseline"/>
        <w:rPr>
          <w:rFonts w:hint="eastAsia" w:ascii="华文仿宋" w:hAnsi="华文仿宋" w:eastAsia="华文仿宋" w:cs="华文仿宋"/>
          <w:color w:val="000000"/>
          <w:kern w:val="0"/>
          <w:sz w:val="32"/>
          <w:szCs w:val="32"/>
          <w:lang w:val="en-US" w:eastAsia="zh-CN" w:bidi="ar-SA"/>
        </w:rPr>
      </w:pPr>
      <w:r>
        <w:rPr>
          <w:rFonts w:hint="eastAsia" w:ascii="华文仿宋" w:hAnsi="华文仿宋" w:eastAsia="华文仿宋" w:cs="华文仿宋"/>
          <w:color w:val="000000"/>
          <w:kern w:val="0"/>
          <w:sz w:val="32"/>
          <w:szCs w:val="32"/>
          <w:lang w:val="en-US" w:eastAsia="zh-CN" w:bidi="ar-SA"/>
        </w:rPr>
        <w:t>11.卫生健康支出(类)行政事业单位医疗(款) 事业单位医疗(项):指单位用于缴纳单位基本医疗保险支出。</w:t>
      </w:r>
    </w:p>
    <w:p>
      <w:pPr>
        <w:pStyle w:val="25"/>
        <w:spacing w:line="560" w:lineRule="exact"/>
        <w:ind w:firstLine="640" w:firstLineChars="200"/>
        <w:rPr>
          <w:rFonts w:hint="eastAsia" w:ascii="华文仿宋" w:hAnsi="华文仿宋" w:eastAsia="华文仿宋" w:cs="华文仿宋"/>
          <w:color w:val="000000"/>
          <w:kern w:val="0"/>
          <w:sz w:val="32"/>
          <w:szCs w:val="32"/>
          <w:lang w:val="en-US" w:eastAsia="zh-CN" w:bidi="ar-SA"/>
        </w:rPr>
      </w:pPr>
      <w:r>
        <w:rPr>
          <w:rFonts w:hint="eastAsia" w:ascii="华文仿宋" w:hAnsi="华文仿宋" w:eastAsia="华文仿宋" w:cs="华文仿宋"/>
          <w:color w:val="000000"/>
          <w:kern w:val="0"/>
          <w:sz w:val="32"/>
          <w:szCs w:val="32"/>
          <w:lang w:val="en-US" w:eastAsia="zh-CN" w:bidi="ar-SA"/>
        </w:rPr>
        <w:t>12.自然资源气象支出(类)自然资源事务(款) 事业运行(项):</w:t>
      </w:r>
      <w:r>
        <w:rPr>
          <w:rFonts w:hint="eastAsia" w:ascii="华文仿宋" w:hAnsi="华文仿宋" w:eastAsia="华文仿宋" w:cs="华文仿宋"/>
          <w:sz w:val="32"/>
          <w:szCs w:val="32"/>
        </w:rPr>
        <w:t>指事业单位用于保障机构正常运行、开展日常工作的基本支出。</w:t>
      </w:r>
    </w:p>
    <w:p>
      <w:pPr>
        <w:spacing w:line="560" w:lineRule="exact"/>
        <w:ind w:firstLine="648"/>
        <w:jc w:val="both"/>
        <w:textAlignment w:val="baseline"/>
        <w:rPr>
          <w:rFonts w:hint="eastAsia" w:ascii="华文仿宋" w:hAnsi="华文仿宋" w:eastAsia="华文仿宋" w:cs="华文仿宋"/>
          <w:color w:val="000000"/>
          <w:kern w:val="0"/>
          <w:sz w:val="32"/>
          <w:szCs w:val="32"/>
          <w:lang w:val="en-US" w:eastAsia="zh-CN" w:bidi="ar-SA"/>
        </w:rPr>
      </w:pPr>
      <w:r>
        <w:rPr>
          <w:rFonts w:hint="eastAsia" w:ascii="华文仿宋" w:hAnsi="华文仿宋" w:eastAsia="华文仿宋" w:cs="华文仿宋"/>
          <w:color w:val="000000"/>
          <w:kern w:val="0"/>
          <w:sz w:val="32"/>
          <w:szCs w:val="32"/>
          <w:lang w:val="en-US" w:eastAsia="zh-CN" w:bidi="ar-SA"/>
        </w:rPr>
        <w:t>13.自然资源气象支出(类)自然资源事务(款) 其他自然资源事务支出(项):</w:t>
      </w:r>
      <w:r>
        <w:rPr>
          <w:rFonts w:hint="eastAsia" w:ascii="华文仿宋" w:hAnsi="华文仿宋" w:eastAsia="华文仿宋" w:cs="华文仿宋"/>
          <w:sz w:val="32"/>
          <w:szCs w:val="32"/>
        </w:rPr>
        <w:t>指事业单位用于保障机构正常运行、开展日常工作的</w:t>
      </w:r>
      <w:r>
        <w:rPr>
          <w:rFonts w:hint="eastAsia" w:ascii="华文仿宋" w:hAnsi="华文仿宋" w:eastAsia="华文仿宋" w:cs="华文仿宋"/>
          <w:sz w:val="32"/>
          <w:szCs w:val="32"/>
          <w:lang w:eastAsia="zh-CN"/>
        </w:rPr>
        <w:t>项目</w:t>
      </w:r>
      <w:r>
        <w:rPr>
          <w:rFonts w:hint="eastAsia" w:ascii="华文仿宋" w:hAnsi="华文仿宋" w:eastAsia="华文仿宋" w:cs="华文仿宋"/>
          <w:sz w:val="32"/>
          <w:szCs w:val="32"/>
        </w:rPr>
        <w:t>支出</w:t>
      </w:r>
      <w:r>
        <w:rPr>
          <w:rFonts w:hint="eastAsia" w:ascii="华文仿宋" w:hAnsi="华文仿宋" w:eastAsia="华文仿宋" w:cs="华文仿宋"/>
          <w:color w:val="000000"/>
          <w:kern w:val="0"/>
          <w:sz w:val="32"/>
          <w:szCs w:val="32"/>
          <w:lang w:val="en-US" w:eastAsia="zh-CN" w:bidi="ar-SA"/>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color w:val="000000"/>
          <w:kern w:val="0"/>
          <w:sz w:val="32"/>
          <w:szCs w:val="32"/>
          <w:lang w:val="en-US" w:eastAsia="zh-CN" w:bidi="ar-SA"/>
        </w:rPr>
        <w:t>14.住房保障(类)住房改革支出(款)住房公积金(项): 反映行政事业单位按规定为职工缴纳的住房公积金。</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lang w:val="en-US" w:eastAsia="zh-CN"/>
        </w:rPr>
        <w:t>15</w:t>
      </w:r>
      <w:r>
        <w:rPr>
          <w:rFonts w:hint="eastAsia" w:ascii="华文仿宋" w:hAnsi="华文仿宋" w:eastAsia="华文仿宋" w:cs="华文仿宋"/>
          <w:color w:val="000000"/>
          <w:sz w:val="32"/>
          <w:szCs w:val="32"/>
        </w:rPr>
        <w:t>.基本支出：指为保障机构正常运转、完成日常工作任务而发生的人员支出和公用支出。</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lang w:val="en-US" w:eastAsia="zh-CN"/>
        </w:rPr>
        <w:t>16</w:t>
      </w:r>
      <w:r>
        <w:rPr>
          <w:rFonts w:hint="eastAsia" w:ascii="华文仿宋" w:hAnsi="华文仿宋" w:eastAsia="华文仿宋" w:cs="华文仿宋"/>
          <w:color w:val="000000"/>
          <w:sz w:val="32"/>
          <w:szCs w:val="32"/>
        </w:rPr>
        <w:t xml:space="preserve">.项目支出：指在基本支出之外为完成特定行政任务和事业发展目标所发生的支出。 </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lang w:val="en-US" w:eastAsia="zh-CN"/>
        </w:rPr>
        <w:t>17</w:t>
      </w:r>
      <w:r>
        <w:rPr>
          <w:rFonts w:hint="eastAsia" w:ascii="华文仿宋" w:hAnsi="华文仿宋" w:eastAsia="华文仿宋" w:cs="华文仿宋"/>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18</w:t>
      </w:r>
      <w:r>
        <w:rPr>
          <w:rFonts w:hint="eastAsia" w:ascii="华文仿宋" w:hAnsi="华文仿宋" w:eastAsia="华文仿宋" w:cs="华文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s="黑体"/>
          <w:sz w:val="32"/>
          <w:szCs w:val="32"/>
        </w:rPr>
      </w:pPr>
      <w:r>
        <w:rPr>
          <w:rFonts w:hint="eastAsia" w:ascii="华文仿宋" w:hAnsi="华文仿宋" w:eastAsia="华文仿宋" w:cs="华文仿宋"/>
          <w:sz w:val="32"/>
          <w:szCs w:val="32"/>
          <w:lang w:val="en-US" w:eastAsia="zh-CN"/>
        </w:rPr>
        <w:t>19</w:t>
      </w:r>
      <w:r>
        <w:rPr>
          <w:rFonts w:hint="eastAsia" w:ascii="华文仿宋" w:hAnsi="华文仿宋" w:eastAsia="华文仿宋" w:cs="华文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Style w:val="27"/>
          <w:rFonts w:ascii="黑体" w:hAnsi="黑体" w:eastAsia="黑体"/>
          <w:b w:val="0"/>
        </w:rPr>
      </w:pPr>
      <w:bookmarkStart w:id="55" w:name="_Toc15377226"/>
      <w:r>
        <w:rPr>
          <w:rFonts w:ascii="宋体"/>
          <w:b/>
          <w:color w:val="000000"/>
          <w:sz w:val="44"/>
          <w:szCs w:val="44"/>
        </w:rPr>
        <w:br w:type="page"/>
      </w:r>
    </w:p>
    <w:p>
      <w:pPr>
        <w:spacing w:line="600" w:lineRule="exact"/>
        <w:jc w:val="center"/>
        <w:outlineLvl w:val="0"/>
        <w:rPr>
          <w:rStyle w:val="27"/>
          <w:rFonts w:ascii="黑体" w:hAnsi="黑体" w:eastAsia="黑体"/>
          <w:b w:val="0"/>
        </w:rPr>
      </w:pPr>
    </w:p>
    <w:p>
      <w:pPr>
        <w:spacing w:line="600" w:lineRule="exact"/>
        <w:jc w:val="center"/>
        <w:outlineLvl w:val="0"/>
        <w:rPr>
          <w:rStyle w:val="27"/>
          <w:rFonts w:ascii="黑体" w:hAnsi="黑体" w:eastAsia="黑体"/>
          <w:b w:val="0"/>
        </w:rPr>
      </w:pPr>
      <w:bookmarkStart w:id="56" w:name="_Toc15396618"/>
      <w:r>
        <w:rPr>
          <w:rFonts w:hint="eastAsia" w:ascii="黑体" w:hAnsi="黑体" w:eastAsia="黑体"/>
          <w:color w:val="000000"/>
          <w:sz w:val="44"/>
          <w:szCs w:val="44"/>
        </w:rPr>
        <w:t>第</w:t>
      </w:r>
      <w:r>
        <w:rPr>
          <w:rFonts w:hint="eastAsia" w:ascii="黑体" w:hAnsi="黑体" w:eastAsia="黑体"/>
          <w:color w:val="000000"/>
          <w:sz w:val="44"/>
          <w:szCs w:val="44"/>
          <w:lang w:eastAsia="zh-CN"/>
        </w:rPr>
        <w:t>四</w:t>
      </w:r>
      <w:r>
        <w:rPr>
          <w:rStyle w:val="27"/>
          <w:rFonts w:hint="eastAsia" w:ascii="黑体" w:hAnsi="黑体" w:eastAsia="黑体"/>
          <w:b w:val="0"/>
        </w:rPr>
        <w:t>部分 附表</w:t>
      </w:r>
      <w:bookmarkEnd w:id="55"/>
      <w:bookmarkEnd w:id="56"/>
    </w:p>
    <w:p>
      <w:pPr>
        <w:spacing w:line="600" w:lineRule="exact"/>
        <w:jc w:val="center"/>
        <w:outlineLvl w:val="0"/>
        <w:rPr>
          <w:rFonts w:ascii="仿宋" w:hAnsi="仿宋" w:eastAsia="仿宋"/>
          <w:b/>
          <w:color w:val="000000"/>
          <w:sz w:val="44"/>
          <w:szCs w:val="44"/>
        </w:rPr>
      </w:pPr>
    </w:p>
    <w:p>
      <w:pPr>
        <w:pStyle w:val="7"/>
        <w:rPr>
          <w:rFonts w:ascii="仿宋" w:hAnsi="仿宋" w:eastAsia="仿宋"/>
          <w:color w:val="000000"/>
        </w:rPr>
      </w:pPr>
      <w:bookmarkStart w:id="57"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57"/>
    </w:p>
    <w:p>
      <w:pPr>
        <w:pStyle w:val="7"/>
        <w:rPr>
          <w:rFonts w:ascii="仿宋" w:hAnsi="仿宋" w:eastAsia="仿宋"/>
          <w:color w:val="000000"/>
        </w:rPr>
      </w:pPr>
      <w:bookmarkStart w:id="58"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58"/>
    </w:p>
    <w:p>
      <w:pPr>
        <w:pStyle w:val="7"/>
        <w:rPr>
          <w:rFonts w:ascii="仿宋" w:hAnsi="仿宋" w:eastAsia="仿宋"/>
          <w:color w:val="000000"/>
        </w:rPr>
      </w:pPr>
      <w:bookmarkStart w:id="59"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59"/>
    </w:p>
    <w:p>
      <w:pPr>
        <w:pStyle w:val="7"/>
        <w:rPr>
          <w:rFonts w:ascii="仿宋" w:hAnsi="仿宋" w:eastAsia="仿宋"/>
          <w:b w:val="0"/>
          <w:color w:val="000000"/>
        </w:rPr>
      </w:pPr>
      <w:bookmarkStart w:id="60"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0"/>
    </w:p>
    <w:p>
      <w:pPr>
        <w:pStyle w:val="7"/>
        <w:rPr>
          <w:rStyle w:val="28"/>
          <w:rFonts w:ascii="仿宋" w:hAnsi="仿宋" w:eastAsia="仿宋"/>
          <w:b w:val="0"/>
          <w:bCs w:val="0"/>
        </w:rPr>
      </w:pPr>
      <w:bookmarkStart w:id="61"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1"/>
      <w:bookmarkStart w:id="62" w:name="_Toc15396624"/>
    </w:p>
    <w:p>
      <w:pPr>
        <w:pStyle w:val="7"/>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2"/>
    </w:p>
    <w:p>
      <w:pPr>
        <w:pStyle w:val="7"/>
        <w:rPr>
          <w:rFonts w:ascii="仿宋" w:hAnsi="仿宋" w:eastAsia="仿宋"/>
          <w:color w:val="000000"/>
        </w:rPr>
      </w:pPr>
      <w:bookmarkStart w:id="63"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3"/>
    </w:p>
    <w:p>
      <w:pPr>
        <w:pStyle w:val="7"/>
        <w:rPr>
          <w:rFonts w:ascii="仿宋" w:hAnsi="仿宋" w:eastAsia="仿宋"/>
          <w:color w:val="000000"/>
        </w:rPr>
      </w:pPr>
      <w:bookmarkStart w:id="64"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4"/>
    </w:p>
    <w:p>
      <w:pPr>
        <w:pStyle w:val="7"/>
        <w:rPr>
          <w:rFonts w:ascii="仿宋" w:hAnsi="仿宋" w:eastAsia="仿宋"/>
          <w:color w:val="000000"/>
        </w:rPr>
      </w:pPr>
      <w:bookmarkStart w:id="65"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5"/>
    </w:p>
    <w:p>
      <w:pPr>
        <w:pStyle w:val="7"/>
        <w:rPr>
          <w:rFonts w:ascii="仿宋" w:hAnsi="仿宋" w:eastAsia="仿宋"/>
          <w:color w:val="000000"/>
        </w:rPr>
      </w:pPr>
      <w:bookmarkStart w:id="66"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6"/>
    </w:p>
    <w:p>
      <w:pPr>
        <w:pStyle w:val="7"/>
        <w:rPr>
          <w:rFonts w:ascii="仿宋" w:hAnsi="仿宋" w:eastAsia="仿宋"/>
          <w:color w:val="000000"/>
        </w:rPr>
      </w:pPr>
      <w:bookmarkStart w:id="67"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7"/>
    </w:p>
    <w:p>
      <w:pPr>
        <w:pStyle w:val="7"/>
        <w:rPr>
          <w:rFonts w:ascii="仿宋" w:hAnsi="仿宋" w:eastAsia="仿宋"/>
          <w:color w:val="000000"/>
        </w:rPr>
      </w:pPr>
      <w:bookmarkStart w:id="68"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68"/>
    </w:p>
    <w:p>
      <w:pPr>
        <w:pStyle w:val="7"/>
        <w:rPr>
          <w:rFonts w:ascii="仿宋" w:hAnsi="仿宋" w:eastAsia="仿宋"/>
          <w:color w:val="000000" w:themeColor="text1"/>
          <w14:textFill>
            <w14:solidFill>
              <w14:schemeClr w14:val="tx1"/>
            </w14:solidFill>
          </w14:textFill>
        </w:rPr>
      </w:pPr>
      <w:bookmarkStart w:id="69"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6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24</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0D9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1A8758BD"/>
    <w:rsid w:val="240371BF"/>
    <w:rsid w:val="2432143F"/>
    <w:rsid w:val="29FD04D3"/>
    <w:rsid w:val="319F7F4E"/>
    <w:rsid w:val="37AA38C6"/>
    <w:rsid w:val="38622806"/>
    <w:rsid w:val="3A093399"/>
    <w:rsid w:val="4A0A6055"/>
    <w:rsid w:val="4ECE2238"/>
    <w:rsid w:val="546E385E"/>
    <w:rsid w:val="5EDD7B42"/>
    <w:rsid w:val="5F054D99"/>
    <w:rsid w:val="5F2E34E6"/>
    <w:rsid w:val="6CBF59C3"/>
    <w:rsid w:val="72734D90"/>
    <w:rsid w:val="7A5042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semiHidden/>
    <w:qFormat/>
    <w:uiPriority w:val="99"/>
    <w:pPr>
      <w:ind w:left="420" w:leftChars="200"/>
    </w:pPr>
  </w:style>
  <w:style w:type="paragraph" w:styleId="4">
    <w:name w:val="Body Text First Indent"/>
    <w:basedOn w:val="5"/>
    <w:next w:val="5"/>
    <w:qFormat/>
    <w:uiPriority w:val="0"/>
    <w:pPr>
      <w:widowControl w:val="0"/>
      <w:spacing w:after="120"/>
      <w:ind w:firstLine="482" w:firstLineChars="200"/>
      <w:jc w:val="both"/>
    </w:pPr>
    <w:rPr>
      <w:rFonts w:ascii="Times New Roman" w:hAnsi="Times New Roman" w:eastAsia="宋体" w:cs="Times New Roman"/>
      <w:kern w:val="2"/>
      <w:sz w:val="21"/>
      <w:szCs w:val="24"/>
      <w:lang w:val="en-US" w:eastAsia="zh-CN" w:bidi="ar-SA"/>
    </w:rPr>
  </w:style>
  <w:style w:type="paragraph" w:styleId="5">
    <w:name w:val="Body Text"/>
    <w:basedOn w:val="1"/>
    <w:link w:val="24"/>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semiHidden/>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2"/>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1"/>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6"/>
    <w:qFormat/>
    <w:uiPriority w:val="9"/>
    <w:rPr>
      <w:rFonts w:ascii="Times New Roman" w:hAnsi="Times New Roman"/>
      <w:b/>
      <w:bCs/>
      <w:kern w:val="44"/>
      <w:sz w:val="44"/>
      <w:szCs w:val="44"/>
    </w:rPr>
  </w:style>
  <w:style w:type="character" w:customStyle="1" w:styleId="28">
    <w:name w:val="标题 2 Char"/>
    <w:basedOn w:val="16"/>
    <w:link w:val="7"/>
    <w:qFormat/>
    <w:uiPriority w:val="9"/>
    <w:rPr>
      <w:rFonts w:asciiTheme="majorHAnsi" w:hAnsiTheme="majorHAnsi" w:eastAsiaTheme="majorEastAsia" w:cstheme="majorBidi"/>
      <w:b/>
      <w:bCs/>
      <w:kern w:val="2"/>
      <w:sz w:val="32"/>
      <w:szCs w:val="32"/>
    </w:rPr>
  </w:style>
  <w:style w:type="paragraph" w:customStyle="1" w:styleId="29">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10"/>
    <w:semiHidden/>
    <w:qFormat/>
    <w:uiPriority w:val="99"/>
    <w:rPr>
      <w:rFonts w:ascii="Times New Roman" w:hAnsi="Times New Roman"/>
      <w:kern w:val="2"/>
      <w:sz w:val="18"/>
      <w:szCs w:val="18"/>
    </w:rPr>
  </w:style>
  <w:style w:type="character" w:customStyle="1" w:styleId="31">
    <w:name w:val="标题 3 Char"/>
    <w:basedOn w:val="16"/>
    <w:link w:val="8"/>
    <w:qFormat/>
    <w:uiPriority w:val="9"/>
    <w:rPr>
      <w:rFonts w:ascii="Times New Roman" w:hAnsi="Times New Roman"/>
      <w:b/>
      <w:bCs/>
      <w:kern w:val="2"/>
      <w:sz w:val="32"/>
      <w:szCs w:val="32"/>
    </w:rPr>
  </w:style>
  <w:style w:type="paragraph" w:customStyle="1" w:styleId="32">
    <w:name w:val="TOC Heading"/>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71"/>
    <w:basedOn w:val="16"/>
    <w:uiPriority w:val="0"/>
    <w:rPr>
      <w:rFonts w:hint="default" w:ascii="方正仿宋_GBK" w:hAnsi="方正仿宋_GBK" w:eastAsia="方正仿宋_GBK" w:cs="方正仿宋_GBK"/>
      <w:color w:val="000000"/>
      <w:sz w:val="20"/>
      <w:szCs w:val="20"/>
      <w:u w:val="none"/>
    </w:rPr>
  </w:style>
  <w:style w:type="character" w:customStyle="1" w:styleId="34">
    <w:name w:val="font91"/>
    <w:basedOn w:val="16"/>
    <w:qFormat/>
    <w:uiPriority w:val="0"/>
    <w:rPr>
      <w:rFonts w:ascii="Wingdings" w:hAnsi="Wingdings" w:cs="Wingdings"/>
      <w:color w:val="000000"/>
      <w:sz w:val="20"/>
      <w:szCs w:val="20"/>
      <w:u w:val="none"/>
    </w:rPr>
  </w:style>
  <w:style w:type="character" w:customStyle="1" w:styleId="35">
    <w:name w:val="font0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Sheet1!$B$2:$B$5</c:f>
              <c:numCache>
                <c:formatCode>General</c:formatCode>
                <c:ptCount val="4"/>
                <c:pt idx="0">
                  <c:v>76.73</c:v>
                </c:pt>
                <c:pt idx="1">
                  <c:v>89.81</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Sheet1!$C$2:$C$5</c:f>
              <c:numCache>
                <c:formatCode>General</c:formatCode>
                <c:ptCount val="4"/>
                <c:pt idx="0">
                  <c:v>81.73</c:v>
                </c:pt>
                <c:pt idx="1">
                  <c:v>79.94</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355204620"/>
        <c:axId val="991649760"/>
      </c:barChart>
      <c:catAx>
        <c:axId val="3552046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649760"/>
        <c:crosses val="autoZero"/>
        <c:auto val="1"/>
        <c:lblAlgn val="ctr"/>
        <c:lblOffset val="100"/>
        <c:noMultiLvlLbl val="0"/>
      </c:catAx>
      <c:valAx>
        <c:axId val="99164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2046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89.81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73.84</c:v>
                </c:pt>
                <c:pt idx="1">
                  <c:v>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财政拨款支出</c:v>
                </c:pt>
              </c:strCache>
            </c:strRef>
          </c:cat>
          <c:val>
            <c:numRef>
              <c:f>Sheet1!$B$2:$B$5</c:f>
              <c:numCache>
                <c:formatCode>General</c:formatCode>
                <c:ptCount val="4"/>
                <c:pt idx="0">
                  <c:v>76.73</c:v>
                </c:pt>
                <c:pt idx="1">
                  <c:v>79.94</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财政拨款支出</c:v>
                </c:pt>
              </c:strCache>
            </c:strRef>
          </c:cat>
          <c:val>
            <c:numRef>
              <c:f>Sheet1!$C$2:$C$5</c:f>
              <c:numCache>
                <c:formatCode>General</c:formatCode>
                <c:ptCount val="4"/>
                <c:pt idx="0">
                  <c:v>89.81</c:v>
                </c:pt>
                <c:pt idx="1">
                  <c:v>81.73</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财政拨款支出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617652719"/>
        <c:axId val="251184145"/>
      </c:barChart>
      <c:catAx>
        <c:axId val="61765271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84145"/>
        <c:crosses val="autoZero"/>
        <c:auto val="1"/>
        <c:lblAlgn val="ctr"/>
        <c:lblOffset val="100"/>
        <c:noMultiLvlLbl val="0"/>
      </c:catAx>
      <c:valAx>
        <c:axId val="25118414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76527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Sheet1!$B$2:$B$5</c:f>
              <c:numCache>
                <c:formatCode>General</c:formatCode>
                <c:ptCount val="4"/>
                <c:pt idx="0">
                  <c:v>81.73</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Sheet1!$C$2:$C$5</c:f>
              <c:numCache>
                <c:formatCode>General</c:formatCode>
                <c:ptCount val="4"/>
                <c:pt idx="0">
                  <c:v>79.94</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443735238"/>
        <c:axId val="853405718"/>
      </c:barChart>
      <c:catAx>
        <c:axId val="4437352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405718"/>
        <c:crosses val="autoZero"/>
        <c:auto val="1"/>
        <c:lblAlgn val="ctr"/>
        <c:lblOffset val="100"/>
        <c:noMultiLvlLbl val="0"/>
      </c:catAx>
      <c:valAx>
        <c:axId val="8534057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7352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c:v>
                </c:pt>
                <c:pt idx="1">
                  <c:v>卫生健康支出</c:v>
                </c:pt>
                <c:pt idx="2">
                  <c:v>住房保障支出</c:v>
                </c:pt>
                <c:pt idx="3">
                  <c:v>自然资源海洋气象支出</c:v>
                </c:pt>
              </c:strCache>
            </c:strRef>
          </c:cat>
          <c:val>
            <c:numRef>
              <c:f>Sheet1!$B$2:$B$5</c:f>
              <c:numCache>
                <c:formatCode>General</c:formatCode>
                <c:ptCount val="4"/>
                <c:pt idx="0">
                  <c:v>5.2</c:v>
                </c:pt>
                <c:pt idx="1">
                  <c:v>3.1</c:v>
                </c:pt>
                <c:pt idx="2">
                  <c:v>5.89</c:v>
                </c:pt>
                <c:pt idx="3">
                  <c:v>65.75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TotalTime>
  <ScaleCrop>false</ScaleCrop>
  <LinksUpToDate>false</LinksUpToDate>
  <CharactersWithSpaces>8536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2020-07-23T02:58:00Z</cp:lastPrinted>
  <dcterms:modified xsi:type="dcterms:W3CDTF">2021-09-16T04:07:12Z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35A5A9B336424E06943E3AD3BE6F4D7F</vt:lpwstr>
  </property>
</Properties>
</file>