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1050" w:leftChars="-500"/>
        <w:jc w:val="center"/>
        <w:rPr>
          <w:rFonts w:hint="eastAsia" w:ascii="方正小标宋_GBK" w:eastAsia="方正小标宋_GBK"/>
          <w:b/>
          <w:w w:val="90"/>
          <w:sz w:val="36"/>
          <w:szCs w:val="36"/>
        </w:rPr>
      </w:pPr>
      <w:bookmarkStart w:id="0" w:name="_GoBack"/>
      <w:bookmarkEnd w:id="0"/>
      <w:r>
        <w:rPr>
          <w:rFonts w:hint="eastAsia" w:ascii="方正小标宋_GBK" w:eastAsia="方正小标宋_GBK"/>
          <w:b/>
          <w:w w:val="90"/>
          <w:sz w:val="36"/>
          <w:szCs w:val="36"/>
          <w:lang w:val="en-US" w:eastAsia="zh-CN"/>
        </w:rPr>
        <w:t xml:space="preserve">    </w:t>
      </w:r>
      <w:r>
        <w:rPr>
          <w:rFonts w:hint="eastAsia" w:ascii="方正小标宋_GBK" w:eastAsia="方正小标宋_GBK"/>
          <w:b/>
          <w:w w:val="90"/>
          <w:sz w:val="36"/>
          <w:szCs w:val="36"/>
        </w:rPr>
        <w:t>巴中市</w:t>
      </w:r>
      <w:r>
        <w:rPr>
          <w:rFonts w:hint="eastAsia" w:ascii="方正小标宋_GBK" w:eastAsia="方正小标宋_GBK"/>
          <w:b/>
          <w:w w:val="90"/>
          <w:sz w:val="36"/>
          <w:szCs w:val="36"/>
          <w:lang w:eastAsia="zh-CN"/>
        </w:rPr>
        <w:t>恩阳生态环境</w:t>
      </w:r>
      <w:r>
        <w:rPr>
          <w:rFonts w:hint="eastAsia" w:ascii="方正小标宋_GBK" w:eastAsia="方正小标宋_GBK"/>
          <w:b/>
          <w:w w:val="90"/>
          <w:sz w:val="36"/>
          <w:szCs w:val="36"/>
        </w:rPr>
        <w:t>局责任清单(行政许可类)</w:t>
      </w:r>
    </w:p>
    <w:p>
      <w:pPr>
        <w:spacing w:line="600" w:lineRule="exact"/>
        <w:ind w:left="-1050" w:leftChars="-500" w:firstLine="651"/>
        <w:jc w:val="center"/>
        <w:rPr>
          <w:rFonts w:hint="eastAsia" w:asciiTheme="minorEastAsia" w:hAnsiTheme="minorEastAsia" w:eastAsiaTheme="minorEastAsia"/>
          <w:b/>
          <w:kern w:val="0"/>
          <w:sz w:val="24"/>
          <w:lang w:eastAsia="zh-CN"/>
        </w:rPr>
      </w:pPr>
      <w:r>
        <w:rPr>
          <w:rFonts w:hint="eastAsia" w:asciiTheme="minorEastAsia" w:hAnsiTheme="minorEastAsia" w:eastAsiaTheme="minorEastAsia"/>
          <w:b/>
          <w:sz w:val="24"/>
        </w:rPr>
        <w:t>部门名称（盖章）：巴中市</w:t>
      </w:r>
      <w:r>
        <w:rPr>
          <w:rFonts w:hint="eastAsia" w:asciiTheme="minorEastAsia" w:hAnsiTheme="minorEastAsia" w:eastAsiaTheme="minorEastAsia"/>
          <w:b/>
          <w:sz w:val="24"/>
          <w:lang w:eastAsia="zh-CN"/>
        </w:rPr>
        <w:t>恩阳生态环境局</w:t>
      </w:r>
      <w:r>
        <w:rPr>
          <w:rFonts w:hint="eastAsia" w:asciiTheme="minorEastAsia" w:hAnsiTheme="minorEastAsia" w:eastAsiaTheme="minorEastAsia"/>
          <w:b/>
          <w:sz w:val="24"/>
        </w:rPr>
        <w:t xml:space="preserve"> </w:t>
      </w:r>
      <w:r>
        <w:rPr>
          <w:rFonts w:hint="eastAsia" w:asciiTheme="minorEastAsia" w:hAnsiTheme="minorEastAsia" w:eastAsiaTheme="minorEastAsia"/>
          <w:b/>
          <w:sz w:val="24"/>
          <w:lang w:val="en-US" w:eastAsia="zh-CN"/>
        </w:rPr>
        <w:t xml:space="preserve"> </w:t>
      </w:r>
      <w:r>
        <w:rPr>
          <w:rFonts w:hint="eastAsia" w:asciiTheme="minorEastAsia" w:hAnsiTheme="minorEastAsia" w:eastAsiaTheme="minorEastAsia"/>
          <w:b/>
          <w:sz w:val="24"/>
        </w:rPr>
        <w:t>主要负责人（签字）：</w:t>
      </w:r>
      <w:r>
        <w:rPr>
          <w:rFonts w:hint="eastAsia" w:asciiTheme="minorEastAsia" w:hAnsiTheme="minorEastAsia" w:eastAsiaTheme="minorEastAsia"/>
          <w:b/>
          <w:kern w:val="0"/>
          <w:sz w:val="24"/>
          <w:lang w:eastAsia="zh-CN"/>
        </w:rPr>
        <w:t>王洪福</w:t>
      </w:r>
    </w:p>
    <w:tbl>
      <w:tblPr>
        <w:tblStyle w:val="5"/>
        <w:tblpPr w:leftFromText="180" w:rightFromText="180" w:vertAnchor="text" w:horzAnchor="page" w:tblpX="1375" w:tblpY="128"/>
        <w:tblOverlap w:val="never"/>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5"/>
        <w:gridCol w:w="7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05" w:type="dxa"/>
            <w:vAlign w:val="center"/>
          </w:tcPr>
          <w:p>
            <w:pPr>
              <w:spacing w:line="300" w:lineRule="exact"/>
              <w:jc w:val="center"/>
              <w:rPr>
                <w:rFonts w:asciiTheme="minorEastAsia" w:hAnsiTheme="minorEastAsia"/>
              </w:rPr>
            </w:pPr>
            <w:r>
              <w:rPr>
                <w:rFonts w:hint="eastAsia" w:asciiTheme="minorEastAsia" w:hAnsiTheme="minorEastAsia"/>
              </w:rPr>
              <w:t>序号</w:t>
            </w:r>
          </w:p>
        </w:tc>
        <w:tc>
          <w:tcPr>
            <w:tcW w:w="7455" w:type="dxa"/>
          </w:tcPr>
          <w:p>
            <w:pPr>
              <w:spacing w:line="300" w:lineRule="exact"/>
              <w:jc w:val="center"/>
              <w:rPr>
                <w:rFonts w:hint="eastAsia" w:eastAsia="宋体" w:asciiTheme="minorEastAsia" w:hAnsiTheme="minorEastAsia"/>
                <w:lang w:val="en-US" w:eastAsia="zh-CN"/>
              </w:rPr>
            </w:pPr>
            <w:r>
              <w:rPr>
                <w:rFonts w:hint="eastAsia" w:asciiTheme="minorEastAsia" w:hAnsiTheme="minorEastAsia"/>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1605" w:type="dxa"/>
            <w:vAlign w:val="center"/>
          </w:tcPr>
          <w:p>
            <w:pPr>
              <w:spacing w:line="300" w:lineRule="exact"/>
              <w:jc w:val="center"/>
              <w:rPr>
                <w:rFonts w:asciiTheme="minorEastAsia" w:hAnsiTheme="minorEastAsia"/>
              </w:rPr>
            </w:pPr>
            <w:r>
              <w:rPr>
                <w:rFonts w:hint="eastAsia" w:asciiTheme="minorEastAsia" w:hAnsiTheme="minorEastAsia"/>
              </w:rPr>
              <w:t>权力类型</w:t>
            </w:r>
          </w:p>
        </w:tc>
        <w:tc>
          <w:tcPr>
            <w:tcW w:w="7455" w:type="dxa"/>
          </w:tcPr>
          <w:p>
            <w:pPr>
              <w:spacing w:line="300" w:lineRule="exact"/>
              <w:jc w:val="center"/>
              <w:rPr>
                <w:rFonts w:asciiTheme="minorEastAsia" w:hAnsiTheme="minorEastAsia"/>
              </w:rPr>
            </w:pPr>
            <w:r>
              <w:rPr>
                <w:rFonts w:hint="eastAsia" w:asciiTheme="minorEastAsia" w:hAnsiTheme="minorEastAsia"/>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1605" w:type="dxa"/>
            <w:vAlign w:val="center"/>
          </w:tcPr>
          <w:p>
            <w:pPr>
              <w:spacing w:line="300" w:lineRule="exact"/>
              <w:jc w:val="center"/>
              <w:rPr>
                <w:rFonts w:asciiTheme="minorEastAsia" w:hAnsiTheme="minorEastAsia"/>
              </w:rPr>
            </w:pPr>
            <w:r>
              <w:rPr>
                <w:rFonts w:hint="eastAsia" w:asciiTheme="minorEastAsia" w:hAnsiTheme="minorEastAsia"/>
              </w:rPr>
              <w:t>权力项目名称</w:t>
            </w:r>
          </w:p>
        </w:tc>
        <w:tc>
          <w:tcPr>
            <w:tcW w:w="7455" w:type="dxa"/>
          </w:tcPr>
          <w:p>
            <w:pPr>
              <w:spacing w:line="300" w:lineRule="exact"/>
              <w:jc w:val="center"/>
              <w:rPr>
                <w:rFonts w:asciiTheme="minorEastAsia" w:hAnsiTheme="minorEastAsia"/>
              </w:rPr>
            </w:pPr>
            <w:r>
              <w:rPr>
                <w:rFonts w:hint="eastAsia" w:asciiTheme="minorEastAsia" w:hAnsiTheme="minorEastAsia"/>
              </w:rPr>
              <w:t>一般建设项目环境影响报告表审批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5" w:type="dxa"/>
            <w:vAlign w:val="center"/>
          </w:tcPr>
          <w:p>
            <w:pPr>
              <w:spacing w:line="300" w:lineRule="exact"/>
              <w:jc w:val="center"/>
              <w:rPr>
                <w:rFonts w:asciiTheme="minorEastAsia" w:hAnsiTheme="minorEastAsia"/>
              </w:rPr>
            </w:pPr>
            <w:r>
              <w:rPr>
                <w:rFonts w:hint="eastAsia" w:asciiTheme="minorEastAsia" w:hAnsiTheme="minorEastAsia"/>
              </w:rPr>
              <w:t>实施依据</w:t>
            </w:r>
          </w:p>
        </w:tc>
        <w:tc>
          <w:tcPr>
            <w:tcW w:w="7455" w:type="dxa"/>
          </w:tcPr>
          <w:p>
            <w:pPr>
              <w:spacing w:line="300" w:lineRule="exact"/>
              <w:jc w:val="left"/>
              <w:rPr>
                <w:rFonts w:asciiTheme="minorEastAsia" w:hAnsiTheme="minorEastAsia"/>
              </w:rPr>
            </w:pPr>
            <w:r>
              <w:rPr>
                <w:rFonts w:hint="eastAsia" w:asciiTheme="minorEastAsia" w:hAnsiTheme="minorEastAsia"/>
                <w:lang w:val="en-US" w:eastAsia="zh-CN"/>
              </w:rPr>
              <w:t>1.</w:t>
            </w:r>
            <w:r>
              <w:rPr>
                <w:rFonts w:hint="eastAsia" w:asciiTheme="minorEastAsia" w:hAnsiTheme="minorEastAsia"/>
              </w:rPr>
              <w:t>《中华人民共和国环境影响评价法》2016年主席令第四十八号第二十二条：建设项目的环境影响报告书、报告表，由建设单位按照国务院的规定报有审批权的环境保护行政主管部门审批。</w:t>
            </w:r>
            <w:r>
              <w:rPr>
                <w:rFonts w:hint="eastAsia" w:asciiTheme="minorEastAsia" w:hAnsiTheme="minorEastAsia"/>
                <w:lang w:val="en-US" w:eastAsia="zh-CN"/>
              </w:rPr>
              <w:t xml:space="preserve">                                                                                         2.</w:t>
            </w:r>
            <w:r>
              <w:rPr>
                <w:rFonts w:hint="eastAsia" w:asciiTheme="minorEastAsia" w:hAnsiTheme="minorEastAsia"/>
              </w:rPr>
              <w:t>《中华人民共和国环境影响评价法》2016年主席令第四十八号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spacing w:line="300" w:lineRule="exact"/>
              <w:rPr>
                <w:rFonts w:hint="eastAsia" w:asciiTheme="minorEastAsia" w:hAnsiTheme="minorEastAsia"/>
                <w:color w:val="auto"/>
              </w:rPr>
            </w:pPr>
            <w:r>
              <w:rPr>
                <w:rFonts w:hint="eastAsia" w:asciiTheme="minorEastAsia" w:hAnsiTheme="minorEastAsia"/>
                <w:color w:val="auto"/>
                <w:lang w:val="en-US" w:eastAsia="zh-CN"/>
              </w:rPr>
              <w:t>3.</w:t>
            </w:r>
            <w:r>
              <w:rPr>
                <w:rFonts w:hint="eastAsia" w:asciiTheme="minorEastAsia" w:hAnsiTheme="minorEastAsia"/>
                <w:color w:val="auto"/>
              </w:rPr>
              <w:t>《中华人民共和国环境影响评价法》2016年主席令第四十八号第二十三条：国务院环境保护行政主管部门负责审批下列建设项目的环境影响评价文件：（一）核设施、绝密工程等特殊性质的建设项目；（二）跨省、自治区、直辖市行政区域的建设项目；（三）由国务院审批的或者由国务院授权有关部门审批的建设项目。前款规定以外的建设项目的环境影响评价文件的审批权限，由省、自治区、直辖市人民政府规定。建设项目可能造成跨行政区域的不良环境影响，有关环境保护行政主管部门对该项目的环境影响评价结论有争议的，其环境影响评价文件由共同的上一级环境保护行政主管部门审批。</w:t>
            </w:r>
          </w:p>
          <w:p>
            <w:pPr>
              <w:spacing w:line="300" w:lineRule="exact"/>
              <w:rPr>
                <w:rFonts w:asciiTheme="minorEastAsia" w:hAnsiTheme="minorEastAsia"/>
              </w:rPr>
            </w:pPr>
            <w:r>
              <w:rPr>
                <w:rFonts w:hint="eastAsia" w:asciiTheme="minorEastAsia" w:hAnsiTheme="minorEastAsia"/>
                <w:lang w:val="en-US" w:eastAsia="zh-CN"/>
              </w:rPr>
              <w:t>4.</w:t>
            </w:r>
            <w:r>
              <w:rPr>
                <w:rFonts w:hint="eastAsia" w:asciiTheme="minorEastAsia" w:hAnsiTheme="minorEastAsia"/>
              </w:rPr>
              <w:t>《中华人民共和国环境影响评价法》2016年主席令第四十八号，2016年7月2日予以修改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1605" w:type="dxa"/>
            <w:vAlign w:val="center"/>
          </w:tcPr>
          <w:p>
            <w:pPr>
              <w:spacing w:line="300" w:lineRule="exact"/>
              <w:jc w:val="center"/>
              <w:rPr>
                <w:rFonts w:asciiTheme="minorEastAsia" w:hAnsiTheme="minorEastAsia"/>
              </w:rPr>
            </w:pPr>
            <w:r>
              <w:rPr>
                <w:rFonts w:hint="eastAsia" w:asciiTheme="minorEastAsia" w:hAnsiTheme="minorEastAsia"/>
              </w:rPr>
              <w:t>责任主体</w:t>
            </w:r>
          </w:p>
        </w:tc>
        <w:tc>
          <w:tcPr>
            <w:tcW w:w="7455" w:type="dxa"/>
          </w:tcPr>
          <w:p>
            <w:pPr>
              <w:spacing w:line="300" w:lineRule="exact"/>
              <w:jc w:val="center"/>
              <w:rPr>
                <w:rFonts w:asciiTheme="minorEastAsia" w:hAnsiTheme="minorEastAsia"/>
              </w:rPr>
            </w:pPr>
            <w:r>
              <w:rPr>
                <w:rFonts w:hint="eastAsia" w:asciiTheme="minorEastAsia" w:hAnsiTheme="minorEastAsia"/>
              </w:rPr>
              <w:t>行政审批科、</w:t>
            </w:r>
            <w:r>
              <w:rPr>
                <w:rFonts w:hint="eastAsia" w:asciiTheme="minorEastAsia" w:hAnsiTheme="minorEastAsia"/>
                <w:lang w:eastAsia="zh-CN"/>
              </w:rPr>
              <w:t>监察大队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5" w:type="dxa"/>
            <w:vAlign w:val="center"/>
          </w:tcPr>
          <w:p>
            <w:pPr>
              <w:spacing w:line="300" w:lineRule="exact"/>
              <w:jc w:val="center"/>
              <w:rPr>
                <w:rFonts w:asciiTheme="minorEastAsia" w:hAnsiTheme="minorEastAsia"/>
              </w:rPr>
            </w:pPr>
            <w:r>
              <w:rPr>
                <w:rFonts w:hint="eastAsia" w:asciiTheme="minorEastAsia" w:hAnsiTheme="minorEastAsia"/>
              </w:rPr>
              <w:t>责任事项</w:t>
            </w:r>
          </w:p>
        </w:tc>
        <w:tc>
          <w:tcPr>
            <w:tcW w:w="7455" w:type="dxa"/>
            <w:vAlign w:val="center"/>
          </w:tcPr>
          <w:p>
            <w:pPr>
              <w:spacing w:line="300" w:lineRule="exact"/>
              <w:rPr>
                <w:rFonts w:asciiTheme="minorEastAsia" w:hAnsiTheme="minorEastAsia"/>
              </w:rPr>
            </w:pPr>
            <w:r>
              <w:rPr>
                <w:rFonts w:hint="eastAsia" w:asciiTheme="minorEastAsia" w:hAnsiTheme="minorEastAsia"/>
              </w:rPr>
              <w:t>1.受理责任：公示申报条件及所需资料清单；初步审核申报材料；一次性告知补正材料；依法受理或不予受理；发布建设项目环评文件受理公告。</w:t>
            </w:r>
            <w:r>
              <w:rPr>
                <w:rFonts w:hint="eastAsia" w:asciiTheme="minorEastAsia" w:hAnsiTheme="minorEastAsia"/>
              </w:rPr>
              <w:br w:type="textWrapping"/>
            </w:r>
            <w:r>
              <w:rPr>
                <w:rFonts w:hint="eastAsia" w:asciiTheme="minorEastAsia" w:hAnsiTheme="minorEastAsia"/>
              </w:rPr>
              <w:t>2.审查责任：审查材料；组织专家评估；公示拟作出的审批意见，征求公众意见。</w:t>
            </w:r>
            <w:r>
              <w:rPr>
                <w:rFonts w:hint="eastAsia" w:asciiTheme="minorEastAsia" w:hAnsiTheme="minorEastAsia"/>
              </w:rPr>
              <w:br w:type="textWrapping"/>
            </w:r>
            <w:r>
              <w:rPr>
                <w:rFonts w:hint="eastAsia" w:asciiTheme="minorEastAsia" w:hAnsiTheme="minorEastAsia"/>
              </w:rPr>
              <w:t>3.决定责任：作出准予许可或不予许可的审批决定；按时办结；依法公告。</w:t>
            </w:r>
            <w:r>
              <w:rPr>
                <w:rFonts w:hint="eastAsia" w:asciiTheme="minorEastAsia" w:hAnsiTheme="minorEastAsia"/>
              </w:rPr>
              <w:br w:type="textWrapping"/>
            </w:r>
            <w:r>
              <w:rPr>
                <w:rFonts w:hint="eastAsia" w:asciiTheme="minorEastAsia" w:hAnsiTheme="minorEastAsia"/>
              </w:rPr>
              <w:t>4.事后监管责任：对建设项目投入运行后的环境影响进行跟踪检查。</w:t>
            </w:r>
            <w:r>
              <w:rPr>
                <w:rFonts w:hint="eastAsia" w:asciiTheme="minorEastAsia" w:hAnsiTheme="minorEastAsia"/>
              </w:rPr>
              <w:br w:type="textWrapping"/>
            </w:r>
            <w:r>
              <w:rPr>
                <w:rFonts w:hint="eastAsia" w:asciiTheme="minorEastAsia" w:hAnsiTheme="minorEastAsia"/>
              </w:rPr>
              <w:t>5.其他责任：其他法律法规规定应履行的责任。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5" w:type="dxa"/>
            <w:vAlign w:val="center"/>
          </w:tcPr>
          <w:p>
            <w:pPr>
              <w:spacing w:line="300" w:lineRule="exact"/>
              <w:jc w:val="center"/>
              <w:rPr>
                <w:rFonts w:asciiTheme="minorEastAsia" w:hAnsiTheme="minorEastAsia"/>
              </w:rPr>
            </w:pPr>
            <w:r>
              <w:rPr>
                <w:rFonts w:hint="eastAsia" w:asciiTheme="minorEastAsia" w:hAnsiTheme="minorEastAsia"/>
              </w:rPr>
              <w:t>责任事项依据</w:t>
            </w:r>
          </w:p>
        </w:tc>
        <w:tc>
          <w:tcPr>
            <w:tcW w:w="7455" w:type="dxa"/>
            <w:vAlign w:val="center"/>
          </w:tcPr>
          <w:p>
            <w:pPr>
              <w:spacing w:line="300" w:lineRule="exact"/>
              <w:rPr>
                <w:rFonts w:asciiTheme="minorEastAsia" w:hAnsiTheme="minorEastAsia"/>
              </w:rPr>
            </w:pPr>
            <w:r>
              <w:rPr>
                <w:rFonts w:hint="eastAsia" w:asciiTheme="minorEastAsia" w:hAnsiTheme="minorEastAsia"/>
              </w:rPr>
              <w:t>1-1.《行政许可法》第三十条第一款：行政机关应当将法律、法规、规章规定的有关行政许可的事项、依据、条件、数量、程序、期限以及需要提交的全部材料的目录和申请书示范文本等在办公场所公示。</w:t>
            </w:r>
            <w:r>
              <w:rPr>
                <w:rFonts w:hint="eastAsia" w:asciiTheme="minorEastAsia" w:hAnsiTheme="minorEastAsia"/>
              </w:rPr>
              <w:br w:type="textWrapping"/>
            </w:r>
            <w:r>
              <w:rPr>
                <w:rFonts w:hint="eastAsia" w:asciiTheme="minorEastAsia" w:hAnsiTheme="minorEastAsia"/>
              </w:rPr>
              <w:t>1-2.《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2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spacing w:line="300" w:lineRule="exact"/>
              <w:rPr>
                <w:rFonts w:asciiTheme="minorEastAsia" w:hAnsiTheme="minorEastAsia"/>
              </w:rPr>
            </w:pPr>
            <w:r>
              <w:rPr>
                <w:rFonts w:hint="eastAsia" w:asciiTheme="minorEastAsia" w:hAnsiTheme="minorEastAsia"/>
              </w:rPr>
              <w:t>1-3.《环境影响评价公众参与暂行办法》第十三条第一款：环境保护行政主管部门应当在受理建设项目环境影响报告书后，在其政府网站或者采用其他便利公众知悉的方式，公告环境影响报告书受理的有关信息。</w:t>
            </w:r>
          </w:p>
          <w:p>
            <w:pPr>
              <w:spacing w:line="300" w:lineRule="exact"/>
              <w:rPr>
                <w:rFonts w:asciiTheme="minorEastAsia" w:hAnsiTheme="minorEastAsia"/>
              </w:rPr>
            </w:pPr>
            <w:r>
              <w:rPr>
                <w:rFonts w:hint="eastAsia" w:asciiTheme="minorEastAsia" w:hAnsiTheme="minorEastAsia"/>
              </w:rPr>
              <w:t>2-1.《行政许可法》第三十四条第一款：行政机关应当对申请人提交的申请材料进行审查。</w:t>
            </w:r>
            <w:r>
              <w:rPr>
                <w:rFonts w:hint="eastAsia" w:asciiTheme="minorEastAsia" w:hAnsiTheme="minorEastAsia"/>
              </w:rPr>
              <w:br w:type="textWrapping"/>
            </w:r>
            <w:r>
              <w:rPr>
                <w:rFonts w:hint="eastAsia" w:asciiTheme="minorEastAsia" w:hAnsiTheme="minorEastAsia"/>
              </w:rPr>
              <w:t>2-2.《四</w:t>
            </w:r>
            <w:r>
              <w:rPr>
                <w:rFonts w:hint="eastAsia" w:asciiTheme="minorEastAsia" w:hAnsiTheme="minorEastAsia"/>
                <w:bCs/>
              </w:rPr>
              <w:t>川省&lt;中华人民共和国环境影响评价法&gt;实施办法》第三十条：</w:t>
            </w:r>
            <w:r>
              <w:rPr>
                <w:rFonts w:hint="eastAsia" w:asciiTheme="minorEastAsia" w:hAnsiTheme="minorEastAsia"/>
              </w:rPr>
              <w:t>环境保护行政主管部门受理建设项目环境影响评价文件时，需要进行技术评估的，由环境影响评估机构对环境影响评价文件进行技术评估。</w:t>
            </w:r>
          </w:p>
          <w:p>
            <w:pPr>
              <w:spacing w:line="300" w:lineRule="exact"/>
              <w:rPr>
                <w:rFonts w:asciiTheme="minorEastAsia" w:hAnsiTheme="minorEastAsia"/>
              </w:rPr>
            </w:pPr>
            <w:r>
              <w:rPr>
                <w:rFonts w:hint="eastAsia" w:asciiTheme="minorEastAsia" w:hAnsiTheme="minorEastAsia"/>
              </w:rPr>
              <w:t>2-3.《环境保护部办公厅关于印发&lt;建设项目环境影响评价政府信息公开指南（试行）&gt;的通知》一、主动公开范围（二）建设项目环境影响评价审批，包括：环境影响评价文件受理情况、拟作出的审批意见、作出的审批决定。</w:t>
            </w:r>
            <w:r>
              <w:rPr>
                <w:rFonts w:hint="eastAsia" w:asciiTheme="minorEastAsia" w:hAnsiTheme="minorEastAsia"/>
              </w:rPr>
              <w:br w:type="textWrapping"/>
            </w:r>
            <w:r>
              <w:rPr>
                <w:rFonts w:hint="eastAsia" w:asciiTheme="minorEastAsia" w:hAnsiTheme="minorEastAsia"/>
              </w:rPr>
              <w:t>3-1.《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spacing w:line="300" w:lineRule="exact"/>
              <w:rPr>
                <w:rFonts w:asciiTheme="minorEastAsia" w:hAnsiTheme="minorEastAsia"/>
              </w:rPr>
            </w:pPr>
            <w:r>
              <w:rPr>
                <w:rFonts w:hint="eastAsia" w:asciiTheme="minorEastAsia" w:hAnsiTheme="minorEastAsia"/>
              </w:rPr>
              <w:t>3-2.《行政许可法》第四十二条第一款：</w:t>
            </w:r>
            <w:r>
              <w:rPr>
                <w:rFonts w:asciiTheme="minorEastAsia" w:hAnsiTheme="minorEastAsia"/>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300" w:lineRule="exact"/>
              <w:rPr>
                <w:rFonts w:asciiTheme="minorEastAsia" w:hAnsiTheme="minorEastAsia"/>
              </w:rPr>
            </w:pPr>
            <w:r>
              <w:rPr>
                <w:rFonts w:hint="eastAsia" w:asciiTheme="minorEastAsia" w:hAnsiTheme="minorEastAsia"/>
              </w:rPr>
              <w:t>3-3.《</w:t>
            </w:r>
            <w:r>
              <w:rPr>
                <w:rFonts w:asciiTheme="minorEastAsia" w:hAnsiTheme="minorEastAsia"/>
              </w:rPr>
              <w:t>中华人民共和国环境影响评价法</w:t>
            </w:r>
            <w:r>
              <w:rPr>
                <w:rFonts w:hint="eastAsia" w:asciiTheme="minorEastAsia" w:hAnsiTheme="minorEastAsia"/>
              </w:rPr>
              <w:t>》第二十二条第三款：</w:t>
            </w:r>
            <w:r>
              <w:rPr>
                <w:rFonts w:asciiTheme="minorEastAsia" w:hAnsiTheme="minorEastAsia"/>
              </w:rPr>
              <w:t>审批部门应当自收到环境影响报告书之日起六十日内，收到环境影响报告表之日起三十日内，收到环境影响登记表之日起十五日内，分别作出审批决定并书面通知建设单位。</w:t>
            </w:r>
          </w:p>
          <w:p>
            <w:pPr>
              <w:spacing w:line="300" w:lineRule="exact"/>
              <w:rPr>
                <w:rFonts w:asciiTheme="minorEastAsia" w:hAnsiTheme="minorEastAsia"/>
              </w:rPr>
            </w:pPr>
            <w:r>
              <w:rPr>
                <w:rFonts w:hint="eastAsia" w:asciiTheme="minorEastAsia" w:hAnsiTheme="minorEastAsia"/>
              </w:rPr>
              <w:t>3-4.《行政许可法》第四十条：行政机关作出的准予行政许可决定，应当予以公开，公众有权查阅。</w:t>
            </w:r>
          </w:p>
          <w:p>
            <w:pPr>
              <w:spacing w:line="300" w:lineRule="exact"/>
              <w:rPr>
                <w:rFonts w:asciiTheme="minorEastAsia" w:hAnsiTheme="minorEastAsia"/>
              </w:rPr>
            </w:pPr>
            <w:r>
              <w:rPr>
                <w:rFonts w:hint="eastAsia" w:asciiTheme="minorEastAsia" w:hAnsiTheme="minorEastAsia"/>
              </w:rPr>
              <w:t>3-5.《环境影响评价公众参与暂行办法》第十三条：环境保护行政主管部门在作出审批或者重新审核决定后，应当在政府网站公告审批或者审核结果。</w:t>
            </w:r>
          </w:p>
          <w:p>
            <w:pPr>
              <w:spacing w:line="300" w:lineRule="exact"/>
              <w:rPr>
                <w:rFonts w:asciiTheme="minorEastAsia" w:hAnsiTheme="minorEastAsia"/>
              </w:rPr>
            </w:pPr>
            <w:r>
              <w:rPr>
                <w:rFonts w:hint="eastAsia" w:asciiTheme="minorEastAsia" w:hAnsiTheme="minorEastAsia"/>
              </w:rPr>
              <w:t>4.《环境影响评价法》第二十八条：环境保护行政主管部门应当对建设项目投入生产或者使用后所产生的环境影响进行跟踪检查，对造成严重环境污染或者生态破坏的，应当查清原因、查明责任。对属于为建设项目环境影响评价提供技术服务的机构编制不实的环境影响评价文件的，依照本法第三十三条的规定追究其法律责任；属于审批部门工作人员失职、渎职，对依法不应批准的建设项目环境影响评价文件予以批准的，依照本法第三十五条的规定追究其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5" w:type="dxa"/>
            <w:vAlign w:val="center"/>
          </w:tcPr>
          <w:p>
            <w:pPr>
              <w:spacing w:line="300" w:lineRule="exact"/>
              <w:jc w:val="center"/>
              <w:rPr>
                <w:rFonts w:asciiTheme="minorEastAsia" w:hAnsiTheme="minorEastAsia"/>
              </w:rPr>
            </w:pPr>
            <w:r>
              <w:rPr>
                <w:rFonts w:hint="eastAsia" w:asciiTheme="minorEastAsia" w:hAnsiTheme="minorEastAsia"/>
              </w:rPr>
              <w:t>追责情形</w:t>
            </w:r>
          </w:p>
        </w:tc>
        <w:tc>
          <w:tcPr>
            <w:tcW w:w="7455" w:type="dxa"/>
            <w:vAlign w:val="center"/>
          </w:tcPr>
          <w:p>
            <w:pPr>
              <w:spacing w:line="300" w:lineRule="exact"/>
              <w:jc w:val="left"/>
              <w:rPr>
                <w:rFonts w:ascii="宋体" w:hAnsi="宋体"/>
                <w:szCs w:val="21"/>
              </w:rPr>
            </w:pPr>
            <w:r>
              <w:rPr>
                <w:rFonts w:hint="eastAsia" w:ascii="宋体" w:hAnsi="宋体"/>
                <w:szCs w:val="21"/>
              </w:rPr>
              <w:t>对不履行或者不正确履行行政职责的行政机关及其工作人员，依据《中华人民共和国行政监察法》、《中华人民共和国行政许可法》、《中华人民共和国环境保护法》、《行政机关公务员处分条例》、《环境保护违法违纪行为处分暂行规定》等法律法规规章等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1605" w:type="dxa"/>
            <w:vAlign w:val="center"/>
          </w:tcPr>
          <w:p>
            <w:pPr>
              <w:spacing w:line="300" w:lineRule="exact"/>
              <w:jc w:val="center"/>
              <w:rPr>
                <w:rFonts w:asciiTheme="minorEastAsia" w:hAnsiTheme="minorEastAsia"/>
              </w:rPr>
            </w:pPr>
            <w:r>
              <w:rPr>
                <w:rFonts w:hint="eastAsia" w:asciiTheme="minorEastAsia" w:hAnsiTheme="minorEastAsia"/>
              </w:rPr>
              <w:t>监督电话</w:t>
            </w:r>
          </w:p>
        </w:tc>
        <w:tc>
          <w:tcPr>
            <w:tcW w:w="7455" w:type="dxa"/>
            <w:vAlign w:val="center"/>
          </w:tcPr>
          <w:p>
            <w:pPr>
              <w:spacing w:line="300" w:lineRule="exact"/>
              <w:jc w:val="center"/>
              <w:rPr>
                <w:rFonts w:hint="eastAsia" w:ascii="宋体" w:hAnsi="宋体" w:eastAsia="宋体"/>
                <w:szCs w:val="21"/>
                <w:lang w:val="en-US" w:eastAsia="zh-CN"/>
              </w:rPr>
            </w:pPr>
            <w:r>
              <w:rPr>
                <w:rFonts w:hint="eastAsia" w:ascii="宋体" w:hAnsi="宋体"/>
                <w:szCs w:val="21"/>
              </w:rPr>
              <w:t>0287-</w:t>
            </w:r>
            <w:r>
              <w:rPr>
                <w:rFonts w:hint="eastAsia" w:ascii="宋体" w:hAnsi="宋体"/>
                <w:szCs w:val="21"/>
                <w:lang w:val="en-US" w:eastAsia="zh-CN"/>
              </w:rPr>
              <w:t>8589895</w:t>
            </w:r>
          </w:p>
        </w:tc>
      </w:tr>
    </w:tbl>
    <w:p>
      <w:pPr>
        <w:rPr>
          <w:rFonts w:asciiTheme="minorEastAsia" w:hAnsiTheme="minorEastAsia"/>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p>
    <w:tbl>
      <w:tblPr>
        <w:tblStyle w:val="5"/>
        <w:tblW w:w="9075"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5"/>
        <w:gridCol w:w="7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1605"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序号</w:t>
            </w:r>
          </w:p>
        </w:tc>
        <w:tc>
          <w:tcPr>
            <w:tcW w:w="7470" w:type="dxa"/>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1605"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权力类型</w:t>
            </w:r>
          </w:p>
        </w:tc>
        <w:tc>
          <w:tcPr>
            <w:tcW w:w="7470" w:type="dxa"/>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1605"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权力项目名称</w:t>
            </w:r>
          </w:p>
        </w:tc>
        <w:tc>
          <w:tcPr>
            <w:tcW w:w="747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建设项目竣工环境保护验收（固体废物）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5"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实施依据</w:t>
            </w:r>
          </w:p>
        </w:tc>
        <w:tc>
          <w:tcPr>
            <w:tcW w:w="7470" w:type="dxa"/>
          </w:tcPr>
          <w:p>
            <w:pPr>
              <w:spacing w:line="300" w:lineRule="exact"/>
              <w:rPr>
                <w:rFonts w:hint="eastAsia" w:eastAsia="宋体" w:asciiTheme="minorEastAsia" w:hAnsiTheme="minorEastAsia"/>
                <w:color w:val="FFC000"/>
                <w:lang w:val="en-US" w:eastAsia="zh-CN"/>
              </w:rPr>
            </w:pPr>
            <w:r>
              <w:rPr>
                <w:rFonts w:hint="eastAsia" w:ascii="宋体" w:hAnsi="宋体" w:cs="宋体"/>
                <w:color w:val="auto"/>
                <w:sz w:val="21"/>
                <w:szCs w:val="21"/>
                <w:lang w:val="en-US" w:eastAsia="zh-CN"/>
              </w:rPr>
              <w:t>1.四川省环境保护厅办公室文件《关于继续开展建设项目竣工环境保护验收（噪声和固体废物）工作的通知》</w:t>
            </w:r>
            <w:r>
              <w:rPr>
                <w:rFonts w:hint="eastAsia" w:asciiTheme="minorEastAsia" w:hAnsiTheme="minorEastAsia"/>
                <w:color w:val="auto"/>
              </w:rPr>
              <w:t>（</w:t>
            </w:r>
            <w:r>
              <w:rPr>
                <w:rFonts w:hint="eastAsia" w:asciiTheme="minorEastAsia" w:hAnsiTheme="minorEastAsia"/>
                <w:color w:val="auto"/>
                <w:lang w:eastAsia="zh-CN"/>
              </w:rPr>
              <w:t>川环办发</w:t>
            </w:r>
            <w:r>
              <w:rPr>
                <w:rFonts w:hint="eastAsia" w:asciiTheme="minorEastAsia" w:hAnsiTheme="minorEastAsia"/>
                <w:color w:val="auto"/>
              </w:rPr>
              <w:t>[</w:t>
            </w:r>
            <w:r>
              <w:rPr>
                <w:rFonts w:hint="eastAsia" w:asciiTheme="minorEastAsia" w:hAnsiTheme="minorEastAsia"/>
                <w:color w:val="auto"/>
                <w:lang w:val="en-US" w:eastAsia="zh-CN"/>
              </w:rPr>
              <w:t>2018</w:t>
            </w:r>
            <w:r>
              <w:rPr>
                <w:rFonts w:hint="eastAsia" w:asciiTheme="minorEastAsia" w:hAnsiTheme="minorEastAsia"/>
                <w:color w:val="auto"/>
              </w:rPr>
              <w:t>]</w:t>
            </w:r>
            <w:r>
              <w:rPr>
                <w:rFonts w:hint="eastAsia" w:asciiTheme="minorEastAsia" w:hAnsiTheme="minorEastAsia"/>
                <w:color w:val="auto"/>
                <w:lang w:eastAsia="zh-CN"/>
              </w:rPr>
              <w:t>第</w:t>
            </w:r>
            <w:r>
              <w:rPr>
                <w:rFonts w:hint="eastAsia" w:asciiTheme="minorEastAsia" w:hAnsiTheme="minorEastAsia"/>
                <w:color w:val="auto"/>
                <w:lang w:val="en-US" w:eastAsia="zh-CN"/>
              </w:rPr>
              <w:t>26</w:t>
            </w:r>
            <w:r>
              <w:rPr>
                <w:rFonts w:hint="eastAsia" w:asciiTheme="minorEastAsia" w:hAnsiTheme="minorEastAsia"/>
                <w:color w:val="auto"/>
              </w:rPr>
              <w:t>号</w:t>
            </w:r>
            <w:r>
              <w:rPr>
                <w:rFonts w:hint="eastAsia" w:asciiTheme="minorEastAsia" w:hAnsiTheme="minorEastAsia"/>
                <w:color w:val="auto"/>
                <w:lang w:eastAsia="zh-CN"/>
              </w:rPr>
              <w:t>）文件，一、在《中华人民共和国固体废物污染环境防治法》《中华人民共和国环境噪声污染防治法》修改完成前，全省各级环境保护部门应依法对建设项目噪声、固体废物污染防治设施进行验收。建设单位应向环境保护部门提交建设项目竣工环境保护验收（噪声和固体废物）申请（附件</w:t>
            </w:r>
            <w:r>
              <w:rPr>
                <w:rFonts w:hint="eastAsia" w:asciiTheme="minorEastAsia" w:hAnsiTheme="minorEastAsia"/>
                <w:color w:val="auto"/>
                <w:lang w:val="en-US" w:eastAsia="zh-CN"/>
              </w:rPr>
              <w:t>1</w:t>
            </w:r>
            <w:r>
              <w:rPr>
                <w:rFonts w:hint="eastAsia" w:asciiTheme="minorEastAsia" w:hAnsiTheme="minorEastAsia"/>
                <w:color w:val="auto"/>
                <w:lang w:eastAsia="zh-CN"/>
              </w:rPr>
              <w:t>）、</w:t>
            </w:r>
            <w:r>
              <w:rPr>
                <w:rFonts w:hint="eastAsia" w:asciiTheme="minorEastAsia" w:hAnsiTheme="minorEastAsia"/>
                <w:color w:val="auto"/>
                <w:lang w:val="en-US" w:eastAsia="zh-CN"/>
              </w:rPr>
              <w:t>XX建设项目竣工环境保护验收（噪声和固体废物）监测（调查）报告（附件2）并报送自主验收全文报告。各级环境保护部门要严格按《建设项目竣工环境保护验收管理办法》（国家环境保护总局令第13号）确定的程序和时限落实受理、审查、审批及相关公示公告等要求。验收依据《四川省环境保护厅审批环境影响</w:t>
            </w:r>
            <w:r>
              <w:rPr>
                <w:color w:val="auto"/>
              </w:rPr>
              <w:t>评价文件的建设项目目录》执行，此目录外已由我厅审批环境影响评价文件的建设项目，委托项目所在地市（</w:t>
            </w:r>
            <w:r>
              <w:rPr>
                <w:color w:val="auto"/>
                <w:spacing w:val="3"/>
              </w:rPr>
              <w:t>州）</w:t>
            </w:r>
            <w:r>
              <w:rPr>
                <w:color w:val="auto"/>
              </w:rPr>
              <w:t>级环境保护部门办理竣工环境保护验收。</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四川省环境保护厅审批环境影响评价文件的建设项目目录四川省环境保护厅公告2018年 第4号公告内容十：环境保护厅验收的建设项目依据《目录》执行。目前，环境保护部门仅对建设项目需配套建设的噪声或者固体废物污染防治设施进行竣工环境保护验收。《目录》以外已由环境保护厅审批了环境影响评价文件的建设项目，委托项目所在地市（州）环境保护部门验收。</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val="en-US" w:eastAsia="zh-CN"/>
              </w:rPr>
              <w:t>3.</w:t>
            </w:r>
            <w:r>
              <w:rPr>
                <w:rFonts w:hint="eastAsia" w:ascii="宋体" w:hAnsi="宋体" w:cs="宋体"/>
                <w:color w:val="auto"/>
                <w:sz w:val="21"/>
                <w:szCs w:val="21"/>
                <w:lang w:eastAsia="zh-CN"/>
              </w:rPr>
              <w:t>四川省人民政府关于印发四川省行政许可事项清单（2018年）本的通知川府发〔2018〕9号四川省人民政府关于印发四川省行政许可事项清单（2018年）本的通知：通知附件设立事项序号16，项号13</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val="en-US" w:eastAsia="zh-CN"/>
              </w:rPr>
              <w:t>4.</w:t>
            </w:r>
            <w:r>
              <w:rPr>
                <w:rFonts w:hint="eastAsia" w:ascii="宋体" w:hAnsi="宋体" w:cs="宋体"/>
                <w:color w:val="auto"/>
                <w:sz w:val="21"/>
                <w:szCs w:val="21"/>
                <w:lang w:eastAsia="zh-CN"/>
              </w:rPr>
              <w:t>中华人民共和国固体废物污染环境防治法中华人民共和国主席令  第57号第二章　固体废物污染环境防治的监督管理 ：第十四条　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关于发布《建设项目竣工环境保护验收暂行办法》的公告国环规环评〔2017〕4号公告内容 ：建设项目需要配套建设水、噪声或者固体废物污染防治设施的，新修改的《中华人民共和国水污染防治法》生效实施前或者《中华人民共和国固体废物污染环境防治法》《中华人民共和国环境噪声污染防治法》修改完成前，应依法由环境保护部门对建设项目水、噪声或者固体废物污染防治设施进行验收。</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val="en-US" w:eastAsia="zh-CN"/>
              </w:rPr>
              <w:t>5.</w:t>
            </w:r>
            <w:r>
              <w:rPr>
                <w:rFonts w:hint="eastAsia" w:ascii="宋体" w:hAnsi="宋体" w:cs="宋体"/>
                <w:color w:val="auto"/>
                <w:sz w:val="21"/>
                <w:szCs w:val="21"/>
                <w:lang w:eastAsia="zh-CN"/>
              </w:rPr>
              <w:t>建设项目竣工环境保护验收管理办法国家环境保护总局令第13号第九条：建设项目竣工后，建设单位应当向有审批权的环境保护行政主管部门，申请该建设项目竣工环境保护验收。</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cs="宋体"/>
                <w:color w:val="auto"/>
                <w:sz w:val="21"/>
                <w:szCs w:val="21"/>
                <w:lang w:eastAsia="zh-CN"/>
              </w:rPr>
              <w:t>中华人民共和国环境噪声污染防治法中华人民共和国主席令 第77号第二章　环境噪声污染防治的监督管理 ：第十四条　建设项目的环境噪声污染防治设施必须与主体工程同时设计、同时施工、同时投产使用。建设项目在投入生产或者使用之前，其环境噪声污染防治设施必须经原审批环境影响报告书的环境保护行政主管部门验收；达不到国家规定要求的，该建设项目不得投入生产或者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1605"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责任主体</w:t>
            </w:r>
          </w:p>
        </w:tc>
        <w:tc>
          <w:tcPr>
            <w:tcW w:w="747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2100" w:firstLineChars="1000"/>
              <w:jc w:val="both"/>
              <w:textAlignment w:val="auto"/>
              <w:outlineLvl w:val="9"/>
              <w:rPr>
                <w:rFonts w:hint="eastAsia" w:ascii="宋体" w:hAnsi="宋体" w:eastAsia="宋体" w:cs="宋体"/>
                <w:sz w:val="21"/>
                <w:szCs w:val="21"/>
              </w:rPr>
            </w:pPr>
            <w:r>
              <w:rPr>
                <w:rFonts w:hint="eastAsia" w:asciiTheme="minorEastAsia" w:hAnsiTheme="minorEastAsia"/>
              </w:rPr>
              <w:t>行政审批科、</w:t>
            </w:r>
            <w:r>
              <w:rPr>
                <w:rFonts w:hint="eastAsia" w:asciiTheme="minorEastAsia" w:hAnsiTheme="minorEastAsia"/>
                <w:lang w:eastAsia="zh-CN"/>
              </w:rPr>
              <w:t>土科、监察大队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5"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责任事项</w:t>
            </w:r>
          </w:p>
        </w:tc>
        <w:tc>
          <w:tcPr>
            <w:tcW w:w="747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1.受理责任：公示依法应当提交的材料；初步审核申报材料；一次性告知补正材料；依法受理或不予受理；发布建设项目竣工环境保护验收受理公示。</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2.审查责任：审查材料；作出审批决定前挂出拟批准公示。</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3.决定责任：作出准予许可或不予许可的审批决定；按时办结；依法公示。</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4.事后监管责任：对配套建设的环境保护设施验收情况进行跟踪检查。</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5.其他责任：其他法律法规规定应履行的责任。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5"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责任事项依据</w:t>
            </w:r>
          </w:p>
        </w:tc>
        <w:tc>
          <w:tcPr>
            <w:tcW w:w="747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1-1.《行政许可法》第三十条第一款：行政机关应当将法律、法规、规章规定的有关行政许可的事项、依据、条件、数量、程序、期限以及需要提交的全部材料的目录和申请书示范文本等在办公场所公示。</w:t>
            </w:r>
            <w:r>
              <w:rPr>
                <w:rFonts w:hint="eastAsia" w:ascii="宋体" w:hAnsi="宋体" w:eastAsia="宋体" w:cs="宋体"/>
                <w:sz w:val="21"/>
                <w:szCs w:val="21"/>
              </w:rPr>
              <w:br w:type="textWrapping"/>
            </w:r>
            <w:r>
              <w:rPr>
                <w:rFonts w:hint="eastAsia" w:ascii="宋体" w:hAnsi="宋体" w:eastAsia="宋体" w:cs="宋体"/>
                <w:sz w:val="21"/>
                <w:szCs w:val="21"/>
              </w:rPr>
              <w:t>1-2.《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-3.《环境保护部办公厅关于印发&lt;建设项目环境影响评价政府信息公开指南（试行）&gt;的通知》一、主动公开范围（三）建设项目竣工环境保护验收，包括：竣工环境保护验收申请受理情况、拟作出的验收意见、作出的验收决定。二、主动公开方式（一）各级环境保护主管部门应将主动公开的环境影响评价政府信息通过本部门政府网站公开。</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2-1.《行政许可法》第三十四条第一款：行政机关应当对申请人提交的申请材料进行审查。</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2-2. 《环境保护部办公厅关于印发&lt;建设项目环境影响评价政府信息公开指南（试行）&gt;的通知》一、主动公开范围（三）建设项目竣工环境保护验收，包括：竣工环境保护验收申请受理情况、拟作出的验收意见、作出的验收决定。二、主动公开方式（一）各级环境保护主管部门应将主动公开的环境影响评价政府信息通过本部门政府网站公开。</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-1.《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-2.《行政许可法》第四十二条第一款：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3-3. 《建设项目环境保护管理条例》第二十二条：环境保护行政主管部门应当自收到环境保护设施竣工验收申请之日起30日内，完成验收。</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3-4.《行政许可法》第四十条：行政机关作出的准予行政许可决定，应当予以公开，公众有权查阅。</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4.《建设项目环境保护管理条例》第二十八条：违反本条例规定，建设项目需要配套建设的环境保护设施未建成、未经验收或者经验收不合格，主体工程正式投入生产或者使用的，由审批该建设项目环境影响报告书、环境影响报告表或者环境影响登记表的环境保护行政主管部门责令停止生产或者使用，可以处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5"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追责情形</w:t>
            </w:r>
          </w:p>
        </w:tc>
        <w:tc>
          <w:tcPr>
            <w:tcW w:w="747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对不履行或者不正确履行行政职责的行政机关及其工作人员，依据《中华人民共和国行政监察法》、《中华人民共和国行政许可法》、《中华人民共和国环境保护法》、《行政机关公务员处分条例》、《环境保护违法违纪行为处分暂行规定》等法律法规规章等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1605"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监督电话</w:t>
            </w:r>
          </w:p>
        </w:tc>
        <w:tc>
          <w:tcPr>
            <w:tcW w:w="747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0827</w:t>
            </w:r>
            <w:r>
              <w:rPr>
                <w:rFonts w:hint="eastAsia" w:ascii="宋体" w:hAnsi="宋体" w:eastAsia="宋体" w:cs="宋体"/>
                <w:sz w:val="21"/>
                <w:szCs w:val="21"/>
              </w:rPr>
              <w:t>-</w:t>
            </w:r>
            <w:r>
              <w:rPr>
                <w:rFonts w:hint="eastAsia" w:ascii="宋体" w:hAnsi="宋体" w:cs="宋体"/>
                <w:sz w:val="21"/>
                <w:szCs w:val="21"/>
                <w:lang w:val="en-US" w:eastAsia="zh-CN"/>
              </w:rPr>
              <w:t>8589895</w:t>
            </w:r>
          </w:p>
        </w:tc>
      </w:tr>
    </w:tbl>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p>
    <w:tbl>
      <w:tblPr>
        <w:tblStyle w:val="5"/>
        <w:tblpPr w:leftFromText="180" w:rightFromText="180" w:vertAnchor="text" w:horzAnchor="page" w:tblpX="1840" w:tblpY="229"/>
        <w:tblOverlap w:val="never"/>
        <w:tblW w:w="9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7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582" w:type="dxa"/>
          </w:tcPr>
          <w:p>
            <w:pPr>
              <w:spacing w:line="560" w:lineRule="exact"/>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7582" w:type="dxa"/>
          </w:tcPr>
          <w:p>
            <w:pPr>
              <w:spacing w:line="5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82" w:type="dxa"/>
          </w:tcPr>
          <w:p>
            <w:pPr>
              <w:spacing w:line="560" w:lineRule="exact"/>
              <w:jc w:val="center"/>
              <w:rPr>
                <w:rFonts w:asciiTheme="minorEastAsia" w:hAnsiTheme="minorEastAsia" w:eastAsiaTheme="minorEastAsia"/>
                <w:szCs w:val="21"/>
              </w:rPr>
            </w:pPr>
            <w:r>
              <w:rPr>
                <w:rFonts w:hint="eastAsia" w:asciiTheme="minorEastAsia" w:hAnsiTheme="minorEastAsia" w:eastAsiaTheme="minorEastAsia"/>
                <w:szCs w:val="21"/>
              </w:rPr>
              <w:t>权力类型</w:t>
            </w:r>
          </w:p>
        </w:tc>
        <w:tc>
          <w:tcPr>
            <w:tcW w:w="7582" w:type="dxa"/>
          </w:tcPr>
          <w:p>
            <w:pPr>
              <w:spacing w:line="560" w:lineRule="exact"/>
              <w:jc w:val="center"/>
              <w:rPr>
                <w:rFonts w:asciiTheme="minorEastAsia" w:hAnsiTheme="minorEastAsia" w:eastAsiaTheme="minorEastAsia"/>
                <w:szCs w:val="21"/>
              </w:rPr>
            </w:pPr>
            <w:r>
              <w:rPr>
                <w:rFonts w:hint="eastAsia" w:asciiTheme="minorEastAsia" w:hAnsiTheme="minorEastAsia" w:eastAsiaTheme="minorEastAsia"/>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582" w:type="dxa"/>
          </w:tcPr>
          <w:p>
            <w:pPr>
              <w:spacing w:line="560" w:lineRule="exact"/>
              <w:jc w:val="center"/>
              <w:rPr>
                <w:rFonts w:asciiTheme="minorEastAsia" w:hAnsiTheme="minorEastAsia" w:eastAsiaTheme="minorEastAsia"/>
                <w:szCs w:val="21"/>
              </w:rPr>
            </w:pPr>
            <w:r>
              <w:rPr>
                <w:rFonts w:hint="eastAsia" w:asciiTheme="minorEastAsia" w:hAnsiTheme="minorEastAsia" w:eastAsiaTheme="minorEastAsia"/>
                <w:szCs w:val="21"/>
              </w:rPr>
              <w:t>权力项目名称</w:t>
            </w:r>
          </w:p>
        </w:tc>
        <w:tc>
          <w:tcPr>
            <w:tcW w:w="7582" w:type="dxa"/>
          </w:tcPr>
          <w:p>
            <w:pPr>
              <w:spacing w:line="56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危险废物经营许可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2" w:type="dxa"/>
          </w:tcPr>
          <w:p>
            <w:pPr>
              <w:spacing w:line="56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实施依据</w:t>
            </w:r>
          </w:p>
        </w:tc>
        <w:tc>
          <w:tcPr>
            <w:tcW w:w="7582" w:type="dxa"/>
          </w:tcPr>
          <w:p>
            <w:pPr>
              <w:spacing w:line="320" w:lineRule="exact"/>
              <w:jc w:val="left"/>
              <w:rPr>
                <w:rFonts w:hint="eastAsia" w:asciiTheme="minorEastAsia" w:hAnsiTheme="minorEastAsia" w:eastAsiaTheme="minorEastAsia"/>
                <w:szCs w:val="21"/>
              </w:rPr>
            </w:pPr>
            <w:r>
              <w:rPr>
                <w:rFonts w:hint="eastAsia" w:ascii="宋体" w:hAnsi="宋体"/>
                <w:szCs w:val="21"/>
                <w:lang w:val="en-US" w:eastAsia="zh-CN"/>
              </w:rPr>
              <w:t>1.</w:t>
            </w:r>
            <w:r>
              <w:rPr>
                <w:rFonts w:ascii="宋体" w:hAnsi="宋体"/>
                <w:szCs w:val="21"/>
              </w:rPr>
              <w:t>《中华人民共和国固体废物污染环境防治法》第五十七条第一款：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w:t>
            </w:r>
            <w:r>
              <w:rPr>
                <w:rFonts w:hint="eastAsia" w:ascii="宋体" w:hAnsi="宋体"/>
                <w:szCs w:val="21"/>
                <w:lang w:val="en-US" w:eastAsia="zh-CN"/>
              </w:rPr>
              <w:t xml:space="preserve">                                                                              2.</w:t>
            </w:r>
            <w:r>
              <w:rPr>
                <w:rFonts w:ascii="宋体" w:hAnsi="宋体"/>
                <w:color w:val="auto"/>
                <w:szCs w:val="21"/>
              </w:rPr>
              <w:t>《危险废物经营许可证管理办法》第七条：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本条第二款、第三款、第四款规定之外的危险废物经营许可证，由省、自治区、直辖市人民政府环境保护主管部门审批颁发。</w:t>
            </w:r>
            <w:r>
              <w:rPr>
                <w:rFonts w:hint="eastAsia" w:ascii="宋体" w:hAnsi="宋体"/>
                <w:color w:val="auto"/>
                <w:szCs w:val="21"/>
                <w:lang w:val="en-US" w:eastAsia="zh-CN"/>
              </w:rPr>
              <w:t xml:space="preserve">                                                                 3.</w:t>
            </w:r>
            <w:r>
              <w:rPr>
                <w:rFonts w:ascii="宋体" w:hAnsi="宋体"/>
                <w:color w:val="auto"/>
                <w:szCs w:val="21"/>
              </w:rPr>
              <w:t>《危险废物经营许可证管理办法》第十二条：有下列情形之一的，危险废物经营单位应当按照原申请程序，重新申请领取危险废物经营许可证：（1）改变危险废物经营方式的；（2）增加危险废物类别的；（3）新建或者改建、扩建原有危险废物经营设施的；（4）经营危险废物超过原批准年经营规模20%以上的</w:t>
            </w:r>
            <w:r>
              <w:rPr>
                <w:rFonts w:ascii="宋体" w:hAnsi="宋体"/>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82" w:type="dxa"/>
          </w:tcPr>
          <w:p>
            <w:pPr>
              <w:spacing w:line="560" w:lineRule="exact"/>
              <w:jc w:val="center"/>
              <w:rPr>
                <w:rFonts w:asciiTheme="minorEastAsia" w:hAnsiTheme="minorEastAsia" w:eastAsiaTheme="minorEastAsia"/>
                <w:szCs w:val="21"/>
              </w:rPr>
            </w:pPr>
            <w:r>
              <w:rPr>
                <w:rFonts w:hint="eastAsia" w:asciiTheme="minorEastAsia" w:hAnsiTheme="minorEastAsia" w:eastAsiaTheme="minorEastAsia"/>
                <w:szCs w:val="21"/>
              </w:rPr>
              <w:t>责任主体</w:t>
            </w:r>
          </w:p>
        </w:tc>
        <w:tc>
          <w:tcPr>
            <w:tcW w:w="7582" w:type="dxa"/>
          </w:tcPr>
          <w:p>
            <w:pPr>
              <w:spacing w:line="56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rPr>
              <w:t>行政审批科、</w:t>
            </w:r>
            <w:r>
              <w:rPr>
                <w:rFonts w:hint="eastAsia" w:asciiTheme="minorEastAsia" w:hAnsiTheme="minorEastAsia" w:eastAsiaTheme="minorEastAsia"/>
                <w:szCs w:val="21"/>
                <w:lang w:eastAsia="zh-CN"/>
              </w:rPr>
              <w:t>土科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1582" w:type="dxa"/>
          </w:tcPr>
          <w:p>
            <w:pPr>
              <w:spacing w:line="560" w:lineRule="exact"/>
              <w:jc w:val="center"/>
              <w:rPr>
                <w:rFonts w:asciiTheme="minorEastAsia" w:hAnsiTheme="minorEastAsia" w:eastAsiaTheme="minorEastAsia"/>
                <w:szCs w:val="21"/>
              </w:rPr>
            </w:pPr>
          </w:p>
          <w:p>
            <w:pPr>
              <w:spacing w:line="560" w:lineRule="exact"/>
              <w:jc w:val="center"/>
              <w:rPr>
                <w:rFonts w:asciiTheme="minorEastAsia" w:hAnsiTheme="minorEastAsia" w:eastAsiaTheme="minorEastAsia"/>
                <w:szCs w:val="21"/>
              </w:rPr>
            </w:pPr>
          </w:p>
          <w:p>
            <w:pPr>
              <w:spacing w:line="560" w:lineRule="exact"/>
              <w:jc w:val="center"/>
              <w:rPr>
                <w:rFonts w:asciiTheme="minorEastAsia" w:hAnsiTheme="minorEastAsia" w:eastAsiaTheme="minorEastAsia"/>
                <w:szCs w:val="21"/>
              </w:rPr>
            </w:pPr>
          </w:p>
          <w:p>
            <w:pPr>
              <w:spacing w:line="560" w:lineRule="exact"/>
              <w:jc w:val="center"/>
              <w:rPr>
                <w:rFonts w:asciiTheme="minorEastAsia" w:hAnsiTheme="minorEastAsia" w:eastAsiaTheme="minorEastAsia"/>
                <w:szCs w:val="21"/>
              </w:rPr>
            </w:pPr>
          </w:p>
          <w:p>
            <w:pPr>
              <w:spacing w:line="560" w:lineRule="exact"/>
              <w:jc w:val="center"/>
              <w:rPr>
                <w:rFonts w:asciiTheme="minorEastAsia" w:hAnsiTheme="minorEastAsia" w:eastAsiaTheme="minorEastAsia"/>
                <w:szCs w:val="21"/>
              </w:rPr>
            </w:pPr>
            <w:r>
              <w:rPr>
                <w:rFonts w:hint="eastAsia" w:asciiTheme="minorEastAsia" w:hAnsiTheme="minorEastAsia" w:eastAsiaTheme="minorEastAsia"/>
                <w:szCs w:val="21"/>
              </w:rPr>
              <w:t>责任事项</w:t>
            </w:r>
          </w:p>
        </w:tc>
        <w:tc>
          <w:tcPr>
            <w:tcW w:w="7582" w:type="dxa"/>
          </w:tcPr>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2.审查责任：对申请材料进行审查；现场核查；征求有关主管部门和专家意见。</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3.决定责任：作出行政许可或者不予行政许可决定；依法公示。</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4.事后监管责任：开展定期和不定期检查，依法采取相关处置措施。</w:t>
            </w:r>
          </w:p>
          <w:p>
            <w:pPr>
              <w:keepNext w:val="0"/>
              <w:keepLines w:val="0"/>
              <w:pageBreakBefore w:val="0"/>
              <w:widowControl w:val="0"/>
              <w:numPr>
                <w:ilvl w:val="0"/>
                <w:numId w:val="0"/>
              </w:numPr>
              <w:kinsoku/>
              <w:wordWrap/>
              <w:overflowPunct/>
              <w:topLinePunct w:val="0"/>
              <w:autoSpaceDE/>
              <w:autoSpaceDN/>
              <w:bidi w:val="0"/>
              <w:spacing w:line="300" w:lineRule="exact"/>
              <w:ind w:right="0" w:rightChars="0"/>
              <w:textAlignment w:val="auto"/>
              <w:outlineLvl w:val="9"/>
              <w:rPr>
                <w:rFonts w:asciiTheme="minorEastAsia" w:hAnsiTheme="minorEastAsia" w:eastAsiaTheme="minorEastAsia"/>
                <w:szCs w:val="21"/>
              </w:rPr>
            </w:pPr>
            <w:r>
              <w:rPr>
                <w:rFonts w:hint="eastAsia" w:ascii="宋体" w:hAnsi="宋体" w:eastAsia="宋体" w:cs="宋体"/>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2" w:type="dxa"/>
          </w:tcPr>
          <w:p>
            <w:pPr>
              <w:spacing w:line="56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责任事项依据</w:t>
            </w:r>
          </w:p>
        </w:tc>
        <w:tc>
          <w:tcPr>
            <w:tcW w:w="7582" w:type="dxa"/>
          </w:tcPr>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1-1.《行政许可法》第三十条第一款：行政机关应当将法律、法规、规章规定的有关行政许可的事项、依据、条件、数量、程序、期限以及需要提交的全部材料的目录和申请书示范文本等在办公场所公示。</w:t>
            </w:r>
            <w:r>
              <w:rPr>
                <w:rFonts w:hint="eastAsia" w:ascii="宋体" w:hAnsi="宋体" w:eastAsia="宋体" w:cs="宋体"/>
                <w:sz w:val="21"/>
                <w:szCs w:val="21"/>
              </w:rPr>
              <w:br w:type="textWrapping"/>
            </w:r>
            <w:r>
              <w:rPr>
                <w:rFonts w:hint="eastAsia" w:ascii="宋体" w:hAnsi="宋体" w:eastAsia="宋体" w:cs="宋体"/>
                <w:sz w:val="21"/>
                <w:szCs w:val="21"/>
              </w:rPr>
              <w:t>1-2.《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2-1．《行政许可法》第三十四条第一款：行政机关应当对申请人提交的申请材料进行审查。</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-2．《危险废物经营许可证管理办法》第九条第一款、第二款：发证机关应当自受理申请之日起20个工作日内，对申请单位提交的证明材料进行审查，并对申请单位的经营设施进行现场核查。符合条件的，颁发危险废物经营许可证，并予以公告；不符合条件的，书面通知申请单位并说明理由。发证机关在颁发危险废物经营许可证前，可以根据实际需要征求卫生、城乡规划等有关主管部门和专家的意见。</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-1.《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-2.《行政许可法》第四十二条第一款：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-3.《危险废物经营许可证管理办法》第九条第一款：发证机关应当自受理申请之日起20个工作日内，对申请单位提交的证明材料进行审查，并对申请单位的经营设施进行现场核查。符合条件的，颁发危险废物经营许可证，并予以公告；不符合条件的，书面通知申请单位并说明理由。</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3-4.《行政许可法》第四十条：行政机关作出准予行政许可的决定，应当予以公开，公众有权查阅。”</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Theme="minorEastAsia" w:hAnsiTheme="minorEastAsia" w:eastAsiaTheme="minorEastAsia"/>
                <w:szCs w:val="21"/>
              </w:rPr>
            </w:pPr>
            <w:r>
              <w:rPr>
                <w:rFonts w:hint="eastAsia" w:ascii="宋体" w:hAnsi="宋体" w:eastAsia="宋体" w:cs="宋体"/>
                <w:sz w:val="21"/>
                <w:szCs w:val="21"/>
              </w:rPr>
              <w:t>4.《危险废物经营许可证管理办法》第十七条：县级以上人民政府环境保护主管部门应当通过书面核查和实地检查等方式，加强对危险废物经营单位的监督检查，并将监督检查情况和处理结果予以记录，由监督检查人员签字后归档。公众有权查阅县级以上人民政府环境保护主管部门的监督检查记录。县级以上人民政府环境保护主管部门发现危险废物经营单位在经营活动中有不符合原发证条件的情形的，应当责令其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2"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210" w:firstLineChars="1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追责情形</w:t>
            </w:r>
          </w:p>
        </w:tc>
        <w:tc>
          <w:tcPr>
            <w:tcW w:w="7582" w:type="dxa"/>
          </w:tcPr>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对不履行或者不正确履行行政职责的行政机关及其工作人员，依据《中华人民共和国行政监察法》、《中华人民共和国行政许可法》、《中华人民共和国环境保护法》、《行政机关公务员处分条例》、《环境保护违法违纪行为处分暂行规定》等法律法规规章等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2" w:type="dxa"/>
          </w:tcPr>
          <w:p>
            <w:pPr>
              <w:spacing w:line="560" w:lineRule="exact"/>
              <w:jc w:val="center"/>
              <w:rPr>
                <w:rFonts w:asciiTheme="minorEastAsia" w:hAnsiTheme="minorEastAsia" w:eastAsiaTheme="minorEastAsia"/>
                <w:szCs w:val="21"/>
              </w:rPr>
            </w:pPr>
            <w:r>
              <w:rPr>
                <w:rFonts w:hint="eastAsia" w:asciiTheme="minorEastAsia" w:hAnsiTheme="minorEastAsia" w:eastAsiaTheme="minorEastAsia"/>
                <w:szCs w:val="21"/>
              </w:rPr>
              <w:t>监督电话</w:t>
            </w:r>
          </w:p>
        </w:tc>
        <w:tc>
          <w:tcPr>
            <w:tcW w:w="7582" w:type="dxa"/>
          </w:tcPr>
          <w:p>
            <w:pPr>
              <w:spacing w:line="5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0827-8589895</w:t>
            </w:r>
          </w:p>
        </w:tc>
      </w:tr>
    </w:tbl>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p>
    <w:tbl>
      <w:tblPr>
        <w:tblStyle w:val="5"/>
        <w:tblW w:w="9075"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7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62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序号</w:t>
            </w:r>
          </w:p>
        </w:tc>
        <w:tc>
          <w:tcPr>
            <w:tcW w:w="7455" w:type="dxa"/>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62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权力类型</w:t>
            </w:r>
          </w:p>
        </w:tc>
        <w:tc>
          <w:tcPr>
            <w:tcW w:w="7455" w:type="dxa"/>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62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权力项目名称</w:t>
            </w:r>
          </w:p>
        </w:tc>
        <w:tc>
          <w:tcPr>
            <w:tcW w:w="7455" w:type="dxa"/>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防治污染设施拆除或闲置审批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实施依据</w:t>
            </w:r>
          </w:p>
        </w:tc>
        <w:tc>
          <w:tcPr>
            <w:tcW w:w="7455" w:type="dxa"/>
          </w:tcPr>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中华人民共和国环境保护法》第四十一条：建设项目中防治污染的设施，应当与主体工程同时设计、同时施工、同时投产使用。防治污染的设施应当符合经批准的环境影响评价文件的要求，不得擅自拆除或者闲置。</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中华人民共和国固体废物污染环境防治法》第三十四条：禁止擅自关闭、闲置或者拆除工业固体废物污染环境防治设施、场所；确有必要关闭、闲置或者拆除的，必须经所在地县级以上地方人民政府环境保护行政主管部门核准，并采取措施，防止污染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162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责任主体</w:t>
            </w:r>
          </w:p>
        </w:tc>
        <w:tc>
          <w:tcPr>
            <w:tcW w:w="7455" w:type="dxa"/>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Cs/>
                <w:color w:val="auto"/>
                <w:sz w:val="21"/>
                <w:szCs w:val="21"/>
              </w:rPr>
              <w:t>行政审批科</w:t>
            </w:r>
            <w:r>
              <w:rPr>
                <w:rFonts w:hint="eastAsia" w:ascii="宋体" w:hAnsi="宋体" w:cs="宋体"/>
                <w:bCs/>
                <w:color w:val="auto"/>
                <w:sz w:val="21"/>
                <w:szCs w:val="21"/>
                <w:lang w:eastAsia="zh-CN"/>
              </w:rPr>
              <w:t>、水科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责任事项</w:t>
            </w:r>
          </w:p>
        </w:tc>
        <w:tc>
          <w:tcPr>
            <w:tcW w:w="7455"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1.受理责任：公示依法应当提交的材料；初步审核申报材料；一次性告知补正材料；依法受理或不予受理。 </w:t>
            </w:r>
            <w:r>
              <w:rPr>
                <w:rFonts w:hint="eastAsia" w:ascii="宋体" w:hAnsi="宋体" w:eastAsia="宋体" w:cs="宋体"/>
                <w:sz w:val="21"/>
                <w:szCs w:val="21"/>
              </w:rPr>
              <w:br w:type="textWrapping"/>
            </w:r>
            <w:r>
              <w:rPr>
                <w:rFonts w:hint="eastAsia" w:ascii="宋体" w:hAnsi="宋体" w:eastAsia="宋体" w:cs="宋体"/>
                <w:sz w:val="21"/>
                <w:szCs w:val="21"/>
              </w:rPr>
              <w:t>2.审查责任：审查材料。</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3.决定责任：出准予许可或不予许可的审批决定；按时办结，依法公示。</w:t>
            </w:r>
            <w:r>
              <w:rPr>
                <w:rFonts w:hint="eastAsia" w:ascii="宋体" w:hAnsi="宋体" w:eastAsia="宋体" w:cs="宋体"/>
                <w:sz w:val="21"/>
                <w:szCs w:val="21"/>
              </w:rPr>
              <w:br w:type="textWrapping"/>
            </w:r>
            <w:r>
              <w:rPr>
                <w:rFonts w:hint="eastAsia" w:ascii="宋体" w:hAnsi="宋体" w:eastAsia="宋体" w:cs="宋体"/>
                <w:sz w:val="21"/>
                <w:szCs w:val="21"/>
              </w:rPr>
              <w:t>4.事后监管责任： 对转入、转出放射性同位素单位未按规定备案的进行处罚。</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5.其他责任：其他法律法规规定应履行的责任。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责任事项依据</w:t>
            </w:r>
          </w:p>
        </w:tc>
        <w:tc>
          <w:tcPr>
            <w:tcW w:w="7455"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1-1.《行政许可法》第三十条第一款：行政机关应当将法律、法规、规章规定的有关行政许可的事项、依据、条件、数量、程序、期限以及需要提交的全部材料的目录和申请书示范文本等在办公场所公示。</w:t>
            </w:r>
            <w:r>
              <w:rPr>
                <w:rFonts w:hint="eastAsia" w:ascii="宋体" w:hAnsi="宋体" w:eastAsia="宋体" w:cs="宋体"/>
                <w:sz w:val="21"/>
                <w:szCs w:val="21"/>
              </w:rPr>
              <w:br w:type="textWrapping"/>
            </w:r>
            <w:r>
              <w:rPr>
                <w:rFonts w:hint="eastAsia" w:ascii="宋体" w:hAnsi="宋体" w:eastAsia="宋体" w:cs="宋体"/>
                <w:sz w:val="21"/>
                <w:szCs w:val="21"/>
              </w:rPr>
              <w:t>1-2.《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2.《行政许可法》第三十四条第一款：行政机关应当对申请人提交的申请材料进行审查。</w:t>
            </w:r>
            <w:r>
              <w:rPr>
                <w:rFonts w:hint="eastAsia" w:ascii="宋体" w:hAnsi="宋体" w:eastAsia="宋体" w:cs="宋体"/>
                <w:sz w:val="21"/>
                <w:szCs w:val="21"/>
              </w:rPr>
              <w:br w:type="textWrapping"/>
            </w:r>
            <w:r>
              <w:rPr>
                <w:rFonts w:hint="eastAsia" w:ascii="宋体" w:hAnsi="宋体" w:eastAsia="宋体" w:cs="宋体"/>
                <w:sz w:val="21"/>
                <w:szCs w:val="21"/>
              </w:rPr>
              <w:t>3-1.《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-2.《行政许可法》第四十二条第一款：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4-1《中华人民共和国水污染防治法》第七十三条：违反本法规定，不正常使用水污染物处理设施，或者未经环境保护主管部门批准拆除、闲置水污染物处理设施的，由县级以上人民政府环境保护主管部门责令限期改正，处应缴纳排污费数额一倍以上三倍以下罚款。</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4-2《</w:t>
            </w:r>
            <w:r>
              <w:rPr>
                <w:rFonts w:hint="eastAsia" w:ascii="宋体" w:hAnsi="宋体" w:cs="宋体"/>
                <w:sz w:val="21"/>
                <w:szCs w:val="21"/>
                <w:lang w:eastAsia="zh-CN"/>
              </w:rPr>
              <w:t>中华人民共和国固体废物污染环境防治法</w:t>
            </w:r>
            <w:r>
              <w:rPr>
                <w:rFonts w:hint="eastAsia" w:ascii="宋体" w:hAnsi="宋体" w:eastAsia="宋体" w:cs="宋体"/>
                <w:sz w:val="21"/>
                <w:szCs w:val="21"/>
              </w:rPr>
              <w:t>》第六十八条第一款：违反本法规定，有下列行为之一的，由县级以上人民政府环境保护行政主管部门责令停止违法行为，限期改正，处以罚款：（四）擅自关闭、闲置或者拆除工业固体废物污染环境防治设施、场所的；第二款：有前款第一项、第八项行为之一的，处五千元以上五万元以下的罚款；有前款第二项、第三项、第四项、第五项、第六项、第七项行为之一的，处一万元以上十万元以下的罚款。</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4-3《</w:t>
            </w:r>
            <w:r>
              <w:rPr>
                <w:rFonts w:hint="eastAsia" w:ascii="宋体" w:hAnsi="宋体" w:cs="宋体"/>
                <w:sz w:val="21"/>
                <w:szCs w:val="21"/>
                <w:lang w:eastAsia="zh-CN"/>
              </w:rPr>
              <w:t>中华人民共和国固体废物污染环境防治法</w:t>
            </w:r>
            <w:r>
              <w:rPr>
                <w:rFonts w:hint="eastAsia" w:ascii="宋体" w:hAnsi="宋体" w:eastAsia="宋体" w:cs="宋体"/>
                <w:sz w:val="21"/>
                <w:szCs w:val="21"/>
              </w:rPr>
              <w:t>》第七十四条第一款：违反本法有关城市生活垃圾污染环境防治的规定，有下列行为之一的，由县级以上人民政府环境保护行政主管部门责令停止违法行为，限期改正，处以罚款：（二）擅自关闭、闲置或者拆除生活垃圾处置设施、场所的；第二款：单位有前款第一项、第三项、第五项行为之一的，处五千元以上五万元以下的罚款；有前款第二项、第四项行为之一的，处一万元以上十万元以下的罚款。个人有前款第一项、第五项行为之一的，处二百元以下的罚款。</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4-4《</w:t>
            </w:r>
            <w:r>
              <w:rPr>
                <w:rFonts w:hint="eastAsia" w:ascii="宋体" w:hAnsi="宋体" w:cs="宋体"/>
                <w:sz w:val="21"/>
                <w:szCs w:val="21"/>
                <w:lang w:eastAsia="zh-CN"/>
              </w:rPr>
              <w:t>中华人民共和国固体废物污染环境防治法</w:t>
            </w:r>
            <w:r>
              <w:rPr>
                <w:rFonts w:hint="eastAsia" w:ascii="宋体" w:hAnsi="宋体" w:eastAsia="宋体" w:cs="宋体"/>
                <w:sz w:val="21"/>
                <w:szCs w:val="21"/>
              </w:rPr>
              <w:t>》第七十五条第一款：违反本法有关危险废物污染环境防治的规定，有下列行为之一的，由县级以上人民政府环境保护行政主管部门责令停止违法行为，限期改正，处以罚款：（三）擅自关闭、闲置或者拆除工业固体废物污染环境防治设施、场所的；第二款：有前款第一项、第二项第七项、第八项、第九项、第十项、第十一项、第十二项、第十三项行为之一的，处一万元以上十万元以下的罚款；的前款第三项、第五项、第六项行为之一的，处二万元以上二十万元以下的罚款；有前款第四项行为的，限期缴纳，逾期不缴纳的，处应缴纳危险废物排污费金额一倍以上三倍以下的罚款。</w:t>
            </w:r>
          </w:p>
          <w:p>
            <w:pPr>
              <w:keepNext w:val="0"/>
              <w:keepLines w:val="0"/>
              <w:pageBreakBefore w:val="0"/>
              <w:widowControl w:val="0"/>
              <w:kinsoku/>
              <w:wordWrap/>
              <w:overflowPunct/>
              <w:topLinePunct w:val="0"/>
              <w:autoSpaceDE/>
              <w:autoSpaceDN/>
              <w:bidi w:val="0"/>
              <w:spacing w:line="300" w:lineRule="exact"/>
              <w:ind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color w:val="auto"/>
                <w:sz w:val="21"/>
                <w:szCs w:val="21"/>
              </w:rPr>
              <w:t>4-</w:t>
            </w:r>
            <w:r>
              <w:rPr>
                <w:rFonts w:hint="eastAsia" w:ascii="宋体" w:hAnsi="宋体" w:cs="宋体"/>
                <w:color w:val="auto"/>
                <w:sz w:val="21"/>
                <w:szCs w:val="21"/>
                <w:lang w:val="en-US" w:eastAsia="zh-CN"/>
              </w:rPr>
              <w:t>4</w:t>
            </w:r>
            <w:r>
              <w:rPr>
                <w:rFonts w:hint="eastAsia" w:ascii="宋体" w:hAnsi="宋体" w:eastAsia="宋体" w:cs="宋体"/>
                <w:sz w:val="21"/>
                <w:szCs w:val="21"/>
              </w:rPr>
              <w:t>《中华人民共和国环境噪声污染防治法》第五十条：违反本法第十五条规定，未级环境保护行政主管部门批准，擅自拆除或者闲置环境噪声污染防治设施，致使环境噪声排放超过规定标准的，由县级以上地方人民政府环境保护行政主管部门责令改正，并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追责情形</w:t>
            </w:r>
          </w:p>
        </w:tc>
        <w:tc>
          <w:tcPr>
            <w:tcW w:w="7455"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对不履行或者不正确履行行政职责的行政机关及其工作人员，依据《中华人民共和国行政监察法》、《中华人民共和国行政许可法》、《中华人民共和国环境保护法》、《行政机关公务员处分条例》、《环境保护违法违纪行为处分暂行规定》等法律法规规章等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620"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监督电话</w:t>
            </w:r>
          </w:p>
        </w:tc>
        <w:tc>
          <w:tcPr>
            <w:tcW w:w="7455" w:type="dxa"/>
            <w:vAlign w:val="center"/>
          </w:tcPr>
          <w:p>
            <w:pPr>
              <w:keepNext w:val="0"/>
              <w:keepLines w:val="0"/>
              <w:pageBreakBefore w:val="0"/>
              <w:widowControl w:val="0"/>
              <w:kinsoku/>
              <w:wordWrap/>
              <w:overflowPunct/>
              <w:topLinePunct w:val="0"/>
              <w:autoSpaceDE/>
              <w:autoSpaceDN/>
              <w:bidi w:val="0"/>
              <w:spacing w:line="300" w:lineRule="exact"/>
              <w:ind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0827-</w:t>
            </w:r>
            <w:r>
              <w:rPr>
                <w:rFonts w:hint="eastAsia" w:ascii="宋体" w:hAnsi="宋体" w:cs="宋体"/>
                <w:sz w:val="21"/>
                <w:szCs w:val="21"/>
                <w:lang w:val="en-US" w:eastAsia="zh-CN"/>
              </w:rPr>
              <w:t>8589895</w:t>
            </w:r>
          </w:p>
        </w:tc>
      </w:tr>
    </w:tbl>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tbl>
      <w:tblPr>
        <w:tblStyle w:val="5"/>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7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29" w:type="dxa"/>
            <w:noWrap w:val="0"/>
            <w:vAlign w:val="center"/>
          </w:tcPr>
          <w:p>
            <w:pPr>
              <w:spacing w:line="260" w:lineRule="exact"/>
              <w:jc w:val="center"/>
              <w:rPr>
                <w:rFonts w:ascii="宋体" w:cs="仿宋_GB2312"/>
                <w:b w:val="0"/>
                <w:bCs/>
                <w:szCs w:val="21"/>
              </w:rPr>
            </w:pPr>
            <w:r>
              <w:rPr>
                <w:rFonts w:hint="eastAsia" w:ascii="宋体" w:hAnsi="宋体" w:cs="仿宋_GB2312"/>
                <w:b w:val="0"/>
                <w:bCs/>
                <w:szCs w:val="21"/>
              </w:rPr>
              <w:t>序号</w:t>
            </w:r>
          </w:p>
        </w:tc>
        <w:tc>
          <w:tcPr>
            <w:tcW w:w="7343" w:type="dxa"/>
            <w:noWrap w:val="0"/>
            <w:vAlign w:val="center"/>
          </w:tcPr>
          <w:p>
            <w:pPr>
              <w:spacing w:line="260" w:lineRule="exact"/>
              <w:jc w:val="center"/>
              <w:rPr>
                <w:rFonts w:hint="eastAsia" w:ascii="宋体" w:hAnsi="宋体" w:eastAsia="宋体" w:cs="仿宋_GB2312"/>
                <w:b w:val="0"/>
                <w:bCs/>
                <w:szCs w:val="21"/>
                <w:lang w:eastAsia="zh-CN"/>
              </w:rPr>
            </w:pPr>
            <w:r>
              <w:rPr>
                <w:rFonts w:hint="eastAsia" w:ascii="宋体" w:hAnsi="宋体" w:cs="仿宋_GB2312"/>
                <w:b w:val="0"/>
                <w:bCs/>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29" w:type="dxa"/>
            <w:noWrap w:val="0"/>
            <w:vAlign w:val="center"/>
          </w:tcPr>
          <w:p>
            <w:pPr>
              <w:spacing w:line="260" w:lineRule="exact"/>
              <w:jc w:val="center"/>
              <w:rPr>
                <w:rFonts w:ascii="宋体" w:cs="仿宋_GB2312"/>
                <w:b w:val="0"/>
                <w:bCs/>
                <w:szCs w:val="21"/>
              </w:rPr>
            </w:pPr>
            <w:r>
              <w:rPr>
                <w:rFonts w:hint="eastAsia" w:ascii="宋体" w:hAnsi="宋体" w:cs="仿宋_GB2312"/>
                <w:b w:val="0"/>
                <w:bCs/>
                <w:szCs w:val="21"/>
              </w:rPr>
              <w:t>权力类型</w:t>
            </w:r>
          </w:p>
        </w:tc>
        <w:tc>
          <w:tcPr>
            <w:tcW w:w="7343" w:type="dxa"/>
            <w:noWrap w:val="0"/>
            <w:vAlign w:val="center"/>
          </w:tcPr>
          <w:p>
            <w:pPr>
              <w:spacing w:line="260" w:lineRule="exact"/>
              <w:jc w:val="center"/>
              <w:rPr>
                <w:rFonts w:ascii="宋体" w:hAnsi="宋体" w:cs="仿宋_GB2312"/>
                <w:b w:val="0"/>
                <w:bCs/>
                <w:szCs w:val="21"/>
              </w:rPr>
            </w:pPr>
            <w:r>
              <w:rPr>
                <w:rFonts w:hint="eastAsia" w:ascii="宋体" w:hAnsi="宋体" w:cs="仿宋_GB2312"/>
                <w:b w:val="0"/>
                <w:bCs/>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1729" w:type="dxa"/>
            <w:noWrap w:val="0"/>
            <w:vAlign w:val="center"/>
          </w:tcPr>
          <w:p>
            <w:pPr>
              <w:spacing w:line="260" w:lineRule="exact"/>
              <w:jc w:val="center"/>
              <w:rPr>
                <w:rFonts w:ascii="宋体" w:cs="仿宋_GB2312"/>
                <w:b w:val="0"/>
                <w:bCs/>
                <w:szCs w:val="21"/>
              </w:rPr>
            </w:pPr>
            <w:r>
              <w:rPr>
                <w:rFonts w:hint="eastAsia" w:ascii="宋体" w:hAnsi="宋体" w:cs="仿宋_GB2312"/>
                <w:b w:val="0"/>
                <w:bCs/>
                <w:szCs w:val="21"/>
              </w:rPr>
              <w:t>权力项目名称</w:t>
            </w:r>
          </w:p>
        </w:tc>
        <w:tc>
          <w:tcPr>
            <w:tcW w:w="7343" w:type="dxa"/>
            <w:noWrap w:val="0"/>
            <w:vAlign w:val="center"/>
          </w:tcPr>
          <w:p>
            <w:pPr>
              <w:spacing w:line="260" w:lineRule="exact"/>
              <w:jc w:val="center"/>
              <w:rPr>
                <w:rFonts w:ascii="宋体" w:hAnsi="宋体" w:cs="仿宋_GB2312"/>
                <w:b w:val="0"/>
                <w:bCs/>
                <w:szCs w:val="21"/>
              </w:rPr>
            </w:pPr>
            <w:r>
              <w:rPr>
                <w:rFonts w:hint="eastAsia" w:ascii="宋体" w:hAnsi="宋体" w:cs="仿宋_GB2312"/>
                <w:b w:val="0"/>
                <w:bCs/>
                <w:szCs w:val="21"/>
              </w:rPr>
              <w:t>入河排污口设置审批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exact"/>
        </w:trPr>
        <w:tc>
          <w:tcPr>
            <w:tcW w:w="1729" w:type="dxa"/>
            <w:noWrap w:val="0"/>
            <w:vAlign w:val="center"/>
          </w:tcPr>
          <w:p>
            <w:pPr>
              <w:spacing w:line="260" w:lineRule="exact"/>
              <w:jc w:val="center"/>
              <w:rPr>
                <w:rFonts w:ascii="宋体" w:cs="仿宋_GB2312"/>
                <w:b w:val="0"/>
                <w:bCs/>
                <w:szCs w:val="21"/>
              </w:rPr>
            </w:pPr>
            <w:r>
              <w:rPr>
                <w:rFonts w:hint="eastAsia" w:ascii="宋体" w:hAnsi="宋体" w:cs="仿宋_GB2312"/>
                <w:b w:val="0"/>
                <w:bCs/>
                <w:szCs w:val="21"/>
              </w:rPr>
              <w:t>实施依据</w:t>
            </w:r>
          </w:p>
        </w:tc>
        <w:tc>
          <w:tcPr>
            <w:tcW w:w="7343" w:type="dxa"/>
            <w:noWrap w:val="0"/>
            <w:vAlign w:val="top"/>
          </w:tcPr>
          <w:p>
            <w:pPr>
              <w:spacing w:line="260" w:lineRule="exact"/>
              <w:rPr>
                <w:rFonts w:ascii="宋体" w:hAnsi="宋体" w:cs="仿宋_GB2312"/>
                <w:b w:val="0"/>
                <w:bCs/>
                <w:szCs w:val="21"/>
              </w:rPr>
            </w:pPr>
          </w:p>
          <w:p>
            <w:pPr>
              <w:spacing w:line="260" w:lineRule="exact"/>
              <w:rPr>
                <w:rFonts w:hint="eastAsia" w:ascii="宋体" w:hAnsi="宋体" w:cs="仿宋_GB2312"/>
                <w:b w:val="0"/>
                <w:bCs/>
                <w:szCs w:val="21"/>
              </w:rPr>
            </w:pPr>
            <w:r>
              <w:rPr>
                <w:rFonts w:hint="eastAsia" w:ascii="宋体" w:hAnsi="宋体" w:cs="仿宋_GB2312"/>
                <w:b w:val="0"/>
                <w:bCs/>
                <w:szCs w:val="21"/>
              </w:rPr>
              <w:t>《入河排污口监督管理办法》（水利部令第22号）第四条第一款“国务院水行政主管部门负责全国入河排污口监督管理的组织和指导工作，县级以上地方人民政府水行政主管部门和流域管理机构按照本办法规定的权限负责入河排污口设置和使用的监督管理工作。”</w:t>
            </w:r>
          </w:p>
          <w:p>
            <w:pPr>
              <w:spacing w:line="260" w:lineRule="exact"/>
              <w:rPr>
                <w:rFonts w:hint="eastAsia" w:ascii="宋体" w:hAnsi="宋体" w:cs="仿宋_GB2312"/>
                <w:b w:val="0"/>
                <w:bCs/>
                <w:szCs w:val="21"/>
              </w:rPr>
            </w:pPr>
            <w:r>
              <w:rPr>
                <w:rFonts w:hint="eastAsia" w:ascii="宋体" w:hAnsi="宋体" w:cs="仿宋_GB2312"/>
                <w:b w:val="0"/>
                <w:bCs/>
                <w:color w:val="auto"/>
                <w:szCs w:val="21"/>
              </w:rPr>
              <w:t>根据中共巴中市委办公室 巴中市人民政府办公室关于印发《巴中市生态环境局职能配置、内设机构和人员编制规定》的通知（巴委办字〔2019〕74号），该项工作已移交市生态环境局。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29" w:type="dxa"/>
            <w:noWrap w:val="0"/>
            <w:vAlign w:val="center"/>
          </w:tcPr>
          <w:p>
            <w:pPr>
              <w:spacing w:line="260" w:lineRule="exact"/>
              <w:jc w:val="center"/>
              <w:rPr>
                <w:rFonts w:ascii="宋体" w:cs="仿宋_GB2312"/>
                <w:b w:val="0"/>
                <w:bCs/>
                <w:szCs w:val="21"/>
              </w:rPr>
            </w:pPr>
            <w:r>
              <w:rPr>
                <w:rFonts w:hint="eastAsia" w:ascii="宋体" w:hAnsi="宋体" w:cs="仿宋_GB2312"/>
                <w:b w:val="0"/>
                <w:bCs/>
                <w:szCs w:val="21"/>
              </w:rPr>
              <w:t>责任主体</w:t>
            </w:r>
          </w:p>
        </w:tc>
        <w:tc>
          <w:tcPr>
            <w:tcW w:w="7343" w:type="dxa"/>
            <w:noWrap w:val="0"/>
            <w:vAlign w:val="center"/>
          </w:tcPr>
          <w:p>
            <w:pPr>
              <w:spacing w:line="260" w:lineRule="exact"/>
              <w:jc w:val="center"/>
              <w:rPr>
                <w:rFonts w:ascii="宋体" w:hAnsi="宋体" w:cs="仿宋_GB2312"/>
                <w:b w:val="0"/>
                <w:bCs/>
                <w:szCs w:val="21"/>
              </w:rPr>
            </w:pPr>
            <w:r>
              <w:rPr>
                <w:rFonts w:hint="eastAsia" w:ascii="宋体" w:hAnsi="宋体" w:cs="仿宋_GB2312"/>
                <w:b w:val="0"/>
                <w:bCs/>
                <w:szCs w:val="21"/>
              </w:rPr>
              <w:t>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7" w:hRule="exact"/>
        </w:trPr>
        <w:tc>
          <w:tcPr>
            <w:tcW w:w="1729" w:type="dxa"/>
            <w:noWrap w:val="0"/>
            <w:vAlign w:val="center"/>
          </w:tcPr>
          <w:p>
            <w:pPr>
              <w:spacing w:line="260" w:lineRule="exact"/>
              <w:jc w:val="center"/>
              <w:rPr>
                <w:rFonts w:ascii="宋体" w:cs="仿宋_GB2312"/>
                <w:b w:val="0"/>
                <w:bCs/>
                <w:szCs w:val="21"/>
              </w:rPr>
            </w:pPr>
            <w:r>
              <w:rPr>
                <w:rFonts w:hint="eastAsia" w:ascii="宋体" w:hAnsi="宋体" w:cs="仿宋_GB2312"/>
                <w:b w:val="0"/>
                <w:bCs/>
                <w:szCs w:val="21"/>
              </w:rPr>
              <w:t>责任事项</w:t>
            </w:r>
          </w:p>
        </w:tc>
        <w:tc>
          <w:tcPr>
            <w:tcW w:w="7343" w:type="dxa"/>
            <w:noWrap w:val="0"/>
            <w:vAlign w:val="top"/>
          </w:tcPr>
          <w:p>
            <w:pPr>
              <w:spacing w:line="260" w:lineRule="exact"/>
              <w:rPr>
                <w:rFonts w:ascii="宋体" w:hAnsi="宋体" w:cs="仿宋_GB2312"/>
                <w:b w:val="0"/>
                <w:bCs/>
                <w:szCs w:val="21"/>
              </w:rPr>
            </w:pPr>
            <w:r>
              <w:rPr>
                <w:rFonts w:hint="eastAsia" w:ascii="宋体" w:hAnsi="宋体" w:cs="仿宋_GB2312"/>
                <w:b w:val="0"/>
                <w:bCs/>
                <w:szCs w:val="21"/>
              </w:rPr>
              <w:t>1、受理阶段责任：公示依法应当提交的材料；一次性告知补正材料；依法受理或不予受理（不予受理应当告知理由）。</w:t>
            </w:r>
          </w:p>
          <w:p>
            <w:pPr>
              <w:spacing w:line="260" w:lineRule="exact"/>
              <w:rPr>
                <w:rFonts w:ascii="宋体" w:hAnsi="宋体" w:cs="仿宋_GB2312"/>
                <w:b w:val="0"/>
                <w:bCs/>
                <w:szCs w:val="21"/>
              </w:rPr>
            </w:pPr>
            <w:r>
              <w:rPr>
                <w:rFonts w:hint="eastAsia" w:ascii="宋体" w:hAnsi="宋体" w:cs="仿宋_GB2312"/>
                <w:b w:val="0"/>
                <w:bCs/>
                <w:szCs w:val="21"/>
              </w:rPr>
              <w:t>2、审查阶段责任：材料审核；组织专家评审；根据需要征求部门意见、项目审批前公示；提出审查意见。</w:t>
            </w:r>
          </w:p>
          <w:p>
            <w:pPr>
              <w:spacing w:line="260" w:lineRule="exact"/>
              <w:rPr>
                <w:rFonts w:ascii="宋体" w:hAnsi="宋体" w:cs="仿宋_GB2312"/>
                <w:b w:val="0"/>
                <w:bCs/>
                <w:szCs w:val="21"/>
              </w:rPr>
            </w:pPr>
            <w:r>
              <w:rPr>
                <w:rFonts w:hint="eastAsia" w:ascii="宋体" w:hAnsi="宋体" w:cs="仿宋_GB2312"/>
                <w:b w:val="0"/>
                <w:bCs/>
                <w:szCs w:val="21"/>
              </w:rPr>
              <w:t>3、决定阶段责任：作出决定（不予行政许可的应当告知理由）；按时办结；法定告知。</w:t>
            </w:r>
          </w:p>
          <w:p>
            <w:pPr>
              <w:spacing w:line="260" w:lineRule="exact"/>
              <w:rPr>
                <w:rFonts w:ascii="宋体" w:hAnsi="宋体" w:cs="仿宋_GB2312"/>
                <w:b w:val="0"/>
                <w:bCs/>
                <w:szCs w:val="21"/>
              </w:rPr>
            </w:pPr>
            <w:r>
              <w:rPr>
                <w:rFonts w:hint="eastAsia" w:ascii="宋体" w:hAnsi="宋体" w:cs="仿宋_GB2312"/>
                <w:b w:val="0"/>
                <w:bCs/>
                <w:szCs w:val="21"/>
              </w:rPr>
              <w:t>4、送达阶段责任：制发送达文书；信息公开。</w:t>
            </w:r>
          </w:p>
          <w:p>
            <w:pPr>
              <w:spacing w:line="260" w:lineRule="exact"/>
              <w:rPr>
                <w:rFonts w:ascii="宋体" w:hAnsi="宋体" w:cs="仿宋_GB2312"/>
                <w:b w:val="0"/>
                <w:bCs/>
                <w:szCs w:val="21"/>
              </w:rPr>
            </w:pPr>
            <w:r>
              <w:rPr>
                <w:rFonts w:hint="eastAsia" w:ascii="宋体" w:hAnsi="宋体" w:cs="仿宋_GB2312"/>
                <w:b w:val="0"/>
                <w:bCs/>
                <w:szCs w:val="21"/>
              </w:rPr>
              <w:t>5、事后监管责任：加强入河排污口设置的监管检查。</w:t>
            </w:r>
          </w:p>
          <w:p>
            <w:pPr>
              <w:spacing w:line="260" w:lineRule="exact"/>
              <w:rPr>
                <w:rFonts w:ascii="宋体" w:hAnsi="宋体" w:cs="仿宋_GB2312"/>
                <w:b w:val="0"/>
                <w:bCs/>
                <w:szCs w:val="21"/>
              </w:rPr>
            </w:pPr>
            <w:r>
              <w:rPr>
                <w:rFonts w:hint="eastAsia" w:ascii="宋体" w:hAnsi="宋体" w:cs="仿宋_GB2312"/>
                <w:b w:val="0"/>
                <w:bCs/>
                <w:szCs w:val="21"/>
              </w:rPr>
              <w:t>6、其他法律法规政策规定应履行的责任。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29" w:type="dxa"/>
            <w:noWrap w:val="0"/>
            <w:vAlign w:val="center"/>
          </w:tcPr>
          <w:p>
            <w:pPr>
              <w:spacing w:line="260" w:lineRule="exact"/>
              <w:jc w:val="center"/>
              <w:rPr>
                <w:rFonts w:ascii="宋体" w:hAnsi="宋体" w:cs="仿宋_GB2312"/>
                <w:b w:val="0"/>
                <w:bCs/>
                <w:szCs w:val="21"/>
              </w:rPr>
            </w:pPr>
            <w:r>
              <w:rPr>
                <w:rFonts w:hint="eastAsia" w:ascii="宋体" w:hAnsi="宋体" w:cs="仿宋_GB2312"/>
                <w:b w:val="0"/>
                <w:bCs/>
                <w:szCs w:val="21"/>
              </w:rPr>
              <w:t>责任事项依据</w:t>
            </w:r>
          </w:p>
        </w:tc>
        <w:tc>
          <w:tcPr>
            <w:tcW w:w="7343" w:type="dxa"/>
            <w:noWrap w:val="0"/>
            <w:vAlign w:val="center"/>
          </w:tcPr>
          <w:p>
            <w:pPr>
              <w:spacing w:line="300" w:lineRule="exact"/>
              <w:rPr>
                <w:rFonts w:hint="eastAsia" w:ascii="宋体" w:hAnsi="宋体" w:cs="仿宋_GB2312"/>
                <w:b w:val="0"/>
                <w:bCs/>
                <w:szCs w:val="21"/>
              </w:rPr>
            </w:pPr>
            <w:r>
              <w:rPr>
                <w:rFonts w:hint="eastAsia" w:ascii="宋体" w:hAnsi="宋体" w:cs="仿宋_GB2312"/>
                <w:b w:val="0"/>
                <w:bCs/>
                <w:szCs w:val="21"/>
              </w:rPr>
              <w:t>1-1.《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spacing w:line="300" w:lineRule="exact"/>
              <w:rPr>
                <w:rFonts w:hint="eastAsia" w:ascii="宋体" w:hAnsi="宋体" w:cs="仿宋_GB2312"/>
                <w:b w:val="0"/>
                <w:bCs/>
                <w:szCs w:val="21"/>
              </w:rPr>
            </w:pPr>
            <w:r>
              <w:rPr>
                <w:rFonts w:hint="eastAsia" w:ascii="宋体" w:hAnsi="宋体" w:cs="仿宋_GB2312"/>
                <w:b w:val="0"/>
                <w:bCs/>
                <w:szCs w:val="21"/>
              </w:rPr>
              <w:t>1-2. 《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spacing w:line="300" w:lineRule="exact"/>
              <w:rPr>
                <w:rFonts w:hint="eastAsia" w:ascii="宋体" w:hAnsi="宋体" w:cs="仿宋_GB2312"/>
                <w:b w:val="0"/>
                <w:bCs/>
                <w:szCs w:val="21"/>
              </w:rPr>
            </w:pPr>
            <w:r>
              <w:rPr>
                <w:rFonts w:hint="eastAsia" w:ascii="宋体" w:hAnsi="宋体" w:cs="仿宋_GB2312"/>
                <w:b w:val="0"/>
                <w:bCs/>
                <w:szCs w:val="21"/>
              </w:rPr>
              <w:t>2. 《中华人民共和国行政许可法》第三十四条：行政机关应当对申请人提交的申请材料进行审查。申请人提交的申请材料齐全、符合法定形式，行政机关能够当场作出决定的，应当当场作出书面的行政许可决定。</w:t>
            </w:r>
          </w:p>
          <w:p>
            <w:pPr>
              <w:spacing w:line="300" w:lineRule="exact"/>
              <w:rPr>
                <w:rFonts w:ascii="宋体" w:hAnsi="宋体" w:cs="仿宋_GB2312"/>
                <w:b w:val="0"/>
                <w:bCs/>
                <w:szCs w:val="21"/>
              </w:rPr>
            </w:pPr>
            <w:r>
              <w:rPr>
                <w:rFonts w:hint="eastAsia" w:ascii="宋体" w:hAnsi="宋体" w:cs="仿宋_GB2312"/>
                <w:b w:val="0"/>
                <w:bCs/>
                <w:szCs w:val="21"/>
              </w:rPr>
              <w:t>3．《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spacing w:line="260" w:lineRule="exact"/>
              <w:jc w:val="left"/>
              <w:rPr>
                <w:rFonts w:ascii="宋体" w:hAnsi="宋体" w:cs="仿宋_GB2312"/>
                <w:b w:val="0"/>
                <w:bCs/>
                <w:szCs w:val="21"/>
              </w:rPr>
            </w:pPr>
            <w:r>
              <w:rPr>
                <w:rFonts w:hint="eastAsia" w:ascii="宋体" w:hAnsi="宋体" w:cs="仿宋_GB2312"/>
                <w:b w:val="0"/>
                <w:bCs/>
                <w:szCs w:val="21"/>
              </w:rPr>
              <w:t>4.</w:t>
            </w:r>
            <w:r>
              <w:rPr>
                <w:rFonts w:hint="eastAsia" w:ascii="仿宋_GB2312" w:eastAsia="仿宋_GB2312"/>
                <w:b w:val="0"/>
                <w:bCs/>
                <w:sz w:val="24"/>
              </w:rPr>
              <w:t xml:space="preserve"> </w:t>
            </w:r>
            <w:r>
              <w:rPr>
                <w:rFonts w:hint="eastAsia" w:ascii="宋体" w:hAnsi="宋体" w:cs="仿宋_GB2312"/>
                <w:b w:val="0"/>
                <w:bCs/>
                <w:szCs w:val="21"/>
              </w:rPr>
              <w:t>《中华人民共和国行政许可法》第六十一条：行政机关应当建立健全监督制度，通过核查反映被许可人从事行政许可事项活动情况的有关材料，履行监督责任。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trPr>
        <w:tc>
          <w:tcPr>
            <w:tcW w:w="1729" w:type="dxa"/>
            <w:noWrap w:val="0"/>
            <w:vAlign w:val="center"/>
          </w:tcPr>
          <w:p>
            <w:pPr>
              <w:spacing w:line="260" w:lineRule="exact"/>
              <w:jc w:val="center"/>
              <w:rPr>
                <w:rFonts w:ascii="宋体" w:hAnsi="宋体" w:cs="仿宋_GB2312"/>
                <w:b w:val="0"/>
                <w:bCs/>
                <w:szCs w:val="21"/>
              </w:rPr>
            </w:pPr>
            <w:r>
              <w:rPr>
                <w:rFonts w:hint="eastAsia" w:ascii="宋体" w:hAnsi="宋体" w:cs="仿宋_GB2312"/>
                <w:b w:val="0"/>
                <w:bCs/>
                <w:szCs w:val="21"/>
              </w:rPr>
              <w:t>追责情形</w:t>
            </w:r>
          </w:p>
        </w:tc>
        <w:tc>
          <w:tcPr>
            <w:tcW w:w="7343" w:type="dxa"/>
            <w:noWrap w:val="0"/>
            <w:vAlign w:val="top"/>
          </w:tcPr>
          <w:p>
            <w:pPr>
              <w:spacing w:line="260" w:lineRule="exact"/>
              <w:rPr>
                <w:rFonts w:ascii="宋体" w:hAnsi="宋体" w:cs="仿宋_GB2312"/>
                <w:b w:val="0"/>
                <w:bCs/>
                <w:szCs w:val="21"/>
              </w:rPr>
            </w:pPr>
            <w:r>
              <w:rPr>
                <w:rFonts w:hint="eastAsia" w:ascii="宋体" w:hAnsi="宋体" w:cs="仿宋_GB2312"/>
                <w:b w:val="0"/>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因不履行或不正确履行行政职责，有下列情形的，行政机关及相关工作人员应承担相应责任：</w:t>
            </w:r>
          </w:p>
          <w:p>
            <w:pPr>
              <w:spacing w:line="260" w:lineRule="exact"/>
              <w:rPr>
                <w:rFonts w:ascii="宋体" w:hAnsi="宋体" w:cs="仿宋_GB2312"/>
                <w:b w:val="0"/>
                <w:bCs/>
                <w:szCs w:val="21"/>
              </w:rPr>
            </w:pPr>
            <w:r>
              <w:rPr>
                <w:rFonts w:hint="eastAsia" w:ascii="宋体" w:hAnsi="宋体" w:cs="仿宋_GB2312"/>
                <w:b w:val="0"/>
                <w:bCs/>
                <w:szCs w:val="21"/>
              </w:rPr>
              <w:t>1、对符合法定条件的行政许可申请不予受理的；</w:t>
            </w:r>
          </w:p>
          <w:p>
            <w:pPr>
              <w:spacing w:line="260" w:lineRule="exact"/>
              <w:rPr>
                <w:rFonts w:ascii="宋体" w:hAnsi="宋体" w:cs="仿宋_GB2312"/>
                <w:b w:val="0"/>
                <w:bCs/>
                <w:szCs w:val="21"/>
              </w:rPr>
            </w:pPr>
            <w:r>
              <w:rPr>
                <w:rFonts w:hint="eastAsia" w:ascii="宋体" w:hAnsi="宋体" w:cs="仿宋_GB2312"/>
                <w:b w:val="0"/>
                <w:bCs/>
                <w:szCs w:val="21"/>
              </w:rPr>
              <w:t>2、未依法说明不受理行政许可申请或者不予行政许可理由的；</w:t>
            </w:r>
          </w:p>
          <w:p>
            <w:pPr>
              <w:spacing w:line="260" w:lineRule="exact"/>
              <w:rPr>
                <w:rFonts w:ascii="宋体" w:hAnsi="宋体" w:cs="仿宋_GB2312"/>
                <w:b w:val="0"/>
                <w:bCs/>
                <w:szCs w:val="21"/>
              </w:rPr>
            </w:pPr>
            <w:r>
              <w:rPr>
                <w:rFonts w:hint="eastAsia" w:ascii="宋体" w:hAnsi="宋体" w:cs="仿宋_GB2312"/>
                <w:b w:val="0"/>
                <w:bCs/>
                <w:szCs w:val="21"/>
              </w:rPr>
              <w:t>3、依法应当公开行政许可事项和申请所需材料而不公开的；</w:t>
            </w:r>
          </w:p>
          <w:p>
            <w:pPr>
              <w:spacing w:line="260" w:lineRule="exact"/>
              <w:rPr>
                <w:rFonts w:ascii="宋体" w:hAnsi="宋体" w:cs="仿宋_GB2312"/>
                <w:b w:val="0"/>
                <w:bCs/>
                <w:szCs w:val="21"/>
              </w:rPr>
            </w:pPr>
            <w:r>
              <w:rPr>
                <w:rFonts w:hint="eastAsia" w:ascii="宋体" w:hAnsi="宋体" w:cs="仿宋_GB2312"/>
                <w:b w:val="0"/>
                <w:bCs/>
                <w:szCs w:val="21"/>
              </w:rPr>
              <w:t>4、无法定依据实施行政许可或者超越法定权限作出行政许可决定的；</w:t>
            </w:r>
          </w:p>
          <w:p>
            <w:pPr>
              <w:spacing w:line="260" w:lineRule="exact"/>
              <w:rPr>
                <w:rFonts w:ascii="宋体" w:hAnsi="宋体" w:cs="仿宋_GB2312"/>
                <w:b w:val="0"/>
                <w:bCs/>
                <w:szCs w:val="21"/>
              </w:rPr>
            </w:pPr>
            <w:r>
              <w:rPr>
                <w:rFonts w:hint="eastAsia" w:ascii="宋体" w:hAnsi="宋体" w:cs="仿宋_GB2312"/>
                <w:b w:val="0"/>
                <w:bCs/>
                <w:szCs w:val="21"/>
              </w:rPr>
              <w:t>5、超过法定期限或者违反法定程序实施行政许可的；</w:t>
            </w:r>
          </w:p>
          <w:p>
            <w:pPr>
              <w:spacing w:line="260" w:lineRule="exact"/>
              <w:rPr>
                <w:rFonts w:ascii="宋体" w:hAnsi="宋体" w:cs="仿宋_GB2312"/>
                <w:b w:val="0"/>
                <w:bCs/>
                <w:szCs w:val="21"/>
              </w:rPr>
            </w:pPr>
            <w:r>
              <w:rPr>
                <w:rFonts w:hint="eastAsia" w:ascii="宋体" w:hAnsi="宋体" w:cs="仿宋_GB2312"/>
                <w:b w:val="0"/>
                <w:bCs/>
                <w:szCs w:val="21"/>
              </w:rPr>
              <w:t>6、违法收取费用的；</w:t>
            </w:r>
          </w:p>
          <w:p>
            <w:pPr>
              <w:spacing w:line="260" w:lineRule="exact"/>
              <w:rPr>
                <w:rFonts w:ascii="宋体" w:hAnsi="宋体" w:cs="仿宋_GB2312"/>
                <w:b w:val="0"/>
                <w:bCs/>
                <w:szCs w:val="21"/>
              </w:rPr>
            </w:pPr>
            <w:r>
              <w:rPr>
                <w:rFonts w:hint="eastAsia" w:ascii="宋体" w:hAnsi="宋体" w:cs="仿宋_GB2312"/>
                <w:b w:val="0"/>
                <w:bCs/>
                <w:szCs w:val="21"/>
              </w:rPr>
              <w:t>7、行政许可后续监管不到位，造成严重后果的</w:t>
            </w:r>
          </w:p>
          <w:p>
            <w:pPr>
              <w:spacing w:line="260" w:lineRule="exact"/>
              <w:rPr>
                <w:rFonts w:ascii="宋体" w:hAnsi="宋体" w:cs="仿宋_GB2312"/>
                <w:b w:val="0"/>
                <w:bCs/>
                <w:szCs w:val="21"/>
              </w:rPr>
            </w:pPr>
            <w:r>
              <w:rPr>
                <w:rFonts w:hint="eastAsia" w:ascii="宋体" w:hAnsi="宋体" w:cs="仿宋_GB2312"/>
                <w:b w:val="0"/>
                <w:bCs/>
                <w:szCs w:val="21"/>
              </w:rPr>
              <w:t>8、符合听证条件，行政管理相对人要求听证，应予组织听证而不组织听证的；</w:t>
            </w:r>
          </w:p>
          <w:p>
            <w:pPr>
              <w:spacing w:line="260" w:lineRule="exact"/>
              <w:rPr>
                <w:rFonts w:ascii="宋体" w:hAnsi="宋体" w:cs="仿宋_GB2312"/>
                <w:b w:val="0"/>
                <w:bCs/>
                <w:szCs w:val="21"/>
              </w:rPr>
            </w:pPr>
            <w:r>
              <w:rPr>
                <w:rFonts w:hint="eastAsia" w:ascii="宋体" w:hAnsi="宋体" w:cs="仿宋_GB2312"/>
                <w:b w:val="0"/>
                <w:bCs/>
                <w:szCs w:val="21"/>
              </w:rPr>
              <w:t>9、其他违反法律法规规章文件规定的行为。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1729" w:type="dxa"/>
            <w:noWrap w:val="0"/>
            <w:vAlign w:val="center"/>
          </w:tcPr>
          <w:p>
            <w:pPr>
              <w:spacing w:line="260" w:lineRule="exact"/>
              <w:jc w:val="center"/>
              <w:rPr>
                <w:rFonts w:ascii="宋体" w:cs="仿宋_GB2312"/>
                <w:b w:val="0"/>
                <w:bCs/>
                <w:szCs w:val="21"/>
              </w:rPr>
            </w:pPr>
            <w:r>
              <w:rPr>
                <w:rFonts w:hint="eastAsia" w:ascii="宋体" w:hAnsi="宋体" w:cs="仿宋_GB2312"/>
                <w:b w:val="0"/>
                <w:bCs/>
                <w:szCs w:val="21"/>
              </w:rPr>
              <w:t>监督电话</w:t>
            </w:r>
          </w:p>
        </w:tc>
        <w:tc>
          <w:tcPr>
            <w:tcW w:w="7343" w:type="dxa"/>
            <w:noWrap w:val="0"/>
            <w:vAlign w:val="center"/>
          </w:tcPr>
          <w:p>
            <w:pPr>
              <w:spacing w:line="260" w:lineRule="exact"/>
              <w:jc w:val="center"/>
              <w:rPr>
                <w:rFonts w:hint="default" w:ascii="宋体" w:hAnsi="宋体" w:eastAsia="方正仿宋简体" w:cs="仿宋_GB2312"/>
                <w:b w:val="0"/>
                <w:bCs/>
                <w:szCs w:val="21"/>
                <w:lang w:val="en-US" w:eastAsia="zh-CN"/>
              </w:rPr>
            </w:pPr>
            <w:r>
              <w:rPr>
                <w:rFonts w:ascii="宋体" w:hAnsi="宋体" w:cs="仿宋_GB2312"/>
                <w:b w:val="0"/>
                <w:bCs/>
                <w:szCs w:val="21"/>
              </w:rPr>
              <w:t>(0</w:t>
            </w:r>
            <w:r>
              <w:rPr>
                <w:rFonts w:hint="eastAsia" w:ascii="宋体" w:hAnsi="宋体" w:cs="仿宋_GB2312"/>
                <w:b w:val="0"/>
                <w:bCs/>
                <w:szCs w:val="21"/>
              </w:rPr>
              <w:t>827</w:t>
            </w:r>
            <w:r>
              <w:rPr>
                <w:rFonts w:ascii="宋体" w:hAnsi="宋体" w:cs="仿宋_GB2312"/>
                <w:b w:val="0"/>
                <w:bCs/>
                <w:szCs w:val="21"/>
              </w:rPr>
              <w:t>)</w:t>
            </w:r>
            <w:r>
              <w:rPr>
                <w:rFonts w:hint="eastAsia" w:ascii="宋体" w:hAnsi="宋体" w:cs="仿宋_GB2312"/>
                <w:b w:val="0"/>
                <w:bCs/>
                <w:szCs w:val="21"/>
                <w:lang w:val="en-US" w:eastAsia="zh-CN"/>
              </w:rPr>
              <w:t>8589895</w:t>
            </w:r>
          </w:p>
        </w:tc>
      </w:tr>
    </w:tbl>
    <w:p>
      <w:pPr>
        <w:rPr>
          <w:rFonts w:asciiTheme="minorEastAsia" w:hAnsiTheme="minorEastAsia" w:eastAsiaTheme="minorEastAsia"/>
          <w:b/>
          <w:szCs w:val="2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E01"/>
    <w:rsid w:val="00005D3E"/>
    <w:rsid w:val="000656BA"/>
    <w:rsid w:val="000F07AD"/>
    <w:rsid w:val="00150070"/>
    <w:rsid w:val="00182B38"/>
    <w:rsid w:val="001D2459"/>
    <w:rsid w:val="00235C96"/>
    <w:rsid w:val="0024648F"/>
    <w:rsid w:val="0029308E"/>
    <w:rsid w:val="002F5590"/>
    <w:rsid w:val="00312C12"/>
    <w:rsid w:val="00335243"/>
    <w:rsid w:val="00335F47"/>
    <w:rsid w:val="003D4B5F"/>
    <w:rsid w:val="003E2B28"/>
    <w:rsid w:val="003F1B40"/>
    <w:rsid w:val="00407B5F"/>
    <w:rsid w:val="00441A7D"/>
    <w:rsid w:val="00466D90"/>
    <w:rsid w:val="00544585"/>
    <w:rsid w:val="005824DF"/>
    <w:rsid w:val="005F7555"/>
    <w:rsid w:val="00637AAA"/>
    <w:rsid w:val="006A7099"/>
    <w:rsid w:val="006D4F3E"/>
    <w:rsid w:val="00730270"/>
    <w:rsid w:val="0074581D"/>
    <w:rsid w:val="00774338"/>
    <w:rsid w:val="008500FA"/>
    <w:rsid w:val="00874AFF"/>
    <w:rsid w:val="008D6724"/>
    <w:rsid w:val="00934278"/>
    <w:rsid w:val="009450E9"/>
    <w:rsid w:val="009F69C1"/>
    <w:rsid w:val="00A333FA"/>
    <w:rsid w:val="00A3620C"/>
    <w:rsid w:val="00AD624F"/>
    <w:rsid w:val="00AF3D44"/>
    <w:rsid w:val="00B10D89"/>
    <w:rsid w:val="00B25E01"/>
    <w:rsid w:val="00B91E45"/>
    <w:rsid w:val="00C06EB9"/>
    <w:rsid w:val="00C837C7"/>
    <w:rsid w:val="00C90DCF"/>
    <w:rsid w:val="00D3207F"/>
    <w:rsid w:val="00DB69AF"/>
    <w:rsid w:val="00E461E6"/>
    <w:rsid w:val="00E57908"/>
    <w:rsid w:val="00E96EF6"/>
    <w:rsid w:val="00F30357"/>
    <w:rsid w:val="00F370AE"/>
    <w:rsid w:val="00FA45D4"/>
    <w:rsid w:val="00FC5654"/>
    <w:rsid w:val="0203095D"/>
    <w:rsid w:val="04096379"/>
    <w:rsid w:val="07D1416E"/>
    <w:rsid w:val="0A397FE9"/>
    <w:rsid w:val="0C3B24AF"/>
    <w:rsid w:val="0FEC44E4"/>
    <w:rsid w:val="110A2D44"/>
    <w:rsid w:val="128012D9"/>
    <w:rsid w:val="12CD5601"/>
    <w:rsid w:val="181522B3"/>
    <w:rsid w:val="19175400"/>
    <w:rsid w:val="1BB36258"/>
    <w:rsid w:val="1D807B1D"/>
    <w:rsid w:val="1F242899"/>
    <w:rsid w:val="1F5D700D"/>
    <w:rsid w:val="1F6A71B2"/>
    <w:rsid w:val="20952AA0"/>
    <w:rsid w:val="218831FA"/>
    <w:rsid w:val="23B43F0B"/>
    <w:rsid w:val="24AC3CE2"/>
    <w:rsid w:val="28535441"/>
    <w:rsid w:val="31060ACB"/>
    <w:rsid w:val="33F608FB"/>
    <w:rsid w:val="382E7709"/>
    <w:rsid w:val="390E4774"/>
    <w:rsid w:val="411E00E4"/>
    <w:rsid w:val="4162070B"/>
    <w:rsid w:val="42091522"/>
    <w:rsid w:val="4592511C"/>
    <w:rsid w:val="46382CA8"/>
    <w:rsid w:val="4691248A"/>
    <w:rsid w:val="488F5552"/>
    <w:rsid w:val="49830368"/>
    <w:rsid w:val="4FE37D77"/>
    <w:rsid w:val="503F3A92"/>
    <w:rsid w:val="52731E3A"/>
    <w:rsid w:val="572F7DFB"/>
    <w:rsid w:val="59075FD5"/>
    <w:rsid w:val="5A7022A1"/>
    <w:rsid w:val="5CFD71FD"/>
    <w:rsid w:val="5D2A7246"/>
    <w:rsid w:val="66E021C0"/>
    <w:rsid w:val="6B841E62"/>
    <w:rsid w:val="6E5C40FB"/>
    <w:rsid w:val="7097230D"/>
    <w:rsid w:val="712B3D51"/>
    <w:rsid w:val="775B3A7C"/>
    <w:rsid w:val="794906A1"/>
    <w:rsid w:val="7ADF04A3"/>
    <w:rsid w:val="7FAA23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2"/>
    <w:semiHidden/>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11"/>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locked/>
    <w:uiPriority w:val="22"/>
    <w:rPr>
      <w:b/>
      <w:bCs/>
    </w:rPr>
  </w:style>
  <w:style w:type="character" w:styleId="8">
    <w:name w:val="FollowedHyperlink"/>
    <w:basedOn w:val="6"/>
    <w:unhideWhenUsed/>
    <w:qFormat/>
    <w:uiPriority w:val="99"/>
    <w:rPr>
      <w:color w:val="303030"/>
      <w:u w:val="none"/>
    </w:rPr>
  </w:style>
  <w:style w:type="character" w:styleId="9">
    <w:name w:val="Emphasis"/>
    <w:basedOn w:val="6"/>
    <w:qFormat/>
    <w:locked/>
    <w:uiPriority w:val="0"/>
  </w:style>
  <w:style w:type="character" w:styleId="10">
    <w:name w:val="Hyperlink"/>
    <w:basedOn w:val="6"/>
    <w:unhideWhenUsed/>
    <w:qFormat/>
    <w:uiPriority w:val="99"/>
    <w:rPr>
      <w:color w:val="303030"/>
      <w:u w:val="none"/>
    </w:rPr>
  </w:style>
  <w:style w:type="character" w:customStyle="1" w:styleId="11">
    <w:name w:val="页眉 Char"/>
    <w:basedOn w:val="6"/>
    <w:link w:val="3"/>
    <w:semiHidden/>
    <w:qFormat/>
    <w:locked/>
    <w:uiPriority w:val="99"/>
    <w:rPr>
      <w:rFonts w:cs="Times New Roman"/>
      <w:sz w:val="18"/>
      <w:szCs w:val="18"/>
    </w:rPr>
  </w:style>
  <w:style w:type="character" w:customStyle="1" w:styleId="12">
    <w:name w:val="页脚 Char"/>
    <w:basedOn w:val="6"/>
    <w:link w:val="2"/>
    <w:semiHidden/>
    <w:qFormat/>
    <w:locked/>
    <w:uiPriority w:val="99"/>
    <w:rPr>
      <w:rFonts w:cs="Times New Roman"/>
      <w:sz w:val="18"/>
      <w:szCs w:val="18"/>
    </w:rPr>
  </w:style>
  <w:style w:type="paragraph" w:customStyle="1" w:styleId="13">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nav_icon5"/>
    <w:basedOn w:val="6"/>
    <w:qFormat/>
    <w:uiPriority w:val="0"/>
  </w:style>
  <w:style w:type="character" w:customStyle="1" w:styleId="15">
    <w:name w:val="nav_icon3"/>
    <w:basedOn w:val="6"/>
    <w:qFormat/>
    <w:uiPriority w:val="0"/>
  </w:style>
  <w:style w:type="character" w:customStyle="1" w:styleId="16">
    <w:name w:val="nav_icon7"/>
    <w:basedOn w:val="6"/>
    <w:qFormat/>
    <w:uiPriority w:val="0"/>
  </w:style>
  <w:style w:type="character" w:customStyle="1" w:styleId="17">
    <w:name w:val="nav_icon1"/>
    <w:basedOn w:val="6"/>
    <w:qFormat/>
    <w:uiPriority w:val="0"/>
  </w:style>
  <w:style w:type="character" w:customStyle="1" w:styleId="18">
    <w:name w:val="nav_icon9"/>
    <w:basedOn w:val="6"/>
    <w:qFormat/>
    <w:uiPriority w:val="0"/>
  </w:style>
  <w:style w:type="character" w:customStyle="1" w:styleId="19">
    <w:name w:val="nav_icon6"/>
    <w:basedOn w:val="6"/>
    <w:qFormat/>
    <w:uiPriority w:val="0"/>
  </w:style>
  <w:style w:type="character" w:customStyle="1" w:styleId="20">
    <w:name w:val="nav_icon8"/>
    <w:basedOn w:val="6"/>
    <w:qFormat/>
    <w:uiPriority w:val="0"/>
  </w:style>
  <w:style w:type="character" w:customStyle="1" w:styleId="21">
    <w:name w:val="nav_icon4"/>
    <w:basedOn w:val="6"/>
    <w:qFormat/>
    <w:uiPriority w:val="0"/>
  </w:style>
  <w:style w:type="character" w:customStyle="1" w:styleId="22">
    <w:name w:val="nav_icon2"/>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355</Words>
  <Characters>2027</Characters>
  <Lines>16</Lines>
  <Paragraphs>4</Paragraphs>
  <TotalTime>28</TotalTime>
  <ScaleCrop>false</ScaleCrop>
  <LinksUpToDate>false</LinksUpToDate>
  <CharactersWithSpaces>2378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2016-02-26T07:18:00Z</dcterms:created>
  <dc:creator>微软用户</dc:creator>
  <cp:lastModifiedBy>Administrator</cp:lastModifiedBy>
  <cp:lastPrinted>2020-08-10T02:29:00Z</cp:lastPrinted>
  <dcterms:modified xsi:type="dcterms:W3CDTF">2022-05-17T09:32:21Z</dcterms:modified>
  <dc:title>巴中市环境保护局恩阳区分局责任清单(行政许可类)</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