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附件1</w:t>
      </w:r>
    </w:p>
    <w:p>
      <w:pPr>
        <w:spacing w:line="560" w:lineRule="exact"/>
        <w:jc w:val="center"/>
        <w:rPr>
          <w:rFonts w:hint="eastAsia" w:ascii="方正小标宋_GBK" w:hAnsi="方正小标宋_GBK" w:eastAsia="方正小标宋_GBK" w:cs="方正小标宋_GBK"/>
          <w:szCs w:val="36"/>
        </w:rPr>
      </w:pPr>
      <w:r>
        <w:rPr>
          <w:rFonts w:hint="eastAsia" w:ascii="方正小标宋_GBK" w:hAnsi="方正小标宋_GBK" w:eastAsia="方正小标宋_GBK" w:cs="方正小标宋_GBK"/>
          <w:szCs w:val="36"/>
        </w:rPr>
        <w:t>关于开展</w:t>
      </w:r>
      <w:r>
        <w:rPr>
          <w:rFonts w:hint="eastAsia" w:ascii="方正小标宋_GBK" w:hAnsi="方正小标宋_GBK" w:eastAsia="方正小标宋_GBK" w:cs="方正小标宋_GBK"/>
          <w:szCs w:val="36"/>
          <w:lang w:val="en-US" w:eastAsia="zh-CN"/>
        </w:rPr>
        <w:t>恩阳区征地区片综合地价、地上附着物和青苗补偿标准更新制定</w:t>
      </w:r>
      <w:r>
        <w:rPr>
          <w:rFonts w:hint="eastAsia" w:ascii="方正小标宋_GBK" w:hAnsi="方正小标宋_GBK" w:eastAsia="方正小标宋_GBK" w:cs="方正小标宋_GBK"/>
          <w:szCs w:val="36"/>
        </w:rPr>
        <w:t>工作询价的函</w:t>
      </w:r>
    </w:p>
    <w:p>
      <w:pPr>
        <w:spacing w:line="560" w:lineRule="exact"/>
        <w:jc w:val="center"/>
        <w:rPr>
          <w:rFonts w:hint="default" w:ascii="Times New Roman" w:hAnsi="Times New Roman" w:eastAsia="仿宋_GB2312" w:cs="Times New Roman"/>
        </w:rPr>
      </w:pPr>
      <w:bookmarkStart w:id="0" w:name="_GoBack"/>
      <w:bookmarkEnd w:id="0"/>
    </w:p>
    <w:p>
      <w:pPr>
        <w:spacing w:line="560" w:lineRule="exact"/>
        <w:jc w:val="left"/>
        <w:rPr>
          <w:rFonts w:hint="default" w:ascii="Times New Roman" w:hAnsi="Times New Roman" w:eastAsia="仿宋_GB2312" w:cs="Times New Roman"/>
        </w:rPr>
      </w:pPr>
      <w:r>
        <w:rPr>
          <w:rFonts w:hint="default" w:ascii="Times New Roman" w:hAnsi="Times New Roman" w:eastAsia="仿宋_GB2312" w:cs="Times New Roman"/>
          <w:lang w:val="en-US" w:eastAsia="zh-CN"/>
        </w:rPr>
        <w:t>巴中市</w:t>
      </w:r>
      <w:r>
        <w:rPr>
          <w:rFonts w:hint="default" w:ascii="Times New Roman" w:hAnsi="Times New Roman" w:eastAsia="仿宋_GB2312" w:cs="Times New Roman"/>
        </w:rPr>
        <w:t>自然资源和规划局</w:t>
      </w:r>
      <w:r>
        <w:rPr>
          <w:rFonts w:hint="default" w:ascii="Times New Roman" w:hAnsi="Times New Roman" w:eastAsia="仿宋_GB2312" w:cs="Times New Roman"/>
          <w:lang w:val="en-US" w:eastAsia="zh-CN"/>
        </w:rPr>
        <w:t>恩阳分局</w:t>
      </w:r>
      <w:r>
        <w:rPr>
          <w:rFonts w:hint="default" w:ascii="Times New Roman" w:hAnsi="Times New Roman" w:eastAsia="仿宋_GB2312" w:cs="Times New Roman"/>
        </w:rPr>
        <w:t>：</w:t>
      </w:r>
    </w:p>
    <w:p>
      <w:pPr>
        <w:spacing w:line="560" w:lineRule="exact"/>
        <w:ind w:firstLine="640" w:firstLineChars="200"/>
        <w:jc w:val="both"/>
        <w:rPr>
          <w:rFonts w:hint="default" w:ascii="Times New Roman" w:hAnsi="Times New Roman" w:eastAsia="仿宋_GB2312" w:cs="Times New Roman"/>
        </w:rPr>
      </w:pPr>
      <w:r>
        <w:rPr>
          <w:rFonts w:hint="default" w:ascii="Times New Roman" w:hAnsi="Times New Roman" w:eastAsia="仿宋_GB2312" w:cs="Times New Roman"/>
        </w:rPr>
        <w:t>根据贵单位关于</w:t>
      </w:r>
      <w:r>
        <w:rPr>
          <w:rFonts w:hint="default" w:ascii="Times New Roman" w:hAnsi="Times New Roman" w:eastAsia="仿宋_GB2312" w:cs="Times New Roman"/>
          <w:lang w:val="en-US" w:eastAsia="zh-CN"/>
        </w:rPr>
        <w:t>开展恩阳区征地区片综合地价</w:t>
      </w:r>
      <w:r>
        <w:rPr>
          <w:rFonts w:hint="default" w:ascii="Times New Roman" w:hAnsi="Times New Roman" w:eastAsia="仿宋" w:cs="Times New Roman"/>
          <w:lang w:val="en-US" w:eastAsia="zh-CN"/>
        </w:rPr>
        <w:t>、地上附着物和青苗补偿标准更新</w:t>
      </w:r>
      <w:r>
        <w:rPr>
          <w:rFonts w:hint="default" w:ascii="Times New Roman" w:hAnsi="Times New Roman" w:eastAsia="仿宋_GB2312" w:cs="Times New Roman"/>
          <w:lang w:val="en-US" w:eastAsia="zh-CN"/>
        </w:rPr>
        <w:t>制定</w:t>
      </w:r>
      <w:r>
        <w:rPr>
          <w:rFonts w:hint="default" w:ascii="Times New Roman" w:hAnsi="Times New Roman" w:eastAsia="仿宋_GB2312" w:cs="Times New Roman"/>
        </w:rPr>
        <w:t>工作的询价公告，我单位依据询价清单所列内容及自身实际情况提出该项目编制报价为</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万</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大写</w:t>
      </w:r>
      <w:r>
        <w:rPr>
          <w:rFonts w:hint="default" w:ascii="Times New Roman" w:hAnsi="Times New Roman" w:eastAsia="仿宋_GB2312" w:cs="Times New Roman"/>
        </w:rPr>
        <w:t>：</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p>
    <w:p>
      <w:pPr>
        <w:spacing w:line="560" w:lineRule="exact"/>
        <w:ind w:firstLine="636"/>
        <w:jc w:val="left"/>
        <w:rPr>
          <w:rFonts w:hint="default" w:ascii="Times New Roman" w:hAnsi="Times New Roman" w:eastAsia="仿宋_GB2312" w:cs="Times New Roman"/>
        </w:rPr>
      </w:pPr>
      <w:r>
        <w:rPr>
          <w:rFonts w:hint="default" w:ascii="Times New Roman" w:hAnsi="Times New Roman" w:eastAsia="仿宋_GB2312" w:cs="Times New Roman"/>
        </w:rPr>
        <w:t>此函。</w:t>
      </w: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r>
        <w:rPr>
          <w:rFonts w:hint="default" w:ascii="Times New Roman" w:hAnsi="Times New Roman" w:eastAsia="仿宋_GB2312" w:cs="Times New Roman"/>
        </w:rPr>
        <w:t xml:space="preserve">                              ⅩⅩⅩⅩ（单位名称）</w:t>
      </w:r>
    </w:p>
    <w:p>
      <w:pPr>
        <w:spacing w:line="560" w:lineRule="exact"/>
        <w:ind w:firstLine="636"/>
        <w:jc w:val="left"/>
        <w:rPr>
          <w:rFonts w:hint="default" w:ascii="Times New Roman" w:hAnsi="Times New Roman" w:eastAsia="仿宋_GB2312" w:cs="Times New Roman"/>
        </w:rPr>
      </w:pPr>
      <w:r>
        <w:rPr>
          <w:rFonts w:hint="default" w:ascii="Times New Roman" w:hAnsi="Times New Roman" w:eastAsia="仿宋_GB2312" w:cs="Times New Roman"/>
        </w:rPr>
        <w:t xml:space="preserve">                                   年  月  日</w:t>
      </w: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0"/>
        <w:jc w:val="left"/>
        <w:rPr>
          <w:rFonts w:hint="default" w:ascii="Times New Roman" w:hAnsi="Times New Roman" w:eastAsia="仿宋_GB2312" w:cs="Times New Roman"/>
        </w:rPr>
      </w:pPr>
    </w:p>
    <w:tbl>
      <w:tblPr>
        <w:tblStyle w:val="2"/>
        <w:tblW w:w="0" w:type="auto"/>
        <w:tblInd w:w="96" w:type="dxa"/>
        <w:tblLayout w:type="fixed"/>
        <w:tblCellMar>
          <w:top w:w="0" w:type="dxa"/>
          <w:left w:w="108" w:type="dxa"/>
          <w:bottom w:w="0" w:type="dxa"/>
          <w:right w:w="108" w:type="dxa"/>
        </w:tblCellMar>
      </w:tblPr>
      <w:tblGrid>
        <w:gridCol w:w="1060"/>
        <w:gridCol w:w="1599"/>
        <w:gridCol w:w="3461"/>
        <w:gridCol w:w="1360"/>
        <w:gridCol w:w="1420"/>
      </w:tblGrid>
      <w:tr>
        <w:tblPrEx>
          <w:tblCellMar>
            <w:top w:w="0" w:type="dxa"/>
            <w:left w:w="108" w:type="dxa"/>
            <w:bottom w:w="0" w:type="dxa"/>
            <w:right w:w="108" w:type="dxa"/>
          </w:tblCellMar>
        </w:tblPrEx>
        <w:trPr>
          <w:trHeight w:val="480" w:hRule="atLeast"/>
        </w:trPr>
        <w:tc>
          <w:tcPr>
            <w:tcW w:w="8900" w:type="dxa"/>
            <w:gridSpan w:val="5"/>
            <w:tcBorders>
              <w:top w:val="nil"/>
              <w:left w:val="nil"/>
              <w:bottom w:val="single" w:color="auto" w:sz="4" w:space="0"/>
              <w:right w:val="nil"/>
            </w:tcBorders>
            <w:noWrap w:val="0"/>
            <w:vAlign w:val="center"/>
          </w:tcPr>
          <w:p>
            <w:pPr>
              <w:widowControl/>
              <w:jc w:val="left"/>
              <w:rPr>
                <w:rFonts w:hint="default" w:ascii="Times New Roman" w:hAnsi="Times New Roman" w:eastAsia="黑体" w:cs="Times New Roman"/>
                <w:bCs/>
                <w:color w:val="000000"/>
                <w:kern w:val="0"/>
                <w:sz w:val="28"/>
                <w:szCs w:val="28"/>
              </w:rPr>
            </w:pPr>
            <w:r>
              <w:rPr>
                <w:rFonts w:hint="default" w:ascii="Times New Roman" w:hAnsi="Times New Roman" w:eastAsia="黑体" w:cs="Times New Roman"/>
                <w:bCs/>
                <w:color w:val="000000"/>
                <w:kern w:val="0"/>
                <w:sz w:val="28"/>
                <w:szCs w:val="28"/>
              </w:rPr>
              <w:t>附件2</w:t>
            </w:r>
          </w:p>
          <w:p>
            <w:pPr>
              <w:widowControl/>
              <w:jc w:val="center"/>
              <w:rPr>
                <w:rFonts w:hint="default" w:ascii="Times New Roman" w:hAnsi="Times New Roman" w:cs="Times New Roman"/>
                <w:b/>
                <w:bCs/>
                <w:color w:val="000000"/>
                <w:kern w:val="0"/>
                <w:sz w:val="36"/>
                <w:szCs w:val="36"/>
              </w:rPr>
            </w:pPr>
            <w:r>
              <w:rPr>
                <w:rFonts w:hint="default" w:ascii="Times New Roman" w:hAnsi="Times New Roman" w:cs="Times New Roman"/>
                <w:b/>
                <w:bCs/>
                <w:color w:val="000000"/>
                <w:kern w:val="0"/>
                <w:sz w:val="36"/>
                <w:szCs w:val="36"/>
              </w:rPr>
              <w:t>询 价 清 单</w:t>
            </w:r>
          </w:p>
        </w:tc>
      </w:tr>
      <w:tr>
        <w:tblPrEx>
          <w:tblCellMar>
            <w:top w:w="0" w:type="dxa"/>
            <w:left w:w="108" w:type="dxa"/>
            <w:bottom w:w="0" w:type="dxa"/>
            <w:right w:w="108" w:type="dxa"/>
          </w:tblCellMar>
        </w:tblPrEx>
        <w:trPr>
          <w:trHeight w:val="576" w:hRule="atLeast"/>
        </w:trPr>
        <w:tc>
          <w:tcPr>
            <w:tcW w:w="10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序号</w:t>
            </w:r>
          </w:p>
        </w:tc>
        <w:tc>
          <w:tcPr>
            <w:tcW w:w="1599"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项 目</w:t>
            </w:r>
          </w:p>
        </w:tc>
        <w:tc>
          <w:tcPr>
            <w:tcW w:w="34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工作内容</w:t>
            </w:r>
          </w:p>
        </w:tc>
        <w:tc>
          <w:tcPr>
            <w:tcW w:w="13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提交成果</w:t>
            </w:r>
          </w:p>
        </w:tc>
        <w:tc>
          <w:tcPr>
            <w:tcW w:w="14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报价(万元)</w:t>
            </w:r>
          </w:p>
        </w:tc>
      </w:tr>
      <w:tr>
        <w:tblPrEx>
          <w:tblCellMar>
            <w:top w:w="0" w:type="dxa"/>
            <w:left w:w="108" w:type="dxa"/>
            <w:bottom w:w="0" w:type="dxa"/>
            <w:right w:w="108" w:type="dxa"/>
          </w:tblCellMar>
        </w:tblPrEx>
        <w:trPr>
          <w:trHeight w:val="2197" w:hRule="atLeast"/>
        </w:trPr>
        <w:tc>
          <w:tcPr>
            <w:tcW w:w="106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w:t>
            </w:r>
          </w:p>
        </w:tc>
        <w:tc>
          <w:tcPr>
            <w:tcW w:w="159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default" w:ascii="Times New Roman" w:hAnsi="Times New Roman" w:cs="Times New Roman"/>
                <w:color w:val="000000"/>
                <w:kern w:val="0"/>
                <w:sz w:val="22"/>
                <w:lang w:val="en-US" w:eastAsia="zh-CN"/>
              </w:rPr>
              <w:t>恩阳区征地区片综合地价、更新制定</w:t>
            </w:r>
          </w:p>
        </w:tc>
        <w:tc>
          <w:tcPr>
            <w:tcW w:w="3461" w:type="dxa"/>
            <w:vMerge w:val="restart"/>
            <w:tcBorders>
              <w:top w:val="nil"/>
              <w:left w:val="nil"/>
              <w:right w:val="single" w:color="auto" w:sz="4" w:space="0"/>
            </w:tcBorders>
            <w:noWrap w:val="0"/>
            <w:vAlign w:val="center"/>
          </w:tcPr>
          <w:p>
            <w:pPr>
              <w:widowControl/>
              <w:jc w:val="center"/>
              <w:rPr>
                <w:rFonts w:hint="default" w:ascii="Times New Roman" w:hAnsi="Times New Roman" w:eastAsia="宋体" w:cs="Times New Roman"/>
                <w:kern w:val="0"/>
                <w:sz w:val="22"/>
                <w:lang w:val="en-US" w:eastAsia="zh-CN"/>
              </w:rPr>
            </w:pPr>
            <w:r>
              <w:rPr>
                <w:rFonts w:hint="default" w:ascii="Times New Roman" w:hAnsi="Times New Roman" w:cs="Times New Roman"/>
                <w:color w:val="000000"/>
                <w:kern w:val="0"/>
                <w:sz w:val="22"/>
                <w:lang w:val="en-US" w:eastAsia="zh-CN"/>
              </w:rPr>
              <w:t>完成恩阳区辖区内征地区片综合地价、地上附着物和青苗补偿标准更新的制定与报批。</w:t>
            </w:r>
          </w:p>
        </w:tc>
        <w:tc>
          <w:tcPr>
            <w:tcW w:w="1360" w:type="dxa"/>
            <w:vMerge w:val="restart"/>
            <w:tcBorders>
              <w:top w:val="nil"/>
              <w:left w:val="nil"/>
              <w:right w:val="single" w:color="auto" w:sz="4" w:space="0"/>
            </w:tcBorders>
            <w:noWrap w:val="0"/>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按照省、市要求，将成果报省人民政府获批</w:t>
            </w: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1440" w:hRule="atLeast"/>
        </w:trPr>
        <w:tc>
          <w:tcPr>
            <w:tcW w:w="106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w:t>
            </w:r>
          </w:p>
        </w:tc>
        <w:tc>
          <w:tcPr>
            <w:tcW w:w="159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地上附着物和青苗补偿标准更新制定</w:t>
            </w:r>
          </w:p>
        </w:tc>
        <w:tc>
          <w:tcPr>
            <w:tcW w:w="3461" w:type="dxa"/>
            <w:vMerge w:val="continue"/>
            <w:tcBorders>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rPr>
            </w:pPr>
          </w:p>
        </w:tc>
        <w:tc>
          <w:tcPr>
            <w:tcW w:w="1360" w:type="dxa"/>
            <w:vMerge w:val="continue"/>
            <w:tcBorders>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876" w:hRule="atLeast"/>
        </w:trPr>
        <w:tc>
          <w:tcPr>
            <w:tcW w:w="7480" w:type="dxa"/>
            <w:gridSpan w:val="4"/>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合  计</w:t>
            </w: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888" w:hRule="atLeast"/>
        </w:trPr>
        <w:tc>
          <w:tcPr>
            <w:tcW w:w="8900" w:type="dxa"/>
            <w:gridSpan w:val="5"/>
            <w:tcBorders>
              <w:top w:val="single" w:color="auto" w:sz="4" w:space="0"/>
              <w:left w:val="nil"/>
              <w:bottom w:val="nil"/>
              <w:right w:val="nil"/>
            </w:tcBorders>
            <w:noWrap w:val="0"/>
            <w:vAlign w:val="center"/>
          </w:tcPr>
          <w:p>
            <w:pPr>
              <w:widowControl/>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备注：1.报价人可结合自身情况和根据相关要求补充完善询价清单，但询价清单中前</w:t>
            </w:r>
            <w:r>
              <w:rPr>
                <w:rFonts w:hint="default" w:ascii="Times New Roman" w:hAnsi="Times New Roman" w:cs="Times New Roman"/>
                <w:color w:val="000000"/>
                <w:kern w:val="0"/>
                <w:sz w:val="22"/>
                <w:lang w:val="en-US" w:eastAsia="zh-CN"/>
              </w:rPr>
              <w:t>1</w:t>
            </w:r>
            <w:r>
              <w:rPr>
                <w:rFonts w:hint="default" w:ascii="Times New Roman" w:hAnsi="Times New Roman" w:cs="Times New Roman"/>
                <w:color w:val="000000"/>
                <w:kern w:val="0"/>
                <w:sz w:val="22"/>
              </w:rPr>
              <w:t>项为必填内容；2.清单中所列事项报价应包含为完成该项工作所必需的所有费用，含资料打印费、专家评审费、会议费、差旅费等。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OTJlZDgwZTRlOWM3YmY3NDJmYjUwN2UwMGVkYjgifQ=="/>
  </w:docVars>
  <w:rsids>
    <w:rsidRoot w:val="26321841"/>
    <w:rsid w:val="2632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366</Words>
  <Characters>371</Characters>
  <Lines>0</Lines>
  <Paragraphs>0</Paragraphs>
  <TotalTime>0</TotalTime>
  <ScaleCrop>false</ScaleCrop>
  <LinksUpToDate>false</LinksUpToDate>
  <CharactersWithSpaces>481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2022-06-10T08:04:00Z</dcterms:created>
  <dc:creator>国土信息中心:王友福</dc:creator>
  <cp:lastModifiedBy>国土信息中心:王友福</cp:lastModifiedBy>
  <dcterms:modified xsi:type="dcterms:W3CDTF">2022-06-10T08:09:25Z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495FA4D97FF6401B88486639A6F32F33</vt:lpwstr>
  </property>
</Properties>
</file>