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overflowPunct w:val="0"/>
        <w:spacing w:line="576"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w:t>
      </w:r>
      <w:bookmarkStart w:id="0" w:name="_GoBack"/>
      <w:bookmarkEnd w:id="0"/>
    </w:p>
    <w:tbl>
      <w:tblPr>
        <w:tblStyle w:val="2"/>
        <w:tblW w:w="9060" w:type="dxa"/>
        <w:tblInd w:w="92" w:type="dxa"/>
        <w:tblLayout w:type="fixed"/>
        <w:tblCellMar>
          <w:top w:w="0" w:type="dxa"/>
          <w:left w:w="108" w:type="dxa"/>
          <w:bottom w:w="0" w:type="dxa"/>
          <w:right w:w="108" w:type="dxa"/>
        </w:tblCellMar>
      </w:tblPr>
      <w:tblGrid>
        <w:gridCol w:w="618"/>
        <w:gridCol w:w="582"/>
        <w:gridCol w:w="659"/>
        <w:gridCol w:w="429"/>
        <w:gridCol w:w="2912"/>
        <w:gridCol w:w="3180"/>
        <w:gridCol w:w="680"/>
      </w:tblGrid>
      <w:tr>
        <w:tblPrEx>
          <w:tblCellMar>
            <w:top w:w="0" w:type="dxa"/>
            <w:left w:w="108" w:type="dxa"/>
            <w:bottom w:w="0" w:type="dxa"/>
            <w:right w:w="108" w:type="dxa"/>
          </w:tblCellMar>
        </w:tblPrEx>
        <w:trPr>
          <w:trHeight w:val="450" w:hRule="atLeast"/>
        </w:trPr>
        <w:tc>
          <w:tcPr>
            <w:tcW w:w="9060" w:type="dxa"/>
            <w:gridSpan w:val="7"/>
            <w:tcBorders>
              <w:top w:val="nil"/>
              <w:left w:val="nil"/>
              <w:bottom w:val="nil"/>
              <w:right w:val="nil"/>
            </w:tcBorders>
            <w:shd w:val="clear" w:color="auto" w:fill="auto"/>
            <w:noWrap/>
            <w:vAlign w:val="center"/>
          </w:tcPr>
          <w:p>
            <w:pPr>
              <w:overflowPunct w:val="0"/>
              <w:spacing w:line="400" w:lineRule="exact"/>
              <w:jc w:val="center"/>
              <w:rPr>
                <w:rFonts w:hint="eastAsia" w:eastAsia="黑体"/>
                <w:color w:val="000000"/>
                <w:kern w:val="0"/>
                <w:sz w:val="36"/>
                <w:szCs w:val="36"/>
                <w:lang w:eastAsia="zh-CN"/>
              </w:rPr>
            </w:pPr>
            <w:r>
              <w:rPr>
                <w:rFonts w:eastAsia="黑体"/>
                <w:color w:val="000000"/>
                <w:kern w:val="0"/>
                <w:sz w:val="36"/>
                <w:szCs w:val="36"/>
              </w:rPr>
              <w:t>2022年区级部门整体支出绩效评价</w:t>
            </w:r>
            <w:r>
              <w:rPr>
                <w:rFonts w:hint="eastAsia" w:eastAsia="黑体"/>
                <w:color w:val="000000"/>
                <w:kern w:val="0"/>
                <w:sz w:val="36"/>
                <w:szCs w:val="36"/>
                <w:lang w:eastAsia="zh-CN"/>
              </w:rPr>
              <w:t>自评表</w:t>
            </w:r>
          </w:p>
        </w:tc>
      </w:tr>
      <w:tr>
        <w:tblPrEx>
          <w:tblCellMar>
            <w:top w:w="0" w:type="dxa"/>
            <w:left w:w="108" w:type="dxa"/>
            <w:bottom w:w="0" w:type="dxa"/>
            <w:right w:w="108" w:type="dxa"/>
          </w:tblCellMar>
        </w:tblPrEx>
        <w:trPr>
          <w:trHeight w:val="480" w:hRule="atLeast"/>
        </w:trPr>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一级指标</w:t>
            </w: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二级指标</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三级指标</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分值</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评价内容</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评价标准及计算方法</w:t>
            </w:r>
          </w:p>
        </w:tc>
        <w:tc>
          <w:tcPr>
            <w:tcW w:w="6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评价得分</w:t>
            </w:r>
          </w:p>
        </w:tc>
      </w:tr>
      <w:tr>
        <w:tblPrEx>
          <w:tblCellMar>
            <w:top w:w="0" w:type="dxa"/>
            <w:left w:w="108" w:type="dxa"/>
            <w:bottom w:w="0" w:type="dxa"/>
            <w:right w:w="108" w:type="dxa"/>
          </w:tblCellMar>
        </w:tblPrEx>
        <w:trPr>
          <w:trHeight w:val="285" w:hRule="atLeast"/>
        </w:trPr>
        <w:tc>
          <w:tcPr>
            <w:tcW w:w="838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eastAsia="方正仿宋简体"/>
                <w:b/>
                <w:bCs/>
                <w:color w:val="000000"/>
                <w:kern w:val="0"/>
                <w:sz w:val="18"/>
                <w:szCs w:val="18"/>
              </w:rPr>
            </w:pPr>
            <w:r>
              <w:rPr>
                <w:rFonts w:eastAsia="方正仿宋简体"/>
                <w:b/>
                <w:bCs/>
                <w:color w:val="000000"/>
                <w:kern w:val="0"/>
                <w:sz w:val="18"/>
                <w:szCs w:val="18"/>
              </w:rPr>
              <w:t>　</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基础工作管理（30分）</w:t>
            </w: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组织机构完善</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包括成立各种相应的组织机构</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成立相应组织机构、内控岗位设置合理得4分，组织机构不健全、内控岗位设置不合理相应扣分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管理制度完善</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包括制定财政资金管理办法、内控制度，会计核算制度等管理制度</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管理制度完善4分，制度不够完善相应扣分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hint="eastAsia" w:eastAsia="方正仿宋简体"/>
                <w:color w:val="000000"/>
                <w:kern w:val="0"/>
                <w:sz w:val="18"/>
                <w:szCs w:val="18"/>
                <w:lang w:eastAsia="zh-CN"/>
              </w:rPr>
            </w:pPr>
            <w:r>
              <w:rPr>
                <w:rFonts w:hint="eastAsia" w:eastAsia="方正仿宋简体"/>
                <w:color w:val="000000"/>
                <w:kern w:val="0"/>
                <w:sz w:val="18"/>
                <w:szCs w:val="18"/>
                <w:lang w:eastAsia="zh-CN"/>
              </w:rPr>
              <w:t>4</w:t>
            </w: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部门制定的管理制度合法、合规、完整</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制度合法、合规、完整4分，反之相应扣分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部门制定的内控制度得到有效执行</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有效执行4分，未能有效执行相应扣分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指标体系完善</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部门制定的项目预算支出评价个性指标体系健全</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个性指标体系健全2分，指标体系不够健全相应扣分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宣传培训</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部门对绩效评价工作开展的宣传培训</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开展了宣传培训2分，未能全面开展宣传培训相应扣分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nil"/>
              <w:left w:val="single" w:color="auto" w:sz="4" w:space="0"/>
              <w:bottom w:val="nil"/>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会计核算</w:t>
            </w:r>
          </w:p>
        </w:tc>
        <w:tc>
          <w:tcPr>
            <w:tcW w:w="659" w:type="dxa"/>
            <w:tcBorders>
              <w:top w:val="nil"/>
              <w:left w:val="nil"/>
              <w:bottom w:val="nil"/>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会计核算及时</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会计核算及时，日清月结的得2分，核算不及时的相应扣分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1</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nil"/>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nil"/>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会计核算规范</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会计核算规范、科目使用准确、原始发票及附件充分、分项目核算的得5分，否则相应扣分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285"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会计档案规范</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会计档案整理规范的得3分，不规范的相应扣分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72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绩效目标管理（15分）</w:t>
            </w:r>
          </w:p>
        </w:tc>
        <w:tc>
          <w:tcPr>
            <w:tcW w:w="58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绩效目标合理性　</w:t>
            </w:r>
          </w:p>
        </w:tc>
        <w:tc>
          <w:tcPr>
            <w:tcW w:w="659" w:type="dxa"/>
            <w:tcBorders>
              <w:top w:val="single" w:color="auto" w:sz="4" w:space="0"/>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绩效目标管理符合国家法律法规、国民经济和社会发展总体规划</w:t>
            </w:r>
          </w:p>
        </w:tc>
        <w:tc>
          <w:tcPr>
            <w:tcW w:w="3180" w:type="dxa"/>
            <w:tcBorders>
              <w:top w:val="single" w:color="auto" w:sz="4" w:space="0"/>
              <w:left w:val="nil"/>
              <w:bottom w:val="single" w:color="auto" w:sz="4" w:space="0"/>
              <w:right w:val="single" w:color="auto" w:sz="4" w:space="0"/>
            </w:tcBorders>
            <w:shd w:val="clear" w:color="000000" w:fill="FFFFFF"/>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绩效目标符合相关法规和总体规划2分，绩效目标不够合理的相应扣分</w:t>
            </w:r>
          </w:p>
        </w:tc>
        <w:tc>
          <w:tcPr>
            <w:tcW w:w="680" w:type="dxa"/>
            <w:tcBorders>
              <w:top w:val="nil"/>
              <w:left w:val="single" w:color="auto" w:sz="4" w:space="0"/>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绩效目标符合部门“三定”方案确定的职责</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绩效目标符合部分“三定”方案2分，不符合相应扣分</w:t>
            </w:r>
          </w:p>
        </w:tc>
        <w:tc>
          <w:tcPr>
            <w:tcW w:w="680" w:type="dxa"/>
            <w:tcBorders>
              <w:top w:val="nil"/>
              <w:left w:val="single" w:color="auto" w:sz="4" w:space="0"/>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000000" w:fill="FFFFFF"/>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360" w:lineRule="exact"/>
              <w:jc w:val="left"/>
              <w:rPr>
                <w:rFonts w:eastAsia="方正仿宋简体"/>
                <w:color w:val="000000"/>
                <w:spacing w:val="-6"/>
                <w:kern w:val="0"/>
                <w:sz w:val="18"/>
                <w:szCs w:val="18"/>
              </w:rPr>
            </w:pPr>
            <w:r>
              <w:rPr>
                <w:rFonts w:eastAsia="方正仿宋简体"/>
                <w:color w:val="000000"/>
                <w:spacing w:val="-6"/>
                <w:kern w:val="0"/>
                <w:sz w:val="18"/>
                <w:szCs w:val="18"/>
              </w:rPr>
              <w:t>绩效目标符合部门制定的中长期规划</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360" w:lineRule="exact"/>
              <w:jc w:val="left"/>
              <w:rPr>
                <w:rFonts w:eastAsia="方正仿宋简体"/>
                <w:color w:val="000000"/>
                <w:spacing w:val="-11"/>
                <w:w w:val="90"/>
                <w:kern w:val="0"/>
                <w:sz w:val="15"/>
                <w:szCs w:val="15"/>
              </w:rPr>
            </w:pPr>
            <w:r>
              <w:rPr>
                <w:rFonts w:eastAsia="方正仿宋简体"/>
                <w:color w:val="000000"/>
                <w:spacing w:val="-11"/>
                <w:w w:val="90"/>
                <w:kern w:val="0"/>
                <w:sz w:val="15"/>
                <w:szCs w:val="15"/>
              </w:rPr>
              <w:t>绩效目标符合部门制定的中长期规划2分，不符合相应扣分</w:t>
            </w:r>
          </w:p>
        </w:tc>
        <w:tc>
          <w:tcPr>
            <w:tcW w:w="680" w:type="dxa"/>
            <w:tcBorders>
              <w:top w:val="nil"/>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72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绩效目标覆盖率　</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部门绩效目标覆盖率达到年度预算布置的要求</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绩效目标覆盖率＝实际申报绩效目标项目资金额/部门项目预算资金总额×100%。每低于10个百分点扣1分，扣完为止</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4</w:t>
            </w:r>
          </w:p>
        </w:tc>
      </w:tr>
      <w:tr>
        <w:tblPrEx>
          <w:tblCellMar>
            <w:top w:w="0" w:type="dxa"/>
            <w:left w:w="108" w:type="dxa"/>
            <w:bottom w:w="0" w:type="dxa"/>
            <w:right w:w="108" w:type="dxa"/>
          </w:tblCellMar>
        </w:tblPrEx>
        <w:trPr>
          <w:trHeight w:val="48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绩效指标明确性　</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绩效目标申报表的填写完整</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申报表填写完整2分，不够完整相应扣分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绩效指标设置清晰、可衡量</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绩效指标设置清晰、可衡量2分，反之相应扣分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绩效指标与本年度部门预算资金相匹配 </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绩效指标与资金相匹配1分，不完全匹配相应扣分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center"/>
              <w:rPr>
                <w:rFonts w:hint="eastAsia" w:eastAsia="方正仿宋简体"/>
                <w:color w:val="000000"/>
                <w:kern w:val="0"/>
                <w:sz w:val="18"/>
                <w:szCs w:val="18"/>
                <w:lang w:val="en-US" w:eastAsia="zh-CN"/>
              </w:rPr>
            </w:pPr>
            <w:r>
              <w:rPr>
                <w:rFonts w:hint="eastAsia" w:eastAsia="方正仿宋简体"/>
                <w:color w:val="000000"/>
                <w:kern w:val="0"/>
                <w:sz w:val="18"/>
                <w:szCs w:val="18"/>
                <w:lang w:val="en-US" w:eastAsia="zh-CN"/>
              </w:rPr>
              <w:t>1</w:t>
            </w:r>
          </w:p>
        </w:tc>
      </w:tr>
      <w:tr>
        <w:tblPrEx>
          <w:tblCellMar>
            <w:top w:w="0" w:type="dxa"/>
            <w:left w:w="108" w:type="dxa"/>
            <w:bottom w:w="0" w:type="dxa"/>
            <w:right w:w="108" w:type="dxa"/>
          </w:tblCellMar>
        </w:tblPrEx>
        <w:trPr>
          <w:trHeight w:val="72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绩效运行监控</w:t>
            </w: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绩效运行监控（25分）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预算完成率</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部门支出预算完成程度</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年初预算完成率＝（年度支出预算完成数/年初支出预算数）×100%。年初预算完成率＝100%为达到要求。每低于要求2个百分点扣1分，扣完为止</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r>
              <w:rPr>
                <w:rFonts w:hint="eastAsia" w:eastAsia="方正仿宋简体"/>
                <w:color w:val="000000"/>
                <w:kern w:val="0"/>
                <w:sz w:val="18"/>
                <w:szCs w:val="18"/>
                <w:lang w:val="en-US" w:eastAsia="zh-CN"/>
              </w:rPr>
              <w:t>1</w:t>
            </w:r>
          </w:p>
          <w:p>
            <w:pPr>
              <w:overflowPunct w:val="0"/>
              <w:spacing w:line="400" w:lineRule="exact"/>
              <w:jc w:val="center"/>
              <w:rPr>
                <w:rFonts w:eastAsia="方正仿宋简体"/>
                <w:color w:val="000000"/>
                <w:kern w:val="0"/>
                <w:sz w:val="18"/>
                <w:szCs w:val="18"/>
              </w:rPr>
            </w:pPr>
          </w:p>
          <w:p>
            <w:pPr>
              <w:overflowPunct w:val="0"/>
              <w:spacing w:line="400" w:lineRule="exact"/>
              <w:jc w:val="center"/>
              <w:rPr>
                <w:rFonts w:eastAsia="方正仿宋简体"/>
                <w:color w:val="000000"/>
                <w:kern w:val="0"/>
                <w:sz w:val="18"/>
                <w:szCs w:val="18"/>
              </w:rPr>
            </w:pPr>
          </w:p>
        </w:tc>
      </w:tr>
      <w:tr>
        <w:tblPrEx>
          <w:tblCellMar>
            <w:top w:w="0" w:type="dxa"/>
            <w:left w:w="108" w:type="dxa"/>
            <w:bottom w:w="0" w:type="dxa"/>
            <w:right w:w="108" w:type="dxa"/>
          </w:tblCellMar>
        </w:tblPrEx>
        <w:trPr>
          <w:trHeight w:val="72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项目预算调整变动率　</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部门项目预算的调整程度</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预算调整变动率＝（项目预算调整数/年初项目预算数）×100%。预算调整变动率＝0为达到要求。每高于要求10个百分点扣1分，扣完为止</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16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政府采购执行率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部门政府采购预算执行情况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政府采购执行率=（实际政府采购金额/政府采购预算数）×100%。政府采购执行率＝100%为达到要求。每高于或低于5个百分点扣1分，扣完为止。（若单位没有政府采购预算且没有发生实际采购行为得3分；若预算单位没有政府采购预算但发生实际采购行为的得0分；若预算单位有政府采购预算但没发生实际采购行的为得0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 xml:space="preserve">三公经费控制率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方正仿宋简体"/>
                <w:color w:val="000000"/>
                <w:kern w:val="0"/>
                <w:sz w:val="16"/>
                <w:szCs w:val="16"/>
              </w:rPr>
            </w:pPr>
            <w:r>
              <w:rPr>
                <w:rFonts w:eastAsia="方正仿宋简体"/>
                <w:color w:val="000000"/>
                <w:kern w:val="0"/>
                <w:sz w:val="16"/>
                <w:szCs w:val="16"/>
              </w:rPr>
              <w:t>部门“三公经费”控制程度</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方正仿宋简体"/>
                <w:color w:val="000000"/>
                <w:kern w:val="0"/>
                <w:sz w:val="16"/>
                <w:szCs w:val="16"/>
              </w:rPr>
            </w:pPr>
            <w:r>
              <w:rPr>
                <w:rFonts w:eastAsia="方正仿宋简体"/>
                <w:color w:val="000000"/>
                <w:kern w:val="0"/>
                <w:sz w:val="16"/>
                <w:szCs w:val="16"/>
              </w:rPr>
              <w:t>“三公经费”控制率＝（“三公经费”实际支出数/“三公经费”预算安排数）×100%。“三公经费”控制率≤100%为达到要求得5分。每高于要求2个百分点扣1分，扣完为止</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72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资产管理</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部门资产管理信息系统建设情况</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考核部门和单位将国有资产纳入资产信息系统管理情况,已建好部门资产管理信息系统得1分，未建好的0分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1</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部门资产清理核实开展情况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考核部门和单位已按要求及时、真实、准确、全面开展资产清查、核实情况得2分，反之0分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部门资产登记、上报及管理情况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考核部门和单位已经对国有资产登记、上报，并出台管理办法、制度等措施得2分，已登记、上报但未出台管理办法措施得1分，未登记、上报未出台管理办法措施0分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预决算信息公开</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按规定内容、时限公开预算信息</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按规定公开预算信息得2分，未按规定公开相应扣减分数</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按规定内容、时限公开决算信息</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按规定公开决算信息得2分，未按规定公开相应扣减分数</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2</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绩效评价实施（15分）</w:t>
            </w: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部门项目自评率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000000" w:fill="FFFFFF"/>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部门实施绩效评价项目覆盖情况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项目自评率＝自评项目数/项目总数×100%。按项目自评率得分。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96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资金评价覆盖率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部门绩效评价项目资金覆盖情况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项目资金覆盖率=实施绩效评价项目资金额/部门项目预算资金总额×100%。绩效评价资金覆盖率100%得5分；每低于要求10个百分点扣1分，扣完为止</w:t>
            </w:r>
          </w:p>
        </w:tc>
        <w:tc>
          <w:tcPr>
            <w:tcW w:w="6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评价质量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部门绩效评价质量情况</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根据评价工作开展情况、评价报告质量、资料收集情况等综合评分</w:t>
            </w:r>
          </w:p>
        </w:tc>
        <w:tc>
          <w:tcPr>
            <w:tcW w:w="6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5</w:t>
            </w:r>
          </w:p>
        </w:tc>
      </w:tr>
      <w:tr>
        <w:tblPrEx>
          <w:tblCellMar>
            <w:top w:w="0" w:type="dxa"/>
            <w:left w:w="108" w:type="dxa"/>
            <w:bottom w:w="0" w:type="dxa"/>
            <w:right w:w="108" w:type="dxa"/>
          </w:tblCellMar>
        </w:tblPrEx>
        <w:trPr>
          <w:trHeight w:val="48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评价结果应用（15分）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绩效公开</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绩效评价结果公开</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按要求将绩效评价结果在单位门户网站等公开的得3分，未按规定公开相应扣分</w:t>
            </w:r>
          </w:p>
        </w:tc>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eastAsia="方正仿宋简体"/>
                <w:color w:val="000000"/>
                <w:kern w:val="0"/>
                <w:sz w:val="18"/>
                <w:szCs w:val="18"/>
              </w:rPr>
            </w:pPr>
            <w:r>
              <w:rPr>
                <w:rFonts w:eastAsia="方正仿宋简体"/>
                <w:color w:val="000000"/>
                <w:kern w:val="0"/>
                <w:sz w:val="18"/>
                <w:szCs w:val="18"/>
              </w:rPr>
              <w:t>绩效管理问题整改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按要求全面整改到位</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上年绩效评价发现的问题全面整改到位的得3分，没有全面整改到位的按比例得分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72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其他监督检查问题整改</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按要求全面整改到位</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各级巡视巡察、纪检监察、审计、财政监督检查等发现问题全面整改到位的得3分，没有全面整改到位的按比例得分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绩效问责</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按规定实施绩效问责</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按规定实施绩效问责得3分，未按规定实施绩效问责相应扣分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项目调整</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根据绩效评价结果调整下年项目及金额</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按规定调整的得3分，未按规定实施绩效问责相应扣分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3</w:t>
            </w:r>
          </w:p>
        </w:tc>
      </w:tr>
      <w:tr>
        <w:tblPrEx>
          <w:tblCellMar>
            <w:top w:w="0" w:type="dxa"/>
            <w:left w:w="108" w:type="dxa"/>
            <w:bottom w:w="0" w:type="dxa"/>
            <w:right w:w="108" w:type="dxa"/>
          </w:tblCellMar>
        </w:tblPrEx>
        <w:trPr>
          <w:trHeight w:val="480" w:hRule="atLeast"/>
        </w:trPr>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绩效管理创新(+10分)</w:t>
            </w: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管理制度创新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在绩效评价过程中管理制度有创新</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在开展绩效评价过程中制定有关制度或者发表相关研究文章的相应得分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工作推进创新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在工作推进中有创新</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在推进自我评价、配合重点评价、完善个性指标体系方面的创新的相应得分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480" w:hRule="atLeast"/>
        </w:trPr>
        <w:tc>
          <w:tcPr>
            <w:tcW w:w="618" w:type="dxa"/>
            <w:vMerge w:val="continue"/>
            <w:tcBorders>
              <w:top w:val="nil"/>
              <w:left w:val="single" w:color="auto" w:sz="4" w:space="0"/>
              <w:bottom w:val="single" w:color="auto" w:sz="4" w:space="0"/>
              <w:right w:val="single" w:color="auto" w:sz="4" w:space="0"/>
            </w:tcBorders>
            <w:vAlign w:val="center"/>
          </w:tcPr>
          <w:p>
            <w:pPr>
              <w:overflowPunct w:val="0"/>
              <w:spacing w:line="400" w:lineRule="exact"/>
              <w:jc w:val="left"/>
              <w:rPr>
                <w:rFonts w:eastAsia="方正仿宋简体"/>
                <w:color w:val="000000"/>
                <w:kern w:val="0"/>
                <w:sz w:val="18"/>
                <w:szCs w:val="18"/>
              </w:rPr>
            </w:pPr>
          </w:p>
        </w:tc>
        <w:tc>
          <w:tcPr>
            <w:tcW w:w="582"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结果应用创新　　</w:t>
            </w:r>
          </w:p>
        </w:tc>
        <w:tc>
          <w:tcPr>
            <w:tcW w:w="65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nil"/>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在结果应用中有创新</w:t>
            </w:r>
          </w:p>
        </w:tc>
        <w:tc>
          <w:tcPr>
            <w:tcW w:w="3180" w:type="dxa"/>
            <w:tcBorders>
              <w:top w:val="nil"/>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在评价结果公开、向政府报告等结果应用工作方面的创新的相应得分</w:t>
            </w:r>
          </w:p>
        </w:tc>
        <w:tc>
          <w:tcPr>
            <w:tcW w:w="680" w:type="dxa"/>
            <w:tcBorders>
              <w:top w:val="nil"/>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1200" w:hRule="atLeast"/>
        </w:trPr>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监督发现问题 (-10分)</w:t>
            </w:r>
          </w:p>
        </w:tc>
        <w:tc>
          <w:tcPr>
            <w:tcW w:w="58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违规问题</w:t>
            </w:r>
          </w:p>
        </w:tc>
        <w:tc>
          <w:tcPr>
            <w:tcW w:w="65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w:t>
            </w:r>
          </w:p>
        </w:tc>
        <w:tc>
          <w:tcPr>
            <w:tcW w:w="429"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-10</w:t>
            </w:r>
          </w:p>
        </w:tc>
        <w:tc>
          <w:tcPr>
            <w:tcW w:w="2912"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部门或个人存在违反《预算法》、《财政违法行为处罚处分条例》等相关法律法规并已受到处理处罚的情况</w:t>
            </w:r>
          </w:p>
        </w:tc>
        <w:tc>
          <w:tcPr>
            <w:tcW w:w="3180" w:type="dxa"/>
            <w:tcBorders>
              <w:top w:val="single" w:color="auto" w:sz="4" w:space="0"/>
              <w:left w:val="nil"/>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各级巡视巡察、纪检监察、审计、财政监督检查等发现问题的，每发现一类问题扣1分（多个部门发现的同类问题不重复扣分），涉及金额或社会影响较大的扣2--10分</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overflowPunct w:val="0"/>
              <w:spacing w:line="400" w:lineRule="exact"/>
              <w:jc w:val="left"/>
              <w:rPr>
                <w:rFonts w:hint="eastAsia" w:eastAsia="方正仿宋简体"/>
                <w:color w:val="000000"/>
                <w:kern w:val="0"/>
                <w:sz w:val="18"/>
                <w:szCs w:val="18"/>
                <w:lang w:val="en-US" w:eastAsia="zh-CN"/>
              </w:rPr>
            </w:pPr>
            <w:r>
              <w:rPr>
                <w:rFonts w:eastAsia="方正仿宋简体"/>
                <w:color w:val="000000"/>
                <w:kern w:val="0"/>
                <w:sz w:val="18"/>
                <w:szCs w:val="18"/>
              </w:rPr>
              <w:t>　</w:t>
            </w:r>
            <w:r>
              <w:rPr>
                <w:rFonts w:hint="eastAsia" w:eastAsia="方正仿宋简体"/>
                <w:color w:val="000000"/>
                <w:kern w:val="0"/>
                <w:sz w:val="18"/>
                <w:szCs w:val="18"/>
                <w:lang w:val="en-US" w:eastAsia="zh-CN"/>
              </w:rPr>
              <w:t>0</w:t>
            </w:r>
          </w:p>
        </w:tc>
      </w:tr>
      <w:tr>
        <w:tblPrEx>
          <w:tblCellMar>
            <w:top w:w="0" w:type="dxa"/>
            <w:left w:w="108" w:type="dxa"/>
            <w:bottom w:w="0" w:type="dxa"/>
            <w:right w:w="108" w:type="dxa"/>
          </w:tblCellMar>
        </w:tblPrEx>
        <w:trPr>
          <w:trHeight w:val="285" w:hRule="atLeast"/>
        </w:trPr>
        <w:tc>
          <w:tcPr>
            <w:tcW w:w="12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评价结论</w:t>
            </w:r>
          </w:p>
        </w:tc>
        <w:tc>
          <w:tcPr>
            <w:tcW w:w="659" w:type="dxa"/>
            <w:tcBorders>
              <w:top w:val="single" w:color="auto" w:sz="4" w:space="0"/>
              <w:left w:val="nil"/>
              <w:bottom w:val="single" w:color="auto" w:sz="4" w:space="0"/>
              <w:right w:val="nil"/>
            </w:tcBorders>
            <w:shd w:val="clear" w:color="auto" w:fill="auto"/>
            <w:noWrap/>
            <w:vAlign w:val="center"/>
          </w:tcPr>
          <w:p>
            <w:pPr>
              <w:overflowPunct w:val="0"/>
              <w:spacing w:line="400" w:lineRule="exact"/>
              <w:jc w:val="center"/>
              <w:rPr>
                <w:rFonts w:eastAsia="方正仿宋简体"/>
                <w:color w:val="000000"/>
                <w:kern w:val="0"/>
                <w:sz w:val="18"/>
                <w:szCs w:val="18"/>
              </w:rPr>
            </w:pPr>
            <w:r>
              <w:rPr>
                <w:rFonts w:hint="eastAsia" w:eastAsia="方正仿宋简体"/>
                <w:color w:val="000000"/>
                <w:kern w:val="0"/>
                <w:sz w:val="18"/>
                <w:szCs w:val="18"/>
                <w:lang w:eastAsia="zh-CN"/>
              </w:rPr>
              <w:t>优秀</w:t>
            </w:r>
            <w:r>
              <w:rPr>
                <w:rFonts w:eastAsia="方正仿宋简体"/>
                <w:color w:val="000000"/>
                <w:kern w:val="0"/>
                <w:sz w:val="18"/>
                <w:szCs w:val="18"/>
              </w:rPr>
              <w:t>　</w:t>
            </w:r>
          </w:p>
        </w:tc>
        <w:tc>
          <w:tcPr>
            <w:tcW w:w="72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400" w:lineRule="exact"/>
              <w:jc w:val="left"/>
              <w:rPr>
                <w:rFonts w:eastAsia="方正仿宋简体"/>
                <w:color w:val="000000"/>
                <w:kern w:val="0"/>
                <w:sz w:val="16"/>
                <w:szCs w:val="16"/>
              </w:rPr>
            </w:pPr>
            <w:r>
              <w:rPr>
                <w:rFonts w:eastAsia="方正仿宋简体"/>
                <w:color w:val="000000"/>
                <w:kern w:val="0"/>
                <w:sz w:val="16"/>
                <w:szCs w:val="16"/>
              </w:rPr>
              <w:t>总评分（Ｘ）　优秀（Ｘ≥90分)　良好（90＞Ｘ≥75分）合格（75分＞Ｘ≥60分）　不合格（Ｘ＜60分）</w:t>
            </w:r>
          </w:p>
        </w:tc>
      </w:tr>
    </w:tbl>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pPr>
        <w:tabs>
          <w:tab w:val="left" w:pos="1440"/>
        </w:tabs>
        <w:overflowPunct w:val="0"/>
        <w:spacing w:line="576" w:lineRule="exact"/>
        <w:rPr>
          <w:rFonts w:eastAsia="黑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ZGQ5MzkwZDZhNGYwYjM5M2Q3MDdiNmU1ZWE3NjQifQ=="/>
  </w:docVars>
  <w:rsids>
    <w:rsidRoot w:val="6E5E099A"/>
    <w:rsid w:val="22EF1790"/>
    <w:rsid w:val="2C31736C"/>
    <w:rsid w:val="2CF85D39"/>
    <w:rsid w:val="6E5E099A"/>
    <w:rsid w:val="79A0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2377</Words>
  <Characters>2451</Characters>
  <Lines>0</Lines>
  <Paragraphs>0</Paragraphs>
  <TotalTime>8</TotalTime>
  <ScaleCrop>false</ScaleCrop>
  <LinksUpToDate>false</LinksUpToDate>
  <CharactersWithSpaces>2533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2022-06-10T10:25:00Z</dcterms:created>
  <dc:creator>Administrator</dc:creator>
  <cp:lastModifiedBy>Administrator</cp:lastModifiedBy>
  <dcterms:modified xsi:type="dcterms:W3CDTF">2022-06-22T03:03:15Z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905E4F9D40FA496690248E9287EBAC31</vt:lpwstr>
  </property>
</Properties>
</file>