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04" w:type="dxa"/>
        <w:tblInd w:w="0" w:type="dxa"/>
        <w:tblLayout w:type="fixed"/>
        <w:tblCellMar>
          <w:top w:w="0" w:type="dxa"/>
          <w:left w:w="108" w:type="dxa"/>
          <w:bottom w:w="0" w:type="dxa"/>
          <w:right w:w="108" w:type="dxa"/>
        </w:tblCellMar>
      </w:tblPr>
      <w:tblGrid>
        <w:gridCol w:w="101"/>
        <w:gridCol w:w="565"/>
        <w:gridCol w:w="545"/>
        <w:gridCol w:w="504"/>
        <w:gridCol w:w="1012"/>
        <w:gridCol w:w="2067"/>
        <w:gridCol w:w="3054"/>
        <w:gridCol w:w="393"/>
        <w:gridCol w:w="763"/>
      </w:tblGrid>
      <w:tr>
        <w:tblPrEx>
          <w:tblCellMar>
            <w:top w:w="0" w:type="dxa"/>
            <w:left w:w="108" w:type="dxa"/>
            <w:bottom w:w="0" w:type="dxa"/>
            <w:right w:w="108" w:type="dxa"/>
          </w:tblCellMar>
        </w:tblPrEx>
        <w:trPr>
          <w:gridBefore w:val="1"/>
          <w:wBefore w:w="101" w:type="dxa"/>
          <w:trHeight w:val="90" w:hRule="atLeast"/>
        </w:trPr>
        <w:tc>
          <w:tcPr>
            <w:tcW w:w="8903" w:type="dxa"/>
            <w:gridSpan w:val="8"/>
            <w:tcBorders>
              <w:top w:val="nil"/>
              <w:left w:val="nil"/>
              <w:right w:val="nil"/>
            </w:tcBorders>
            <w:shd w:val="clear" w:color="auto" w:fill="auto"/>
            <w:vAlign w:val="center"/>
          </w:tcPr>
          <w:p>
            <w:pPr>
              <w:overflowPunct w:val="0"/>
              <w:spacing w:line="400" w:lineRule="exact"/>
              <w:jc w:val="left"/>
              <w:rPr>
                <w:rFonts w:hint="eastAsia" w:eastAsia="黑体"/>
                <w:color w:val="000000"/>
                <w:sz w:val="32"/>
                <w:szCs w:val="32"/>
                <w:lang w:val="en-US" w:eastAsia="zh-CN"/>
              </w:rPr>
            </w:pPr>
            <w:r>
              <w:rPr>
                <w:rFonts w:eastAsia="黑体"/>
                <w:color w:val="000000"/>
                <w:sz w:val="32"/>
                <w:szCs w:val="32"/>
              </w:rPr>
              <w:t>附件</w:t>
            </w:r>
            <w:r>
              <w:rPr>
                <w:rFonts w:hint="eastAsia" w:eastAsia="黑体"/>
                <w:color w:val="000000"/>
                <w:sz w:val="32"/>
                <w:szCs w:val="32"/>
                <w:lang w:val="en-US" w:eastAsia="zh-CN"/>
              </w:rPr>
              <w:t>:</w:t>
            </w:r>
          </w:p>
          <w:p>
            <w:pPr>
              <w:overflowPunct w:val="0"/>
              <w:spacing w:line="400" w:lineRule="exact"/>
              <w:ind w:firstLine="1446" w:firstLineChars="400"/>
              <w:rPr>
                <w:rFonts w:hint="eastAsia" w:eastAsia="方正小标宋简体"/>
                <w:b/>
                <w:bCs/>
                <w:color w:val="000000"/>
                <w:kern w:val="0"/>
                <w:sz w:val="36"/>
                <w:szCs w:val="36"/>
                <w:lang w:eastAsia="zh-CN"/>
              </w:rPr>
            </w:pPr>
            <w:bookmarkStart w:id="0" w:name="_GoBack"/>
            <w:r>
              <w:rPr>
                <w:rFonts w:eastAsia="方正小标宋简体"/>
                <w:b/>
                <w:bCs/>
                <w:color w:val="000000"/>
                <w:kern w:val="0"/>
                <w:sz w:val="36"/>
                <w:szCs w:val="36"/>
              </w:rPr>
              <w:t>2022年区级财政项目支出绩效评价</w:t>
            </w:r>
            <w:r>
              <w:rPr>
                <w:rFonts w:hint="eastAsia" w:eastAsia="方正小标宋简体"/>
                <w:b/>
                <w:bCs/>
                <w:color w:val="000000"/>
                <w:kern w:val="0"/>
                <w:sz w:val="36"/>
                <w:szCs w:val="36"/>
                <w:lang w:eastAsia="zh-CN"/>
              </w:rPr>
              <w:t>自评表</w:t>
            </w:r>
            <w:bookmarkEnd w:id="0"/>
          </w:p>
        </w:tc>
      </w:tr>
      <w:tr>
        <w:tblPrEx>
          <w:tblCellMar>
            <w:top w:w="0" w:type="dxa"/>
            <w:left w:w="108" w:type="dxa"/>
            <w:bottom w:w="0" w:type="dxa"/>
            <w:right w:w="108" w:type="dxa"/>
          </w:tblCellMar>
        </w:tblPrEx>
        <w:trPr>
          <w:gridBefore w:val="1"/>
          <w:wBefore w:w="101" w:type="dxa"/>
          <w:trHeight w:val="32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b/>
                <w:bCs/>
                <w:color w:val="000000"/>
                <w:sz w:val="15"/>
                <w:szCs w:val="15"/>
              </w:rPr>
            </w:pPr>
            <w:r>
              <w:rPr>
                <w:b/>
                <w:bCs/>
                <w:color w:val="000000"/>
                <w:sz w:val="15"/>
                <w:szCs w:val="15"/>
              </w:rPr>
              <w:t>一级</w:t>
            </w:r>
          </w:p>
          <w:p>
            <w:pPr>
              <w:overflowPunct w:val="0"/>
              <w:spacing w:line="320" w:lineRule="exact"/>
              <w:jc w:val="center"/>
              <w:rPr>
                <w:b/>
                <w:bCs/>
                <w:color w:val="000000"/>
                <w:sz w:val="15"/>
                <w:szCs w:val="15"/>
              </w:rPr>
            </w:pPr>
            <w:r>
              <w:rPr>
                <w:b/>
                <w:bCs/>
                <w:color w:val="000000"/>
                <w:sz w:val="15"/>
                <w:szCs w:val="15"/>
              </w:rPr>
              <w:t>指标</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b/>
                <w:bCs/>
                <w:color w:val="000000"/>
                <w:sz w:val="15"/>
                <w:szCs w:val="15"/>
              </w:rPr>
            </w:pPr>
            <w:r>
              <w:rPr>
                <w:b/>
                <w:bCs/>
                <w:color w:val="000000"/>
                <w:sz w:val="15"/>
                <w:szCs w:val="15"/>
              </w:rPr>
              <w:t>二级</w:t>
            </w:r>
          </w:p>
          <w:p>
            <w:pPr>
              <w:overflowPunct w:val="0"/>
              <w:spacing w:line="320" w:lineRule="exact"/>
              <w:jc w:val="center"/>
              <w:rPr>
                <w:b/>
                <w:bCs/>
                <w:color w:val="000000"/>
                <w:sz w:val="15"/>
                <w:szCs w:val="15"/>
              </w:rPr>
            </w:pPr>
            <w:r>
              <w:rPr>
                <w:b/>
                <w:bCs/>
                <w:color w:val="000000"/>
                <w:sz w:val="15"/>
                <w:szCs w:val="15"/>
              </w:rPr>
              <w:t>指标</w:t>
            </w:r>
          </w:p>
        </w:tc>
        <w:tc>
          <w:tcPr>
            <w:tcW w:w="151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三级</w:t>
            </w:r>
          </w:p>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指标</w:t>
            </w:r>
          </w:p>
        </w:tc>
        <w:tc>
          <w:tcPr>
            <w:tcW w:w="2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评价内容</w:t>
            </w:r>
          </w:p>
        </w:tc>
        <w:tc>
          <w:tcPr>
            <w:tcW w:w="30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ind w:right="-134" w:rightChars="-64"/>
              <w:jc w:val="center"/>
              <w:rPr>
                <w:rFonts w:eastAsia="仿宋_GB2312"/>
                <w:b/>
                <w:bCs/>
                <w:color w:val="000000"/>
                <w:kern w:val="0"/>
                <w:sz w:val="16"/>
                <w:szCs w:val="16"/>
              </w:rPr>
            </w:pPr>
            <w:r>
              <w:rPr>
                <w:rFonts w:eastAsia="仿宋_GB2312"/>
                <w:b/>
                <w:bCs/>
                <w:color w:val="000000"/>
                <w:kern w:val="0"/>
                <w:sz w:val="16"/>
                <w:szCs w:val="16"/>
              </w:rPr>
              <w:t>评价标准</w:t>
            </w:r>
          </w:p>
        </w:tc>
        <w:tc>
          <w:tcPr>
            <w:tcW w:w="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评价  得分</w:t>
            </w:r>
          </w:p>
        </w:tc>
        <w:tc>
          <w:tcPr>
            <w:tcW w:w="763" w:type="dxa"/>
            <w:vMerge w:val="restart"/>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备注</w:t>
            </w:r>
          </w:p>
        </w:tc>
      </w:tr>
      <w:tr>
        <w:tblPrEx>
          <w:tblCellMar>
            <w:top w:w="0" w:type="dxa"/>
            <w:left w:w="108" w:type="dxa"/>
            <w:bottom w:w="0" w:type="dxa"/>
            <w:right w:w="108" w:type="dxa"/>
          </w:tblCellMar>
        </w:tblPrEx>
        <w:trPr>
          <w:gridBefore w:val="1"/>
          <w:wBefore w:w="101" w:type="dxa"/>
          <w:trHeight w:val="343"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3054"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393"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kern w:val="0"/>
                <w:sz w:val="20"/>
                <w:szCs w:val="20"/>
              </w:rPr>
            </w:pPr>
          </w:p>
        </w:tc>
        <w:tc>
          <w:tcPr>
            <w:tcW w:w="763" w:type="dxa"/>
            <w:vMerge w:val="continue"/>
            <w:tcBorders>
              <w:top w:val="single" w:color="auto" w:sz="4" w:space="0"/>
              <w:left w:val="nil"/>
              <w:bottom w:val="single" w:color="auto" w:sz="4" w:space="0"/>
              <w:right w:val="single" w:color="auto" w:sz="4" w:space="0"/>
            </w:tcBorders>
            <w:vAlign w:val="center"/>
          </w:tcPr>
          <w:p>
            <w:pPr>
              <w:overflowPunct w:val="0"/>
              <w:spacing w:line="320" w:lineRule="exact"/>
              <w:jc w:val="left"/>
              <w:rPr>
                <w:rFonts w:eastAsia="仿宋_GB2312"/>
                <w:b/>
                <w:bCs/>
                <w:kern w:val="0"/>
                <w:sz w:val="20"/>
                <w:szCs w:val="20"/>
              </w:rPr>
            </w:pPr>
          </w:p>
        </w:tc>
      </w:tr>
      <w:tr>
        <w:tblPrEx>
          <w:tblCellMar>
            <w:top w:w="0" w:type="dxa"/>
            <w:left w:w="108" w:type="dxa"/>
            <w:bottom w:w="0" w:type="dxa"/>
            <w:right w:w="108" w:type="dxa"/>
          </w:tblCellMar>
        </w:tblPrEx>
        <w:trPr>
          <w:gridBefore w:val="1"/>
          <w:wBefore w:w="101" w:type="dxa"/>
          <w:trHeight w:val="270" w:hRule="atLeast"/>
        </w:trPr>
        <w:tc>
          <w:tcPr>
            <w:tcW w:w="77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　评价得分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　</w:t>
            </w:r>
          </w:p>
        </w:tc>
        <w:tc>
          <w:tcPr>
            <w:tcW w:w="763"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　</w:t>
            </w: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项 目 决 策</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项目</w:t>
            </w:r>
          </w:p>
          <w:p>
            <w:pPr>
              <w:overflowPunct w:val="0"/>
              <w:spacing w:line="320" w:lineRule="exact"/>
              <w:jc w:val="center"/>
              <w:rPr>
                <w:color w:val="000000"/>
                <w:sz w:val="15"/>
                <w:szCs w:val="15"/>
              </w:rPr>
            </w:pPr>
            <w:r>
              <w:rPr>
                <w:color w:val="000000"/>
                <w:sz w:val="15"/>
                <w:szCs w:val="15"/>
              </w:rPr>
              <w:t>设立</w:t>
            </w:r>
          </w:p>
          <w:p>
            <w:pPr>
              <w:overflowPunct w:val="0"/>
              <w:spacing w:line="320" w:lineRule="exact"/>
              <w:jc w:val="center"/>
              <w:rPr>
                <w:color w:val="000000"/>
                <w:sz w:val="15"/>
                <w:szCs w:val="15"/>
              </w:rPr>
            </w:pPr>
            <w:r>
              <w:rPr>
                <w:color w:val="000000"/>
                <w:sz w:val="15"/>
                <w:szCs w:val="15"/>
              </w:rPr>
              <w:t>(5分)</w:t>
            </w:r>
          </w:p>
        </w:tc>
        <w:tc>
          <w:tcPr>
            <w:tcW w:w="151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立项</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依据</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1.项目设立是否有明确政策规定(0.5分)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有规定且当年必须安排(0.5分)；无明确规定(0分)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restart"/>
            <w:tcBorders>
              <w:top w:val="single" w:color="auto" w:sz="4" w:space="0"/>
              <w:left w:val="single" w:color="auto" w:sz="4" w:space="0"/>
              <w:right w:val="single" w:color="auto" w:sz="4" w:space="0"/>
            </w:tcBorders>
            <w:shd w:val="clear" w:color="auto" w:fill="auto"/>
          </w:tcPr>
          <w:p>
            <w:pPr>
              <w:overflowPunct w:val="0"/>
              <w:spacing w:line="320" w:lineRule="exact"/>
              <w:jc w:val="left"/>
              <w:rPr>
                <w:rFonts w:eastAsia="仿宋_GB2312"/>
                <w:kern w:val="0"/>
                <w:sz w:val="16"/>
                <w:szCs w:val="16"/>
              </w:rPr>
            </w:pPr>
            <w:r>
              <w:rPr>
                <w:rFonts w:eastAsia="仿宋_GB2312"/>
                <w:kern w:val="0"/>
                <w:sz w:val="16"/>
                <w:szCs w:val="16"/>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2.项目是否为促进事业发展所必需(1分)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围绕保障重点,紧扣发展大局(1分)；满足部门运转需要(0.5分)；不切合本地实际，实施效果较差（0分）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3.文件依据、相关资料提供是否完整、充分(1分)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资料完整、充分（1分）；有依据但提供不完整(0.5分)；未提供相关资料（0分）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立项</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程序</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1.是否按规定程序申请设立(0.5分)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符合相关程序（0.5分）；不符合相关程序（0分）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2.是否经过可研论证、风险评估、集体决策等(1分)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评估论证报告或决策记录完整(1分)；评估论证报告或决策记录不完整(0.5分)；未评估论证或集体决策（0分）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3.是否通过单位表决一致通过立项（1分）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有单位表决文件资料或会议记要（1分）；无任何资料（0分）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9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绩效</w:t>
            </w:r>
          </w:p>
          <w:p>
            <w:pPr>
              <w:overflowPunct w:val="0"/>
              <w:spacing w:line="320" w:lineRule="exact"/>
              <w:jc w:val="center"/>
              <w:rPr>
                <w:color w:val="000000"/>
                <w:sz w:val="15"/>
                <w:szCs w:val="15"/>
              </w:rPr>
            </w:pPr>
            <w:r>
              <w:rPr>
                <w:color w:val="000000"/>
                <w:sz w:val="15"/>
                <w:szCs w:val="15"/>
              </w:rPr>
              <w:t>目标</w:t>
            </w:r>
          </w:p>
          <w:p>
            <w:pPr>
              <w:overflowPunct w:val="0"/>
              <w:spacing w:line="320" w:lineRule="exact"/>
              <w:jc w:val="center"/>
              <w:rPr>
                <w:rFonts w:eastAsia="仿宋_GB2312"/>
                <w:color w:val="000000"/>
                <w:kern w:val="0"/>
                <w:sz w:val="16"/>
                <w:szCs w:val="16"/>
              </w:rPr>
            </w:pPr>
            <w:r>
              <w:rPr>
                <w:color w:val="000000"/>
                <w:sz w:val="15"/>
                <w:szCs w:val="15"/>
              </w:rPr>
              <w:t>(8分)</w:t>
            </w:r>
          </w:p>
        </w:tc>
        <w:tc>
          <w:tcPr>
            <w:tcW w:w="1516" w:type="dxa"/>
            <w:gridSpan w:val="2"/>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kern w:val="0"/>
                <w:sz w:val="16"/>
                <w:szCs w:val="16"/>
              </w:rPr>
            </w:pPr>
            <w:r>
              <w:rPr>
                <w:rFonts w:eastAsia="仿宋_GB2312"/>
                <w:kern w:val="0"/>
                <w:sz w:val="16"/>
                <w:szCs w:val="16"/>
              </w:rPr>
              <w:t>目标设定</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1.是否按年度计划编报绩效目标(1分)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已报送绩效计划且目标明确(1分)；已报送绩效计划但目标不明确(0.5分)；未报送绩效计划(0分)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10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2.绩效目标是否符合国家相关法律、法规、国民经济发展规划和市委、市政府决策(0.5分)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与文件规定或政府下达的任务数相一致(0.5分)；与文件规定或政府下达的任务数有差距(0分)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3.绩效目标是否符合客观实际，切实可行(0.5分)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单位申报数控制在财政审定数或实际完成数的2倍以内(0.5分)；大于2倍小于3倍（0.5分）；大于3倍（0分）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4.绩效目标是否清晰、细化、可衡量，相关指标能否恰当准确反映绩效目标完成程度（1分）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目标细化,指标具体、恰当(1分）；目标较粗略，考核指标不完整（0.5分）；目标未细化到具体指标（0分）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795"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516" w:type="dxa"/>
            <w:gridSpan w:val="2"/>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5.实施计划是否科学合理，并符合相关技术规范(1分)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符合相关规范且按计划实施(1分)；符合相关规范但实施进度与实际有差距(0.5分)；不符合相关技术规范（0分）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1128"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restart"/>
            <w:tcBorders>
              <w:top w:val="single" w:color="auto" w:sz="4" w:space="0"/>
              <w:left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restart"/>
            <w:tcBorders>
              <w:top w:val="single" w:color="auto" w:sz="4" w:space="0"/>
              <w:left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6.绩效目标管理措施是否得当，分工是否明确、责任是否落实(1分)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措施得当，分工明确，责任落实（1分）；有措施但分工不明确,责任不落实（0.5分）；无管理措施（0分）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7.预期产出和效益、效果是否符合正常业绩水平(1分)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符合（1分），基本符合（0.5分）；不符合（0分）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8.绩效目标是否与经费预算相衔接，是否符合当地发展水平(0.5分)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衔接紧密且符合实际(0.5分)；不相衔接且不符合实际(0分)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0.5</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目标</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调整</w:t>
            </w: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1.项目预算调整是否及时报送绩效目标调整方案(1分)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同步报送(1分)；未报送（0分）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2.目标修订或调整方案是否按程序报批和备案（0.5分）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按程序报批和备案（0.5分）；未报批、备案（0分）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经费</w:t>
            </w:r>
          </w:p>
          <w:p>
            <w:pPr>
              <w:overflowPunct w:val="0"/>
              <w:spacing w:line="320" w:lineRule="exact"/>
              <w:jc w:val="center"/>
              <w:rPr>
                <w:color w:val="000000"/>
                <w:sz w:val="15"/>
                <w:szCs w:val="15"/>
              </w:rPr>
            </w:pPr>
            <w:r>
              <w:rPr>
                <w:color w:val="000000"/>
                <w:sz w:val="15"/>
                <w:szCs w:val="15"/>
              </w:rPr>
              <w:t>安排</w:t>
            </w:r>
          </w:p>
          <w:p>
            <w:pPr>
              <w:overflowPunct w:val="0"/>
              <w:spacing w:line="320" w:lineRule="exact"/>
              <w:jc w:val="center"/>
              <w:rPr>
                <w:color w:val="000000"/>
                <w:sz w:val="15"/>
                <w:szCs w:val="15"/>
              </w:rPr>
            </w:pPr>
            <w:r>
              <w:rPr>
                <w:color w:val="000000"/>
                <w:sz w:val="15"/>
                <w:szCs w:val="15"/>
              </w:rPr>
              <w:t>(7分)</w:t>
            </w:r>
          </w:p>
        </w:tc>
        <w:tc>
          <w:tcPr>
            <w:tcW w:w="1012" w:type="dxa"/>
            <w:vMerge w:val="restart"/>
            <w:tcBorders>
              <w:top w:val="nil"/>
              <w:left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标准</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控制</w:t>
            </w: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1.经费测算是否符合有关要求和定额标准（0.5分）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符合(0.5分)；与相关规定和定额标准有差异(0分)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2.经费预算是否与财力水平相适应（1分）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单位申报额控制在财政审定或实际支出额的2倍以内（1分）；大于2倍小于3倍（0.5分）；大于3倍（0分）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3.是否体现厉行节约禁止铺张浪费有关规定（0.5分）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测算细致且有节支措施(0.5分)；经费测算随意性较大(0分)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4.经费预算是否与设定的绩效目标相符合（1分）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相符（1分）；基本相符（0.5分）；不相符（0分）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84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color w:val="000000"/>
                <w:sz w:val="15"/>
                <w:szCs w:val="15"/>
              </w:rPr>
              <w:t>项 目 决 策</w:t>
            </w:r>
          </w:p>
        </w:tc>
        <w:tc>
          <w:tcPr>
            <w:tcW w:w="10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color w:val="000000"/>
                <w:sz w:val="15"/>
                <w:szCs w:val="15"/>
              </w:rPr>
            </w:pPr>
            <w:r>
              <w:rPr>
                <w:color w:val="000000"/>
                <w:sz w:val="15"/>
                <w:szCs w:val="15"/>
              </w:rPr>
              <w:t>经费</w:t>
            </w:r>
          </w:p>
          <w:p>
            <w:pPr>
              <w:overflowPunct w:val="0"/>
              <w:spacing w:line="320" w:lineRule="exact"/>
              <w:jc w:val="left"/>
              <w:rPr>
                <w:color w:val="000000"/>
                <w:sz w:val="15"/>
                <w:szCs w:val="15"/>
              </w:rPr>
            </w:pPr>
            <w:r>
              <w:rPr>
                <w:color w:val="000000"/>
                <w:sz w:val="15"/>
                <w:szCs w:val="15"/>
              </w:rPr>
              <w:t>安排</w:t>
            </w:r>
          </w:p>
          <w:p>
            <w:pPr>
              <w:overflowPunct w:val="0"/>
              <w:spacing w:line="320" w:lineRule="exact"/>
              <w:jc w:val="left"/>
              <w:rPr>
                <w:rFonts w:eastAsia="仿宋_GB2312"/>
                <w:color w:val="000000"/>
                <w:kern w:val="0"/>
                <w:sz w:val="16"/>
                <w:szCs w:val="16"/>
              </w:rPr>
            </w:pPr>
            <w:r>
              <w:rPr>
                <w:color w:val="000000"/>
                <w:sz w:val="15"/>
                <w:szCs w:val="15"/>
              </w:rPr>
              <w:t>(7分)</w:t>
            </w: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预算</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约束</w:t>
            </w: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1.经费预算是否细化、具体、准确，具有可操作性（1分）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方案具体、细化，支出项目、金额有据可查(1分)；方案基本符合要求，支出项目、金额基本准确(0.5分)；方案粗略，开支项目、金额随意性较大(0分)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w:t>
            </w:r>
          </w:p>
        </w:tc>
        <w:tc>
          <w:tcPr>
            <w:tcW w:w="763" w:type="dxa"/>
            <w:vMerge w:val="restart"/>
            <w:tcBorders>
              <w:top w:val="single" w:color="auto" w:sz="4" w:space="0"/>
              <w:left w:val="single" w:color="auto" w:sz="4" w:space="0"/>
              <w:right w:val="single" w:color="auto" w:sz="4" w:space="0"/>
            </w:tcBorders>
            <w:shd w:val="clear" w:color="auto" w:fill="auto"/>
          </w:tcPr>
          <w:p>
            <w:pPr>
              <w:overflowPunct w:val="0"/>
              <w:spacing w:line="320" w:lineRule="exact"/>
              <w:rPr>
                <w:rFonts w:eastAsia="仿宋_GB2312"/>
                <w:kern w:val="0"/>
                <w:sz w:val="16"/>
                <w:szCs w:val="16"/>
              </w:rPr>
            </w:pPr>
            <w:r>
              <w:rPr>
                <w:rFonts w:eastAsia="仿宋_GB2312"/>
                <w:kern w:val="0"/>
                <w:sz w:val="16"/>
                <w:szCs w:val="16"/>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2.资金用途和开支范围是否明确(1分)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用途明确、范围具体(1分)；用途、范围基本明确(0.5分)；支出用途、范围不明确（0分）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3.资金支出进度是否明确、细化、科学合理(1分)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进度计划与项目实施衔接紧密(1分)；进度计划与项目实施基本保持一致(0.5分)；无进度计划(0分)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4.有无预算约束控制措施(1分)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措施完善、细化(1分)；有措施，但不具体(0.5分)；措施缺失(0分)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项</w:t>
            </w:r>
          </w:p>
          <w:p>
            <w:pPr>
              <w:overflowPunct w:val="0"/>
              <w:spacing w:line="280" w:lineRule="exact"/>
              <w:jc w:val="center"/>
              <w:rPr>
                <w:color w:val="000000"/>
                <w:sz w:val="15"/>
                <w:szCs w:val="15"/>
              </w:rPr>
            </w:pPr>
            <w:r>
              <w:rPr>
                <w:color w:val="000000"/>
                <w:sz w:val="15"/>
                <w:szCs w:val="15"/>
              </w:rPr>
              <w:t>目</w:t>
            </w:r>
          </w:p>
          <w:p>
            <w:pPr>
              <w:overflowPunct w:val="0"/>
              <w:spacing w:line="280" w:lineRule="exact"/>
              <w:jc w:val="center"/>
              <w:rPr>
                <w:color w:val="000000"/>
                <w:sz w:val="15"/>
                <w:szCs w:val="15"/>
              </w:rPr>
            </w:pPr>
            <w:r>
              <w:rPr>
                <w:color w:val="000000"/>
                <w:sz w:val="15"/>
                <w:szCs w:val="15"/>
              </w:rPr>
              <w:t>管</w:t>
            </w:r>
          </w:p>
          <w:p>
            <w:pPr>
              <w:overflowPunct w:val="0"/>
              <w:spacing w:line="280" w:lineRule="exact"/>
              <w:jc w:val="center"/>
              <w:rPr>
                <w:color w:val="000000"/>
                <w:sz w:val="15"/>
                <w:szCs w:val="15"/>
              </w:rPr>
            </w:pPr>
            <w:r>
              <w:rPr>
                <w:color w:val="000000"/>
                <w:sz w:val="15"/>
                <w:szCs w:val="15"/>
              </w:rPr>
              <w:t>理</w:t>
            </w:r>
          </w:p>
        </w:tc>
        <w:tc>
          <w:tcPr>
            <w:tcW w:w="1049"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业务</w:t>
            </w:r>
          </w:p>
          <w:p>
            <w:pPr>
              <w:overflowPunct w:val="0"/>
              <w:spacing w:line="280" w:lineRule="exact"/>
              <w:jc w:val="center"/>
              <w:rPr>
                <w:color w:val="000000"/>
                <w:sz w:val="15"/>
                <w:szCs w:val="15"/>
              </w:rPr>
            </w:pPr>
            <w:r>
              <w:rPr>
                <w:color w:val="000000"/>
                <w:sz w:val="15"/>
                <w:szCs w:val="15"/>
              </w:rPr>
              <w:t>管理</w:t>
            </w:r>
          </w:p>
          <w:p>
            <w:pPr>
              <w:overflowPunct w:val="0"/>
              <w:spacing w:line="280" w:lineRule="exact"/>
              <w:jc w:val="center"/>
              <w:rPr>
                <w:color w:val="000000"/>
                <w:sz w:val="15"/>
                <w:szCs w:val="15"/>
              </w:rPr>
            </w:pPr>
            <w:r>
              <w:rPr>
                <w:color w:val="000000"/>
                <w:sz w:val="15"/>
                <w:szCs w:val="15"/>
              </w:rPr>
              <w:t>(15分)</w:t>
            </w: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eastAsia="仿宋_GB2312"/>
                <w:color w:val="000000"/>
                <w:kern w:val="0"/>
                <w:sz w:val="16"/>
                <w:szCs w:val="16"/>
              </w:rPr>
            </w:pPr>
            <w:r>
              <w:rPr>
                <w:rFonts w:eastAsia="仿宋_GB2312"/>
                <w:color w:val="000000"/>
                <w:kern w:val="0"/>
                <w:sz w:val="16"/>
                <w:szCs w:val="16"/>
              </w:rPr>
              <w:t>制度</w:t>
            </w:r>
          </w:p>
          <w:p>
            <w:pPr>
              <w:overflowPunct w:val="0"/>
              <w:spacing w:line="240" w:lineRule="exact"/>
              <w:jc w:val="center"/>
              <w:rPr>
                <w:rFonts w:eastAsia="仿宋_GB2312"/>
                <w:color w:val="000000"/>
                <w:kern w:val="0"/>
                <w:sz w:val="16"/>
                <w:szCs w:val="16"/>
              </w:rPr>
            </w:pPr>
            <w:r>
              <w:rPr>
                <w:rFonts w:eastAsia="仿宋_GB2312"/>
                <w:color w:val="000000"/>
                <w:kern w:val="0"/>
                <w:sz w:val="16"/>
                <w:szCs w:val="16"/>
              </w:rPr>
              <w:t>建设</w:t>
            </w: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1.是否制定质量、进度和安全管理等监管制度（1分）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制度健全(1分)；有但不完善(0.5分)；未制定(0分)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55"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24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2.是否有相应的质量要求、安全规程和技术标准（1分）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已制定(1分)；未制定(0分)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24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3.内控措施是否健全，有无制度缺失或管理漏洞（1分）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制度健全有效（1分）；有内控制度但不完善（0.5分）；未制定且存在管理漏洞（0分）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185"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4.制度、措施是否符合法律、法规规定,是否符合行业规定或相关技术规范（1分）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符合（1分），基本符合（0.5分）；不符合（0分）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795" w:hRule="atLeast"/>
        </w:trPr>
        <w:tc>
          <w:tcPr>
            <w:tcW w:w="56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组织</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实施</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1.是否按预定的业务内容组织实施,有无随意增减变更业务内容（1分）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严格按计划实施（1分）；经批准有增减变动（0.5分）；增减变动事项未经批准（0分）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restart"/>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2.是否严格按照相应的进度控制、技术规范和安全规程组织实施（1分）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严守规范、规程（1分）；有违规操作行为（0分）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3.投资变更、业务内容调整是否按规定程序审批(1分)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变更、调整程序合法，手续齐备（1分）；未经批准变更投资和业务内容（0分）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4.项目实施人员条件、场地设备、信息支撑等是否落实到位(1分)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落实到位(1分)；基本落实(0.5分)；未落实(0分)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5.内控制度是否得到有效执行，能否及时发现并有效解决实施过程的管理遗漏(1分)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落实较好且无责任事故发生(1分)；落实较差但无责任事故发生(0.5分)；未落实或有责任事故发生(0分)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6.项目合同书、验收报告、技术鉴定等项目实施资料是否齐全并及时归档(1分)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资料齐全,管理规范(1分)；建档立卷但不完整（0.5分）；无实施资料（0分）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项目</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监管</w:t>
            </w: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1.监管人员和监管技术手段等是否有效保障(1分)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保障到位(1分)；基本保障(0.5分)；监管人员和措施缺失(0分)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2.质量管理、进度控制、过程监管和安全管理等项目监管制度和措施是否落实(1分)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落实较好且无责任事故发生(1分)；落实较差但无责任事故发生(0.5分)；未落实或有责任事故发生(0分)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3.项目管理薄弱环节能否及时发现并采取有效对策(1分)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能及时发现且采取有效对策（1分）；能及时发现但未采取对策或未发现（0分）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4.项目监管意见能否及时反馈并得到落实(1分)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能（1分）；不能（0分）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5.项目监管资料是否齐全并及时归档(1分)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资料齐全,管理规范(1分)；建档立卷但不完整（0.5分）；无实施资料（0分）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ind w:firstLine="75" w:firstLineChars="50"/>
              <w:rPr>
                <w:color w:val="000000"/>
                <w:sz w:val="15"/>
                <w:szCs w:val="15"/>
              </w:rPr>
            </w:pPr>
          </w:p>
        </w:tc>
        <w:tc>
          <w:tcPr>
            <w:tcW w:w="10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财务</w:t>
            </w:r>
          </w:p>
          <w:p>
            <w:pPr>
              <w:overflowPunct w:val="0"/>
              <w:spacing w:line="320" w:lineRule="exact"/>
              <w:jc w:val="center"/>
              <w:rPr>
                <w:color w:val="000000"/>
                <w:sz w:val="15"/>
                <w:szCs w:val="15"/>
              </w:rPr>
            </w:pPr>
            <w:r>
              <w:rPr>
                <w:color w:val="000000"/>
                <w:sz w:val="15"/>
                <w:szCs w:val="15"/>
              </w:rPr>
              <w:t>管理</w:t>
            </w:r>
          </w:p>
          <w:p>
            <w:pPr>
              <w:overflowPunct w:val="0"/>
              <w:spacing w:line="320" w:lineRule="exact"/>
              <w:jc w:val="center"/>
              <w:rPr>
                <w:color w:val="000000"/>
                <w:sz w:val="15"/>
                <w:szCs w:val="15"/>
              </w:rPr>
            </w:pPr>
            <w:r>
              <w:rPr>
                <w:color w:val="000000"/>
                <w:sz w:val="15"/>
                <w:szCs w:val="15"/>
              </w:rPr>
              <w:t>(15分)</w:t>
            </w: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财务</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制度</w:t>
            </w: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1.财务管理内控制度是否健全规范(0.5分)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内控制度健全规范（0.5分）；内控制度不完善（0分）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2.是否制定相应的项目资金管理办法(0.5分)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已制定(0.5分)；未制定(0分)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3.项目资金管理办法是否符合财务会计制度规定(1分)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符合（1分），基本符合（0.5分）；不符合（0分）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restart"/>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资金</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分配</w:t>
            </w: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1.资金分配程序是否合规(0.5分)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合规（0.5分）；不合规（0分）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0.5</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2.资金分配范围是否符合要求(0.5分)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符合要求（0.5分）；不符合要求（0分）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0.5</w:t>
            </w:r>
            <w:r>
              <w:rPr>
                <w:rFonts w:eastAsia="仿宋_GB2312"/>
                <w:color w:val="000000"/>
                <w:kern w:val="0"/>
                <w:sz w:val="14"/>
                <w:szCs w:val="14"/>
              </w:rPr>
              <w:t>　</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4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3.资金分配是否及时(0.5分)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5"/>
                <w:szCs w:val="15"/>
              </w:rPr>
            </w:pPr>
            <w:r>
              <w:rPr>
                <w:rFonts w:eastAsia="仿宋_GB2312"/>
                <w:color w:val="000000"/>
                <w:kern w:val="0"/>
                <w:sz w:val="15"/>
                <w:szCs w:val="15"/>
              </w:rPr>
              <w:t>及时（0.5分）；不及时（0分）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0.5</w:t>
            </w:r>
            <w:r>
              <w:rPr>
                <w:rFonts w:eastAsia="仿宋_GB2312"/>
                <w:color w:val="000000"/>
                <w:kern w:val="0"/>
                <w:sz w:val="14"/>
                <w:szCs w:val="14"/>
              </w:rPr>
              <w:t>　</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color w:val="000000"/>
                <w:sz w:val="15"/>
                <w:szCs w:val="15"/>
              </w:rPr>
            </w:pPr>
            <w:r>
              <w:rPr>
                <w:color w:val="000000"/>
                <w:sz w:val="15"/>
                <w:szCs w:val="15"/>
              </w:rPr>
              <w:t>项</w:t>
            </w:r>
          </w:p>
          <w:p>
            <w:pPr>
              <w:overflowPunct w:val="0"/>
              <w:spacing w:line="320" w:lineRule="exact"/>
              <w:jc w:val="left"/>
              <w:rPr>
                <w:color w:val="000000"/>
                <w:sz w:val="15"/>
                <w:szCs w:val="15"/>
              </w:rPr>
            </w:pPr>
            <w:r>
              <w:rPr>
                <w:color w:val="000000"/>
                <w:sz w:val="15"/>
                <w:szCs w:val="15"/>
              </w:rPr>
              <w:t>目</w:t>
            </w:r>
          </w:p>
          <w:p>
            <w:pPr>
              <w:overflowPunct w:val="0"/>
              <w:spacing w:line="320" w:lineRule="exact"/>
              <w:jc w:val="left"/>
              <w:rPr>
                <w:color w:val="000000"/>
                <w:sz w:val="15"/>
                <w:szCs w:val="15"/>
              </w:rPr>
            </w:pPr>
            <w:r>
              <w:rPr>
                <w:color w:val="000000"/>
                <w:sz w:val="15"/>
                <w:szCs w:val="15"/>
              </w:rPr>
              <w:t>管</w:t>
            </w:r>
          </w:p>
          <w:p>
            <w:pPr>
              <w:overflowPunct w:val="0"/>
              <w:spacing w:line="320" w:lineRule="exact"/>
              <w:jc w:val="left"/>
              <w:rPr>
                <w:rFonts w:eastAsia="仿宋_GB2312"/>
                <w:color w:val="000000"/>
                <w:kern w:val="0"/>
                <w:sz w:val="16"/>
                <w:szCs w:val="16"/>
              </w:rPr>
            </w:pPr>
            <w:r>
              <w:rPr>
                <w:color w:val="000000"/>
                <w:sz w:val="15"/>
                <w:szCs w:val="15"/>
              </w:rPr>
              <w:t>理</w:t>
            </w:r>
          </w:p>
        </w:tc>
        <w:tc>
          <w:tcPr>
            <w:tcW w:w="10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color w:val="000000"/>
                <w:sz w:val="15"/>
                <w:szCs w:val="15"/>
              </w:rPr>
            </w:pPr>
            <w:r>
              <w:rPr>
                <w:color w:val="000000"/>
                <w:sz w:val="15"/>
                <w:szCs w:val="15"/>
              </w:rPr>
              <w:t>财务</w:t>
            </w:r>
          </w:p>
          <w:p>
            <w:pPr>
              <w:overflowPunct w:val="0"/>
              <w:spacing w:line="320" w:lineRule="exact"/>
              <w:jc w:val="left"/>
              <w:rPr>
                <w:color w:val="000000"/>
                <w:sz w:val="15"/>
                <w:szCs w:val="15"/>
              </w:rPr>
            </w:pPr>
            <w:r>
              <w:rPr>
                <w:color w:val="000000"/>
                <w:sz w:val="15"/>
                <w:szCs w:val="15"/>
              </w:rPr>
              <w:t>管理</w:t>
            </w:r>
          </w:p>
          <w:p>
            <w:pPr>
              <w:overflowPunct w:val="0"/>
              <w:spacing w:line="320" w:lineRule="exact"/>
              <w:jc w:val="left"/>
              <w:rPr>
                <w:rFonts w:eastAsia="仿宋_GB2312"/>
                <w:color w:val="000000"/>
                <w:kern w:val="0"/>
                <w:sz w:val="16"/>
                <w:szCs w:val="16"/>
              </w:rPr>
            </w:pPr>
            <w:r>
              <w:rPr>
                <w:color w:val="000000"/>
                <w:sz w:val="15"/>
                <w:szCs w:val="15"/>
              </w:rPr>
              <w:t>(15分)</w:t>
            </w: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资金</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拨付</w:t>
            </w: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1.资金拨付是否坚持规范的审批程序(1分)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审批程序规范(1分)；审批程序不规范(0.5分)；未审批(0分)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restart"/>
            <w:tcBorders>
              <w:top w:val="single" w:color="auto" w:sz="4" w:space="0"/>
              <w:left w:val="single" w:color="auto" w:sz="4" w:space="0"/>
              <w:bottom w:val="single" w:color="auto" w:sz="4" w:space="0"/>
              <w:right w:val="single" w:color="auto" w:sz="4" w:space="0"/>
            </w:tcBorders>
            <w:shd w:val="clear" w:color="auto" w:fill="auto"/>
          </w:tcPr>
          <w:p>
            <w:pPr>
              <w:overflowPunct w:val="0"/>
              <w:spacing w:line="320" w:lineRule="exact"/>
              <w:rPr>
                <w:rFonts w:eastAsia="仿宋_GB2312"/>
                <w:kern w:val="0"/>
                <w:sz w:val="16"/>
                <w:szCs w:val="16"/>
              </w:rPr>
            </w:pPr>
            <w:r>
              <w:rPr>
                <w:rFonts w:eastAsia="仿宋_GB2312"/>
                <w:kern w:val="0"/>
                <w:sz w:val="16"/>
                <w:szCs w:val="16"/>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2.资金拨付是否及时高效、简化便捷(1分)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手续便捷,及时高效(1分);手续繁杂</w:t>
            </w:r>
            <w:r>
              <w:rPr>
                <w:rFonts w:eastAsia="仿宋_GB2312"/>
                <w:b/>
                <w:bCs/>
                <w:color w:val="000000"/>
                <w:kern w:val="0"/>
                <w:sz w:val="15"/>
                <w:szCs w:val="15"/>
              </w:rPr>
              <w:t>，</w:t>
            </w:r>
            <w:r>
              <w:rPr>
                <w:rFonts w:eastAsia="仿宋_GB2312"/>
                <w:color w:val="000000"/>
                <w:kern w:val="0"/>
                <w:sz w:val="15"/>
                <w:szCs w:val="15"/>
              </w:rPr>
              <w:t>资金拨付不及时(0分)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3.是否严格执行国库集中支付和政府采购等制度(1分)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严格执行(1分)；未严格执行(0.5分)；未执行(0分)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4.是否按预算、按进度拨付资金,有无超拨欠拨(0.5分)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严格按预算按进度拨付(0.5分)；有超拨欠拨(0分)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0.5</w:t>
            </w:r>
            <w:r>
              <w:rPr>
                <w:rFonts w:eastAsia="仿宋_GB2312"/>
                <w:color w:val="000000"/>
                <w:kern w:val="0"/>
                <w:sz w:val="14"/>
                <w:szCs w:val="14"/>
              </w:rPr>
              <w:t>　</w:t>
            </w:r>
          </w:p>
        </w:tc>
        <w:tc>
          <w:tcPr>
            <w:tcW w:w="763" w:type="dxa"/>
            <w:vMerge w:val="restart"/>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5.是否有确保项目资金安全的措施并有效执行(1分)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有措施且执行较好（1分）；有措施但落实较差（0.5分）；没有防范措施或发生资金安全事故（0分）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kern w:val="0"/>
                <w:sz w:val="16"/>
                <w:szCs w:val="16"/>
              </w:rPr>
            </w:pPr>
            <w:r>
              <w:rPr>
                <w:rFonts w:eastAsia="仿宋_GB2312"/>
                <w:kern w:val="0"/>
                <w:sz w:val="16"/>
                <w:szCs w:val="16"/>
              </w:rPr>
              <w:t>资金</w:t>
            </w:r>
          </w:p>
          <w:p>
            <w:pPr>
              <w:overflowPunct w:val="0"/>
              <w:spacing w:line="320" w:lineRule="exact"/>
              <w:jc w:val="center"/>
              <w:rPr>
                <w:rFonts w:eastAsia="仿宋_GB2312"/>
                <w:kern w:val="0"/>
                <w:sz w:val="16"/>
                <w:szCs w:val="16"/>
              </w:rPr>
            </w:pPr>
            <w:r>
              <w:rPr>
                <w:rFonts w:eastAsia="仿宋_GB2312"/>
                <w:kern w:val="0"/>
                <w:sz w:val="16"/>
                <w:szCs w:val="16"/>
              </w:rPr>
              <w:t>使用</w:t>
            </w: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1.是否符合预算批复或合同规定的用途和范围(0.5分)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符合(0.5分)，有超范围或指定用途的支出发生（0分）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0.5</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2.重大项目开支是否经过评估论证(0.5分)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评估论证(0.5分)；未评估论证（0分）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3.资金使用是否合法合规、真实有据(0.5分)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合法合规、真实有据(0.5分)；有违规支出或依据不真实(0分)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4.开支标准是否符合相关规定和定额管理要求(0.5分)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符合(0.5分)；不符合(0分)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5.是否存在截留、挤占、挪用、虚列支出等(0.5分)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不存在（0.5分）；存在（0分）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kern w:val="0"/>
                <w:sz w:val="16"/>
                <w:szCs w:val="16"/>
              </w:rPr>
            </w:pPr>
            <w:r>
              <w:rPr>
                <w:rFonts w:eastAsia="仿宋_GB2312"/>
                <w:kern w:val="0"/>
                <w:sz w:val="16"/>
                <w:szCs w:val="16"/>
              </w:rPr>
              <w:t>财务</w:t>
            </w:r>
          </w:p>
          <w:p>
            <w:pPr>
              <w:overflowPunct w:val="0"/>
              <w:spacing w:line="320" w:lineRule="exact"/>
              <w:jc w:val="center"/>
              <w:rPr>
                <w:rFonts w:eastAsia="仿宋_GB2312"/>
                <w:kern w:val="0"/>
                <w:sz w:val="16"/>
                <w:szCs w:val="16"/>
              </w:rPr>
            </w:pPr>
            <w:r>
              <w:rPr>
                <w:rFonts w:eastAsia="仿宋_GB2312"/>
                <w:kern w:val="0"/>
                <w:sz w:val="16"/>
                <w:szCs w:val="16"/>
              </w:rPr>
              <w:t>监督</w:t>
            </w:r>
          </w:p>
        </w:tc>
        <w:tc>
          <w:tcPr>
            <w:tcW w:w="2067"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1.财务管理制度、项目资金管理办法是否有效执行(1分)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落实较好（1分）；落实较差（0.5）；管理混乱（0分）</w:t>
            </w:r>
          </w:p>
        </w:tc>
        <w:tc>
          <w:tcPr>
            <w:tcW w:w="393"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4"/>
                <w:szCs w:val="14"/>
              </w:rPr>
            </w:pPr>
            <w:r>
              <w:rPr>
                <w:rFonts w:hint="eastAsia" w:eastAsia="仿宋_GB2312"/>
                <w:color w:val="000000"/>
                <w:kern w:val="0"/>
                <w:sz w:val="14"/>
                <w:szCs w:val="14"/>
                <w:lang w:val="en-US" w:eastAsia="zh-CN"/>
              </w:rPr>
              <w:t>1</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2.财务管理是否规范，是否符合国家法律、法规和财务规章制度规定(0.5分)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规范（0.5分）；不规范（0分）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3.是否体现厉行节约、禁止奢侈浪费、注重资金使用效益的原则(1分)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有节支措施且执行较好（1分）；有节支措施但执行较差（0.5分）；无节支措施（0分）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4.项目资金是否单独核算并分项目建立收支台账(0.5分)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分项目单独核算(0.5分)；未对项目收支进行明细核算(0分)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5.账务处理是否及时、规范(0.5分)</w:t>
            </w:r>
          </w:p>
        </w:tc>
        <w:tc>
          <w:tcPr>
            <w:tcW w:w="3054"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账务处理及时、核算规范(0.5分)；不及时、不规范(0分)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0.5</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6.会计信息是否真实、完整，管理建议是否切合实际(1分)</w:t>
            </w:r>
          </w:p>
        </w:tc>
        <w:tc>
          <w:tcPr>
            <w:tcW w:w="3054"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真实、完整（1分）；基本真实、完整（0.5分）；有虚假信息或管理建议不切合实际（0分）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目</w:t>
            </w:r>
          </w:p>
          <w:p>
            <w:pPr>
              <w:overflowPunct w:val="0"/>
              <w:spacing w:line="320" w:lineRule="exact"/>
              <w:jc w:val="center"/>
              <w:rPr>
                <w:color w:val="000000"/>
                <w:sz w:val="15"/>
                <w:szCs w:val="15"/>
              </w:rPr>
            </w:pPr>
            <w:r>
              <w:rPr>
                <w:color w:val="000000"/>
                <w:sz w:val="15"/>
                <w:szCs w:val="15"/>
              </w:rPr>
              <w:t xml:space="preserve">标 </w:t>
            </w:r>
          </w:p>
          <w:p>
            <w:pPr>
              <w:overflowPunct w:val="0"/>
              <w:spacing w:line="320" w:lineRule="exact"/>
              <w:jc w:val="center"/>
              <w:rPr>
                <w:color w:val="000000"/>
                <w:sz w:val="15"/>
                <w:szCs w:val="15"/>
              </w:rPr>
            </w:pPr>
            <w:r>
              <w:rPr>
                <w:color w:val="000000"/>
                <w:sz w:val="15"/>
                <w:szCs w:val="15"/>
              </w:rPr>
              <w:t>完</w:t>
            </w:r>
          </w:p>
          <w:p>
            <w:pPr>
              <w:overflowPunct w:val="0"/>
              <w:spacing w:line="320" w:lineRule="exact"/>
              <w:jc w:val="center"/>
              <w:rPr>
                <w:color w:val="000000"/>
                <w:sz w:val="15"/>
                <w:szCs w:val="15"/>
              </w:rPr>
            </w:pPr>
            <w:r>
              <w:rPr>
                <w:color w:val="000000"/>
                <w:sz w:val="15"/>
                <w:szCs w:val="15"/>
              </w:rPr>
              <w:t>成</w:t>
            </w:r>
          </w:p>
        </w:tc>
        <w:tc>
          <w:tcPr>
            <w:tcW w:w="10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00" w:lineRule="exact"/>
              <w:jc w:val="center"/>
              <w:rPr>
                <w:color w:val="000000"/>
                <w:sz w:val="15"/>
                <w:szCs w:val="15"/>
              </w:rPr>
            </w:pPr>
            <w:r>
              <w:rPr>
                <w:color w:val="000000"/>
                <w:sz w:val="15"/>
                <w:szCs w:val="15"/>
              </w:rPr>
              <w:t>项目</w:t>
            </w:r>
          </w:p>
          <w:p>
            <w:pPr>
              <w:overflowPunct w:val="0"/>
              <w:spacing w:line="300" w:lineRule="exact"/>
              <w:jc w:val="center"/>
              <w:rPr>
                <w:color w:val="000000"/>
                <w:sz w:val="15"/>
                <w:szCs w:val="15"/>
              </w:rPr>
            </w:pPr>
            <w:r>
              <w:rPr>
                <w:color w:val="000000"/>
                <w:sz w:val="15"/>
                <w:szCs w:val="15"/>
              </w:rPr>
              <w:t>产出</w:t>
            </w:r>
          </w:p>
          <w:p>
            <w:pPr>
              <w:overflowPunct w:val="0"/>
              <w:spacing w:line="300" w:lineRule="exact"/>
              <w:jc w:val="center"/>
              <w:rPr>
                <w:color w:val="000000"/>
                <w:sz w:val="15"/>
                <w:szCs w:val="15"/>
              </w:rPr>
            </w:pPr>
            <w:r>
              <w:rPr>
                <w:color w:val="000000"/>
                <w:sz w:val="15"/>
                <w:szCs w:val="15"/>
              </w:rPr>
              <w:t>(20分)</w:t>
            </w:r>
          </w:p>
        </w:tc>
        <w:tc>
          <w:tcPr>
            <w:tcW w:w="1012"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数量</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完成</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产出数量完成率（用T表示），即项目实施的实际产出数量与计划产出数量的比率，反映项目产出数量目标的实现程度(5分)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T≥100%(5分)；90%≤T＜100%(3分）</w:t>
            </w:r>
            <w:r>
              <w:rPr>
                <w:rFonts w:eastAsia="仿宋_GB2312"/>
                <w:b/>
                <w:bCs/>
                <w:color w:val="000000"/>
                <w:kern w:val="0"/>
                <w:sz w:val="15"/>
                <w:szCs w:val="15"/>
              </w:rPr>
              <w:t>；</w:t>
            </w:r>
            <w:r>
              <w:rPr>
                <w:rFonts w:eastAsia="仿宋_GB2312"/>
                <w:color w:val="000000"/>
                <w:kern w:val="0"/>
                <w:sz w:val="15"/>
                <w:szCs w:val="15"/>
              </w:rPr>
              <w:t>80%≤T＜90%(2分）</w:t>
            </w:r>
          </w:p>
          <w:p>
            <w:pPr>
              <w:overflowPunct w:val="0"/>
              <w:spacing w:line="300" w:lineRule="exact"/>
              <w:jc w:val="left"/>
              <w:rPr>
                <w:rFonts w:eastAsia="仿宋_GB2312"/>
                <w:color w:val="000000"/>
                <w:kern w:val="0"/>
                <w:sz w:val="15"/>
                <w:szCs w:val="15"/>
              </w:rPr>
            </w:pPr>
            <w:r>
              <w:rPr>
                <w:rFonts w:eastAsia="仿宋_GB2312"/>
                <w:color w:val="000000"/>
                <w:kern w:val="0"/>
                <w:sz w:val="15"/>
                <w:szCs w:val="15"/>
              </w:rPr>
              <w:t>；T＜80%(0分）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5</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left"/>
              <w:rPr>
                <w:rFonts w:eastAsia="仿宋_GB2312"/>
                <w:color w:val="000000"/>
                <w:kern w:val="0"/>
                <w:sz w:val="16"/>
                <w:szCs w:val="16"/>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质量</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完成</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质量达标率（用S表示），即项目完成的质量达标产出数与实际产出数的比率，反映项目产出质量目标的实现程度(5分)</w:t>
            </w:r>
          </w:p>
        </w:tc>
        <w:tc>
          <w:tcPr>
            <w:tcW w:w="3054"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S≥95%(5分)；90%≤S＜95%(3分）；80%≤S＜90%(2分）</w:t>
            </w:r>
          </w:p>
          <w:p>
            <w:pPr>
              <w:overflowPunct w:val="0"/>
              <w:spacing w:line="300" w:lineRule="exact"/>
              <w:jc w:val="left"/>
              <w:rPr>
                <w:rFonts w:eastAsia="仿宋_GB2312"/>
                <w:color w:val="000000"/>
                <w:kern w:val="0"/>
                <w:sz w:val="15"/>
                <w:szCs w:val="15"/>
              </w:rPr>
            </w:pPr>
            <w:r>
              <w:rPr>
                <w:rFonts w:eastAsia="仿宋_GB2312"/>
                <w:color w:val="000000"/>
                <w:kern w:val="0"/>
                <w:sz w:val="15"/>
                <w:szCs w:val="15"/>
              </w:rPr>
              <w:t>；S＜80%(0分）</w:t>
            </w:r>
          </w:p>
        </w:tc>
        <w:tc>
          <w:tcPr>
            <w:tcW w:w="393"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5</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300" w:lineRule="exact"/>
              <w:jc w:val="left"/>
              <w:rPr>
                <w:rFonts w:eastAsia="仿宋_GB2312"/>
                <w:color w:val="000000"/>
                <w:kern w:val="0"/>
                <w:sz w:val="16"/>
                <w:szCs w:val="16"/>
              </w:rPr>
            </w:pPr>
          </w:p>
        </w:tc>
        <w:tc>
          <w:tcPr>
            <w:tcW w:w="1012" w:type="dxa"/>
            <w:tcBorders>
              <w:top w:val="nil"/>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时效</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完成</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完成及时率(用H表示），即项目实际提前完成时间与计划完成时间的比率，反映项目产出时效目标的实现程度(5分)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H≥0（5分）；H＜0(0分）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300" w:lineRule="exact"/>
              <w:jc w:val="left"/>
              <w:rPr>
                <w:rFonts w:eastAsia="仿宋_GB2312"/>
                <w:color w:val="000000"/>
                <w:kern w:val="0"/>
                <w:sz w:val="16"/>
                <w:szCs w:val="16"/>
              </w:rPr>
            </w:pPr>
          </w:p>
        </w:tc>
        <w:tc>
          <w:tcPr>
            <w:tcW w:w="1012" w:type="dxa"/>
            <w:tcBorders>
              <w:top w:val="nil"/>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投资</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控制</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投资节约额（用N表示），即完成项目预定目标的实际投资节约额与预定投资额的比率；反映项目投资控制的效果(5分)</w:t>
            </w:r>
          </w:p>
        </w:tc>
        <w:tc>
          <w:tcPr>
            <w:tcW w:w="3054" w:type="dxa"/>
            <w:tcBorders>
              <w:top w:val="nil"/>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N≥0（5分）；-10%≤N＜0(3分）；N＜-10%(0分）</w:t>
            </w:r>
          </w:p>
        </w:tc>
        <w:tc>
          <w:tcPr>
            <w:tcW w:w="393"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项</w:t>
            </w:r>
          </w:p>
          <w:p>
            <w:pPr>
              <w:overflowPunct w:val="0"/>
              <w:spacing w:line="280" w:lineRule="exact"/>
              <w:jc w:val="center"/>
              <w:rPr>
                <w:color w:val="000000"/>
                <w:sz w:val="15"/>
                <w:szCs w:val="15"/>
              </w:rPr>
            </w:pPr>
            <w:r>
              <w:rPr>
                <w:color w:val="000000"/>
                <w:sz w:val="15"/>
                <w:szCs w:val="15"/>
              </w:rPr>
              <w:t>目</w:t>
            </w:r>
          </w:p>
          <w:p>
            <w:pPr>
              <w:overflowPunct w:val="0"/>
              <w:spacing w:line="280" w:lineRule="exact"/>
              <w:jc w:val="center"/>
              <w:rPr>
                <w:color w:val="000000"/>
                <w:sz w:val="15"/>
                <w:szCs w:val="15"/>
              </w:rPr>
            </w:pPr>
            <w:r>
              <w:rPr>
                <w:color w:val="000000"/>
                <w:sz w:val="15"/>
                <w:szCs w:val="15"/>
              </w:rPr>
              <w:t>效</w:t>
            </w:r>
          </w:p>
          <w:p>
            <w:pPr>
              <w:overflowPunct w:val="0"/>
              <w:spacing w:line="280" w:lineRule="exact"/>
              <w:jc w:val="center"/>
              <w:rPr>
                <w:color w:val="000000"/>
                <w:sz w:val="15"/>
                <w:szCs w:val="15"/>
              </w:rPr>
            </w:pPr>
            <w:r>
              <w:rPr>
                <w:color w:val="000000"/>
                <w:sz w:val="15"/>
                <w:szCs w:val="15"/>
              </w:rPr>
              <w:t>果</w:t>
            </w:r>
          </w:p>
        </w:tc>
        <w:tc>
          <w:tcPr>
            <w:tcW w:w="1049" w:type="dxa"/>
            <w:gridSpan w:val="2"/>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项目</w:t>
            </w:r>
          </w:p>
          <w:p>
            <w:pPr>
              <w:overflowPunct w:val="0"/>
              <w:spacing w:line="280" w:lineRule="exact"/>
              <w:jc w:val="center"/>
              <w:rPr>
                <w:color w:val="000000"/>
                <w:sz w:val="15"/>
                <w:szCs w:val="15"/>
              </w:rPr>
            </w:pPr>
            <w:r>
              <w:rPr>
                <w:color w:val="000000"/>
                <w:sz w:val="15"/>
                <w:szCs w:val="15"/>
              </w:rPr>
              <w:t>效益</w:t>
            </w:r>
          </w:p>
          <w:p>
            <w:pPr>
              <w:overflowPunct w:val="0"/>
              <w:spacing w:line="280" w:lineRule="exact"/>
              <w:jc w:val="center"/>
              <w:rPr>
                <w:color w:val="000000"/>
                <w:sz w:val="15"/>
                <w:szCs w:val="15"/>
              </w:rPr>
            </w:pPr>
            <w:r>
              <w:rPr>
                <w:color w:val="000000"/>
                <w:sz w:val="15"/>
                <w:szCs w:val="15"/>
              </w:rPr>
              <w:t>(30分)</w:t>
            </w:r>
          </w:p>
        </w:tc>
        <w:tc>
          <w:tcPr>
            <w:tcW w:w="1012"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经济</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效益</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项目实施对经济发展所带来的直接或间接影响(6分)</w:t>
            </w:r>
          </w:p>
        </w:tc>
        <w:tc>
          <w:tcPr>
            <w:tcW w:w="3054"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根据各项目具体特点不同相应设定相应的个性化评价指标和评价标准</w:t>
            </w:r>
          </w:p>
        </w:tc>
        <w:tc>
          <w:tcPr>
            <w:tcW w:w="393"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4"/>
                <w:szCs w:val="14"/>
              </w:rPr>
            </w:pPr>
            <w:r>
              <w:rPr>
                <w:rFonts w:hint="eastAsia" w:eastAsia="仿宋_GB2312"/>
                <w:color w:val="000000"/>
                <w:kern w:val="0"/>
                <w:sz w:val="14"/>
                <w:szCs w:val="14"/>
                <w:lang w:val="en-US" w:eastAsia="zh-CN"/>
              </w:rPr>
              <w:t>24</w:t>
            </w:r>
            <w:r>
              <w:rPr>
                <w:rFonts w:eastAsia="仿宋_GB2312"/>
                <w:color w:val="000000"/>
                <w:kern w:val="0"/>
                <w:sz w:val="14"/>
                <w:szCs w:val="14"/>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社会</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效益</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项目实施对社会发展所带来的直接或间接影响(6分)</w:t>
            </w:r>
          </w:p>
        </w:tc>
        <w:tc>
          <w:tcPr>
            <w:tcW w:w="3054"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5"/>
                <w:szCs w:val="15"/>
              </w:rPr>
            </w:pPr>
          </w:p>
        </w:tc>
        <w:tc>
          <w:tcPr>
            <w:tcW w:w="393"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4"/>
                <w:szCs w:val="14"/>
              </w:rPr>
            </w:pP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生态</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效益</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项目实施对生态环境所带来的直接或间接影响(6分)</w:t>
            </w:r>
          </w:p>
        </w:tc>
        <w:tc>
          <w:tcPr>
            <w:tcW w:w="3054"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5"/>
                <w:szCs w:val="15"/>
              </w:rPr>
            </w:pPr>
          </w:p>
        </w:tc>
        <w:tc>
          <w:tcPr>
            <w:tcW w:w="393"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4"/>
                <w:szCs w:val="14"/>
              </w:rPr>
            </w:pP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355" w:hRule="atLeast"/>
        </w:trPr>
        <w:tc>
          <w:tcPr>
            <w:tcW w:w="56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可持续</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影响</w:t>
            </w:r>
          </w:p>
        </w:tc>
        <w:tc>
          <w:tcPr>
            <w:tcW w:w="2067"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项目后续运行及成效发挥的可持续影响(6分)</w:t>
            </w:r>
          </w:p>
        </w:tc>
        <w:tc>
          <w:tcPr>
            <w:tcW w:w="3054"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5"/>
                <w:szCs w:val="15"/>
              </w:rPr>
            </w:pPr>
          </w:p>
        </w:tc>
        <w:tc>
          <w:tcPr>
            <w:tcW w:w="393"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4"/>
                <w:szCs w:val="14"/>
              </w:rPr>
            </w:pP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49" w:type="dxa"/>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社会满意程度</w:t>
            </w:r>
          </w:p>
        </w:tc>
        <w:tc>
          <w:tcPr>
            <w:tcW w:w="206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社会满意程度（用R表示），即社会公众或服务对象对项目实施效果的满意程度(6分)</w:t>
            </w:r>
          </w:p>
        </w:tc>
        <w:tc>
          <w:tcPr>
            <w:tcW w:w="305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R≥90%（6分）；80%≤R＜90%(4分）；70%≤R＜80%(2分）</w:t>
            </w:r>
          </w:p>
          <w:p>
            <w:pPr>
              <w:overflowPunct w:val="0"/>
              <w:spacing w:line="280" w:lineRule="exact"/>
              <w:jc w:val="left"/>
              <w:rPr>
                <w:rFonts w:eastAsia="仿宋_GB2312"/>
                <w:color w:val="000000"/>
                <w:kern w:val="0"/>
                <w:sz w:val="15"/>
                <w:szCs w:val="15"/>
              </w:rPr>
            </w:pPr>
            <w:r>
              <w:rPr>
                <w:rFonts w:eastAsia="仿宋_GB2312"/>
                <w:color w:val="000000"/>
                <w:kern w:val="0"/>
                <w:sz w:val="15"/>
                <w:szCs w:val="15"/>
              </w:rPr>
              <w:t>；R＜70%(0分）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4"/>
                <w:szCs w:val="14"/>
                <w:lang w:val="en-US" w:eastAsia="zh-CN"/>
              </w:rPr>
            </w:pPr>
            <w:r>
              <w:rPr>
                <w:rFonts w:eastAsia="仿宋_GB2312"/>
                <w:color w:val="000000"/>
                <w:kern w:val="0"/>
                <w:sz w:val="14"/>
                <w:szCs w:val="14"/>
              </w:rPr>
              <w:t>　</w:t>
            </w:r>
            <w:r>
              <w:rPr>
                <w:rFonts w:hint="eastAsia" w:eastAsia="仿宋_GB2312"/>
                <w:color w:val="000000"/>
                <w:kern w:val="0"/>
                <w:sz w:val="14"/>
                <w:szCs w:val="14"/>
                <w:lang w:val="en-US" w:eastAsia="zh-CN"/>
              </w:rPr>
              <w:t>6</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trHeight w:val="420" w:hRule="atLeast"/>
        </w:trPr>
        <w:tc>
          <w:tcPr>
            <w:tcW w:w="9004" w:type="dxa"/>
            <w:gridSpan w:val="9"/>
            <w:tcBorders>
              <w:top w:val="nil"/>
              <w:left w:val="nil"/>
              <w:bottom w:val="nil"/>
              <w:right w:val="nil"/>
            </w:tcBorders>
            <w:shd w:val="clear" w:color="auto" w:fill="auto"/>
            <w:vAlign w:val="center"/>
          </w:tcPr>
          <w:p>
            <w:pPr>
              <w:overflowPunct w:val="0"/>
              <w:spacing w:line="320" w:lineRule="exact"/>
              <w:jc w:val="left"/>
              <w:rPr>
                <w:rFonts w:eastAsia="黑体"/>
                <w:bCs/>
                <w:sz w:val="32"/>
                <w:szCs w:val="32"/>
              </w:rPr>
            </w:pPr>
          </w:p>
          <w:p>
            <w:pPr>
              <w:overflowPunct w:val="0"/>
              <w:spacing w:line="320" w:lineRule="exact"/>
              <w:jc w:val="left"/>
              <w:rPr>
                <w:rFonts w:eastAsia="黑体"/>
                <w:bCs/>
                <w:sz w:val="32"/>
                <w:szCs w:val="32"/>
              </w:rPr>
            </w:pPr>
          </w:p>
          <w:p>
            <w:pPr>
              <w:overflowPunct w:val="0"/>
              <w:spacing w:line="320" w:lineRule="exact"/>
              <w:jc w:val="center"/>
              <w:rPr>
                <w:rFonts w:eastAsia="方正小标宋简体"/>
                <w:b/>
                <w:bCs/>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ZGQ5MzkwZDZhNGYwYjM5M2Q3MDdiNmU1ZWE3NjQifQ=="/>
  </w:docVars>
  <w:rsids>
    <w:rsidRoot w:val="53B1155E"/>
    <w:rsid w:val="02515BA3"/>
    <w:rsid w:val="08A56CE4"/>
    <w:rsid w:val="38417399"/>
    <w:rsid w:val="53B1155E"/>
    <w:rsid w:val="7229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4201</Words>
  <Characters>4714</Characters>
  <Lines>0</Lines>
  <Paragraphs>0</Paragraphs>
  <TotalTime>5</TotalTime>
  <ScaleCrop>false</ScaleCrop>
  <LinksUpToDate>false</LinksUpToDate>
  <CharactersWithSpaces>4793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2021-12-31T03:06:00Z</dcterms:created>
  <dc:creator>in Wa S</dc:creator>
  <cp:lastModifiedBy>Administrator</cp:lastModifiedBy>
  <dcterms:modified xsi:type="dcterms:W3CDTF">2022-06-22T03:03:36Z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050FB58D444E4D53A07AAFD378A381C3</vt:lpwstr>
  </property>
</Properties>
</file>