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04" w:type="dxa"/>
        <w:tblInd w:w="0" w:type="dxa"/>
        <w:tblLayout w:type="fixed"/>
        <w:tblCellMar>
          <w:top w:w="0" w:type="dxa"/>
          <w:left w:w="108" w:type="dxa"/>
          <w:bottom w:w="0" w:type="dxa"/>
          <w:right w:w="108" w:type="dxa"/>
        </w:tblCellMar>
      </w:tblPr>
      <w:tblGrid>
        <w:gridCol w:w="101"/>
        <w:gridCol w:w="565"/>
        <w:gridCol w:w="545"/>
        <w:gridCol w:w="925"/>
        <w:gridCol w:w="2535"/>
        <w:gridCol w:w="2985"/>
        <w:gridCol w:w="585"/>
        <w:gridCol w:w="763"/>
      </w:tblGrid>
      <w:tr>
        <w:tblPrEx>
          <w:tblCellMar>
            <w:top w:w="0" w:type="dxa"/>
            <w:left w:w="108" w:type="dxa"/>
            <w:bottom w:w="0" w:type="dxa"/>
            <w:right w:w="108" w:type="dxa"/>
          </w:tblCellMar>
        </w:tblPrEx>
        <w:trPr>
          <w:gridBefore w:val="1"/>
          <w:wBefore w:w="101" w:type="dxa"/>
          <w:trHeight w:val="90" w:hRule="atLeast"/>
        </w:trPr>
        <w:tc>
          <w:tcPr>
            <w:tcW w:w="8903" w:type="dxa"/>
            <w:gridSpan w:val="7"/>
            <w:tcBorders>
              <w:top w:val="nil"/>
              <w:left w:val="nil"/>
              <w:right w:val="nil"/>
            </w:tcBorders>
            <w:shd w:val="clear" w:color="auto" w:fill="auto"/>
            <w:vAlign w:val="center"/>
          </w:tcPr>
          <w:p>
            <w:pPr>
              <w:overflowPunct w:val="0"/>
              <w:spacing w:line="400" w:lineRule="exact"/>
              <w:ind w:firstLine="1084" w:firstLineChars="300"/>
              <w:rPr>
                <w:rFonts w:eastAsia="方正小标宋简体"/>
                <w:b/>
                <w:bCs/>
                <w:color w:val="000000"/>
                <w:kern w:val="0"/>
                <w:sz w:val="36"/>
                <w:szCs w:val="36"/>
              </w:rPr>
            </w:pPr>
            <w:bookmarkStart w:id="0" w:name="_GoBack"/>
            <w:r>
              <w:rPr>
                <w:rFonts w:eastAsia="方正小标宋简体"/>
                <w:b/>
                <w:bCs/>
                <w:color w:val="000000"/>
                <w:kern w:val="0"/>
                <w:sz w:val="36"/>
                <w:szCs w:val="36"/>
              </w:rPr>
              <w:t>2022年区级财政项目支出绩效评价指标体系</w:t>
            </w:r>
          </w:p>
          <w:bookmarkEnd w:id="0"/>
          <w:p>
            <w:pPr>
              <w:overflowPunct w:val="0"/>
              <w:spacing w:line="400" w:lineRule="exact"/>
              <w:ind w:firstLine="1446" w:firstLineChars="400"/>
              <w:rPr>
                <w:rFonts w:eastAsia="方正小标宋简体"/>
                <w:b/>
                <w:bCs/>
                <w:color w:val="000000"/>
                <w:kern w:val="0"/>
                <w:sz w:val="36"/>
                <w:szCs w:val="36"/>
              </w:rPr>
            </w:pPr>
          </w:p>
        </w:tc>
      </w:tr>
      <w:tr>
        <w:tblPrEx>
          <w:tblCellMar>
            <w:top w:w="0" w:type="dxa"/>
            <w:left w:w="108" w:type="dxa"/>
            <w:bottom w:w="0" w:type="dxa"/>
            <w:right w:w="108" w:type="dxa"/>
          </w:tblCellMar>
        </w:tblPrEx>
        <w:trPr>
          <w:gridBefore w:val="1"/>
          <w:wBefore w:w="101" w:type="dxa"/>
          <w:trHeight w:val="32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b/>
                <w:bCs/>
                <w:color w:val="000000"/>
                <w:sz w:val="15"/>
                <w:szCs w:val="15"/>
              </w:rPr>
            </w:pPr>
            <w:r>
              <w:rPr>
                <w:b/>
                <w:bCs/>
                <w:color w:val="000000"/>
                <w:sz w:val="15"/>
                <w:szCs w:val="15"/>
              </w:rPr>
              <w:t>一级</w:t>
            </w:r>
          </w:p>
          <w:p>
            <w:pPr>
              <w:overflowPunct w:val="0"/>
              <w:spacing w:line="320" w:lineRule="exact"/>
              <w:jc w:val="center"/>
              <w:rPr>
                <w:b/>
                <w:bCs/>
                <w:color w:val="000000"/>
                <w:sz w:val="15"/>
                <w:szCs w:val="15"/>
              </w:rPr>
            </w:pPr>
            <w:r>
              <w:rPr>
                <w:b/>
                <w:bCs/>
                <w:color w:val="000000"/>
                <w:sz w:val="15"/>
                <w:szCs w:val="15"/>
              </w:rPr>
              <w:t>指标</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b/>
                <w:bCs/>
                <w:color w:val="000000"/>
                <w:sz w:val="15"/>
                <w:szCs w:val="15"/>
              </w:rPr>
            </w:pPr>
            <w:r>
              <w:rPr>
                <w:b/>
                <w:bCs/>
                <w:color w:val="000000"/>
                <w:sz w:val="15"/>
                <w:szCs w:val="15"/>
              </w:rPr>
              <w:t>二级</w:t>
            </w:r>
          </w:p>
          <w:p>
            <w:pPr>
              <w:overflowPunct w:val="0"/>
              <w:spacing w:line="320" w:lineRule="exact"/>
              <w:jc w:val="center"/>
              <w:rPr>
                <w:b/>
                <w:bCs/>
                <w:color w:val="000000"/>
                <w:sz w:val="15"/>
                <w:szCs w:val="15"/>
              </w:rPr>
            </w:pPr>
            <w:r>
              <w:rPr>
                <w:b/>
                <w:bCs/>
                <w:color w:val="000000"/>
                <w:sz w:val="15"/>
                <w:szCs w:val="15"/>
              </w:rPr>
              <w:t>指标</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三级</w:t>
            </w:r>
          </w:p>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指标</w:t>
            </w:r>
          </w:p>
        </w:tc>
        <w:tc>
          <w:tcPr>
            <w:tcW w:w="2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评价内容</w:t>
            </w:r>
          </w:p>
        </w:tc>
        <w:tc>
          <w:tcPr>
            <w:tcW w:w="2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ind w:right="-205" w:rightChars="-64"/>
              <w:jc w:val="center"/>
              <w:rPr>
                <w:rFonts w:eastAsia="仿宋_GB2312"/>
                <w:b/>
                <w:bCs/>
                <w:color w:val="000000"/>
                <w:kern w:val="0"/>
                <w:sz w:val="16"/>
                <w:szCs w:val="16"/>
              </w:rPr>
            </w:pPr>
            <w:r>
              <w:rPr>
                <w:rFonts w:eastAsia="仿宋_GB2312"/>
                <w:b/>
                <w:bCs/>
                <w:color w:val="000000"/>
                <w:kern w:val="0"/>
                <w:sz w:val="16"/>
                <w:szCs w:val="16"/>
              </w:rPr>
              <w:t>评价标准</w:t>
            </w:r>
          </w:p>
        </w:tc>
        <w:tc>
          <w:tcPr>
            <w:tcW w:w="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评价  得分</w:t>
            </w:r>
          </w:p>
        </w:tc>
        <w:tc>
          <w:tcPr>
            <w:tcW w:w="763" w:type="dxa"/>
            <w:vMerge w:val="restart"/>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备注</w:t>
            </w:r>
          </w:p>
        </w:tc>
      </w:tr>
      <w:tr>
        <w:tblPrEx>
          <w:tblCellMar>
            <w:top w:w="0" w:type="dxa"/>
            <w:left w:w="108" w:type="dxa"/>
            <w:bottom w:w="0" w:type="dxa"/>
            <w:right w:w="108" w:type="dxa"/>
          </w:tblCellMar>
        </w:tblPrEx>
        <w:trPr>
          <w:gridBefore w:val="1"/>
          <w:wBefore w:w="101" w:type="dxa"/>
          <w:trHeight w:val="343"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253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298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color w:val="000000"/>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b/>
                <w:bCs/>
                <w:kern w:val="0"/>
                <w:sz w:val="20"/>
                <w:szCs w:val="20"/>
              </w:rPr>
            </w:pPr>
          </w:p>
        </w:tc>
        <w:tc>
          <w:tcPr>
            <w:tcW w:w="763" w:type="dxa"/>
            <w:vMerge w:val="continue"/>
            <w:tcBorders>
              <w:top w:val="single" w:color="auto" w:sz="4" w:space="0"/>
              <w:left w:val="nil"/>
              <w:bottom w:val="single" w:color="auto" w:sz="4" w:space="0"/>
              <w:right w:val="single" w:color="auto" w:sz="4" w:space="0"/>
            </w:tcBorders>
            <w:vAlign w:val="center"/>
          </w:tcPr>
          <w:p>
            <w:pPr>
              <w:overflowPunct w:val="0"/>
              <w:spacing w:line="320" w:lineRule="exact"/>
              <w:jc w:val="left"/>
              <w:rPr>
                <w:rFonts w:eastAsia="仿宋_GB2312"/>
                <w:b/>
                <w:bCs/>
                <w:kern w:val="0"/>
                <w:sz w:val="20"/>
                <w:szCs w:val="20"/>
              </w:rPr>
            </w:pPr>
          </w:p>
        </w:tc>
      </w:tr>
      <w:tr>
        <w:tblPrEx>
          <w:tblCellMar>
            <w:top w:w="0" w:type="dxa"/>
            <w:left w:w="108" w:type="dxa"/>
            <w:bottom w:w="0" w:type="dxa"/>
            <w:right w:w="108" w:type="dxa"/>
          </w:tblCellMar>
        </w:tblPrEx>
        <w:trPr>
          <w:gridBefore w:val="1"/>
          <w:wBefore w:w="101" w:type="dxa"/>
          <w:trHeight w:val="270" w:hRule="atLeast"/>
        </w:trPr>
        <w:tc>
          <w:tcPr>
            <w:tcW w:w="75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color w:val="000000"/>
                <w:kern w:val="0"/>
                <w:sz w:val="16"/>
                <w:szCs w:val="16"/>
              </w:rPr>
            </w:pPr>
            <w:r>
              <w:rPr>
                <w:rFonts w:eastAsia="仿宋_GB2312"/>
                <w:b/>
                <w:bCs/>
                <w:color w:val="000000"/>
                <w:kern w:val="0"/>
                <w:sz w:val="16"/>
                <w:szCs w:val="16"/>
              </w:rPr>
              <w:t>　评价得分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　</w:t>
            </w:r>
          </w:p>
        </w:tc>
        <w:tc>
          <w:tcPr>
            <w:tcW w:w="763" w:type="dxa"/>
            <w:tcBorders>
              <w:top w:val="nil"/>
              <w:left w:val="nil"/>
              <w:bottom w:val="single" w:color="auto" w:sz="4" w:space="0"/>
              <w:right w:val="single" w:color="auto" w:sz="4" w:space="0"/>
            </w:tcBorders>
            <w:shd w:val="clear" w:color="auto" w:fill="auto"/>
            <w:vAlign w:val="center"/>
          </w:tcPr>
          <w:p>
            <w:pPr>
              <w:overflowPunct w:val="0"/>
              <w:spacing w:line="320" w:lineRule="exact"/>
              <w:jc w:val="center"/>
              <w:rPr>
                <w:rFonts w:eastAsia="仿宋_GB2312"/>
                <w:b/>
                <w:bCs/>
                <w:kern w:val="0"/>
                <w:sz w:val="16"/>
                <w:szCs w:val="16"/>
              </w:rPr>
            </w:pPr>
            <w:r>
              <w:rPr>
                <w:rFonts w:eastAsia="仿宋_GB2312"/>
                <w:b/>
                <w:bCs/>
                <w:kern w:val="0"/>
                <w:sz w:val="16"/>
                <w:szCs w:val="16"/>
              </w:rPr>
              <w:t>　</w:t>
            </w: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项 目 决 策</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项目</w:t>
            </w:r>
          </w:p>
          <w:p>
            <w:pPr>
              <w:overflowPunct w:val="0"/>
              <w:spacing w:line="320" w:lineRule="exact"/>
              <w:jc w:val="center"/>
              <w:rPr>
                <w:color w:val="000000"/>
                <w:sz w:val="15"/>
                <w:szCs w:val="15"/>
              </w:rPr>
            </w:pPr>
            <w:r>
              <w:rPr>
                <w:color w:val="000000"/>
                <w:sz w:val="15"/>
                <w:szCs w:val="15"/>
              </w:rPr>
              <w:t>设立</w:t>
            </w:r>
          </w:p>
          <w:p>
            <w:pPr>
              <w:overflowPunct w:val="0"/>
              <w:spacing w:line="320" w:lineRule="exact"/>
              <w:jc w:val="center"/>
              <w:rPr>
                <w:color w:val="000000"/>
                <w:sz w:val="15"/>
                <w:szCs w:val="15"/>
              </w:rPr>
            </w:pPr>
            <w:r>
              <w:rPr>
                <w:color w:val="000000"/>
                <w:sz w:val="15"/>
                <w:szCs w:val="15"/>
              </w:rPr>
              <w:t>(5分)</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立项</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依据</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1.项目设立是否有明确政策规定(0.5分)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有规定且当年必须安排(0.5分)；无明确规定(0分)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restart"/>
            <w:tcBorders>
              <w:top w:val="single" w:color="auto" w:sz="4" w:space="0"/>
              <w:left w:val="single" w:color="auto" w:sz="4" w:space="0"/>
              <w:right w:val="single" w:color="auto" w:sz="4" w:space="0"/>
            </w:tcBorders>
            <w:shd w:val="clear" w:color="auto" w:fill="auto"/>
          </w:tcPr>
          <w:p>
            <w:pPr>
              <w:overflowPunct w:val="0"/>
              <w:spacing w:line="320" w:lineRule="exact"/>
              <w:jc w:val="left"/>
              <w:rPr>
                <w:rFonts w:eastAsia="仿宋_GB2312"/>
                <w:kern w:val="0"/>
                <w:sz w:val="16"/>
                <w:szCs w:val="16"/>
              </w:rPr>
            </w:pPr>
            <w:r>
              <w:rPr>
                <w:rFonts w:eastAsia="仿宋_GB2312"/>
                <w:kern w:val="0"/>
                <w:sz w:val="16"/>
                <w:szCs w:val="16"/>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2.项目是否为促进事业发展所必需(1分)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围绕保障重点,紧扣发展大局(1分)；满足部门运转需要(0.5分)；不切合本地实际，实施效果较差（0分）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3.文件依据、相关资料提供是否完整、充分(1分)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资料完整、充分（1分）；有依据但提供不完整(0.5分)；未提供相关资料（0分）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立项</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程序</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1.是否按规定程序申请设立(0.5分)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符合相关程序（0.5分）；不符合相关程序（0分）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0.5</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2.是否经过可研论证、风险评估、集体决策等(1分)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评估论证报告或决策记录完整(1分)；评估论证报告或决策记录不完整(0.5分)；未评估论证或集体决策（0分）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3.是否通过单位表决一致通过立项（1分）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有单位表决文件资料或会议记要（1分）；无任何资料（0分）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9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绩效</w:t>
            </w:r>
          </w:p>
          <w:p>
            <w:pPr>
              <w:overflowPunct w:val="0"/>
              <w:spacing w:line="320" w:lineRule="exact"/>
              <w:jc w:val="center"/>
              <w:rPr>
                <w:color w:val="000000"/>
                <w:sz w:val="15"/>
                <w:szCs w:val="15"/>
              </w:rPr>
            </w:pPr>
            <w:r>
              <w:rPr>
                <w:color w:val="000000"/>
                <w:sz w:val="15"/>
                <w:szCs w:val="15"/>
              </w:rPr>
              <w:t>目标</w:t>
            </w:r>
          </w:p>
          <w:p>
            <w:pPr>
              <w:overflowPunct w:val="0"/>
              <w:spacing w:line="320" w:lineRule="exact"/>
              <w:jc w:val="center"/>
              <w:rPr>
                <w:rFonts w:eastAsia="仿宋_GB2312"/>
                <w:color w:val="000000"/>
                <w:kern w:val="0"/>
                <w:sz w:val="16"/>
                <w:szCs w:val="16"/>
              </w:rPr>
            </w:pPr>
            <w:r>
              <w:rPr>
                <w:color w:val="000000"/>
                <w:sz w:val="15"/>
                <w:szCs w:val="15"/>
              </w:rPr>
              <w:t>(8分)</w:t>
            </w:r>
          </w:p>
        </w:tc>
        <w:tc>
          <w:tcPr>
            <w:tcW w:w="925"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kern w:val="0"/>
                <w:sz w:val="16"/>
                <w:szCs w:val="16"/>
              </w:rPr>
            </w:pPr>
            <w:r>
              <w:rPr>
                <w:rFonts w:eastAsia="仿宋_GB2312"/>
                <w:kern w:val="0"/>
                <w:sz w:val="16"/>
                <w:szCs w:val="16"/>
              </w:rPr>
              <w:t>目标设定</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1.是否按年度计划编报绩效目标(1分)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已报送绩效计划且目标明确(1分)；已报送绩效计划但目标不明确(0.5分)；未报送绩效计划(0分)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10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2.绩效目标是否符合国家相关法律、法规、国民经济发展规划和市委、市政府决策(0.5分)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与文件规定或政府下达的任务数相一致(0.5分)；与文件规定或政府下达的任务数有差距(0分)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3.绩效目标是否符合客观实际，切实可行(0.5分)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单位申报数控制在财政审定数或实际完成数的2倍以内(0.5分)；大于2倍小于3倍（0.5分）；大于3倍（0分）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0.5</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4.绩效目标是否清晰、细化、可衡量，相关指标能否恰当准确反映绩效目标完成程度（1分）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目标细化,指标具体、恰当(1分）；目标较粗略，考核指标不完整（0.5分）；目标未细化到具体指标（0分）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795"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5.实施计划是否科学合理，并符合相关技术规范(1分)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符合相关规范且按计划实施(1分)；符合相关规范但实施进度与实际有差距(0.5分)；不符合相关技术规范（0分）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1128"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restart"/>
            <w:tcBorders>
              <w:top w:val="single" w:color="auto" w:sz="4" w:space="0"/>
              <w:left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restart"/>
            <w:tcBorders>
              <w:top w:val="single" w:color="auto" w:sz="4" w:space="0"/>
              <w:left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6.绩效目标管理措施是否得当，分工是否明确、责任是否落实(1分)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措施得当，分工明确，责任落实（1分）；有措施但分工不明确,责任不落实（0.5分）；无管理措施（0分）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7.预期产出和效益、效果是否符合正常业绩水平(1分)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符合（1分），基本符合（0.5分）；不符合（0分）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D0D0D"/>
                <w:kern w:val="0"/>
                <w:sz w:val="15"/>
                <w:szCs w:val="15"/>
              </w:rPr>
            </w:pPr>
            <w:r>
              <w:rPr>
                <w:rFonts w:eastAsia="仿宋_GB2312"/>
                <w:color w:val="0D0D0D"/>
                <w:kern w:val="0"/>
                <w:sz w:val="15"/>
                <w:szCs w:val="15"/>
              </w:rPr>
              <w:t>8.绩效目标是否与经费预算相衔接，是否符合当地发展水平(0.5分)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衔接紧密且符合实际(0.5分)；不相衔接且不符合实际(0分)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目标</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调整</w:t>
            </w: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1.项目预算调整是否及时报送绩效目标调整方案(1分)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同步报送(1分)；未报送（0分）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2.目标修订或调整方案是否按程序报批和备案（0.5分）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按程序报批和备案（0.5分）；未报批、备案（0分）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经费</w:t>
            </w:r>
          </w:p>
          <w:p>
            <w:pPr>
              <w:overflowPunct w:val="0"/>
              <w:spacing w:line="320" w:lineRule="exact"/>
              <w:jc w:val="center"/>
              <w:rPr>
                <w:color w:val="000000"/>
                <w:sz w:val="15"/>
                <w:szCs w:val="15"/>
              </w:rPr>
            </w:pPr>
            <w:r>
              <w:rPr>
                <w:color w:val="000000"/>
                <w:sz w:val="15"/>
                <w:szCs w:val="15"/>
              </w:rPr>
              <w:t>安排</w:t>
            </w:r>
          </w:p>
          <w:p>
            <w:pPr>
              <w:overflowPunct w:val="0"/>
              <w:spacing w:line="320" w:lineRule="exact"/>
              <w:jc w:val="center"/>
              <w:rPr>
                <w:color w:val="000000"/>
                <w:sz w:val="15"/>
                <w:szCs w:val="15"/>
              </w:rPr>
            </w:pPr>
            <w:r>
              <w:rPr>
                <w:color w:val="000000"/>
                <w:sz w:val="15"/>
                <w:szCs w:val="15"/>
              </w:rPr>
              <w:t>(7分)</w:t>
            </w:r>
          </w:p>
        </w:tc>
        <w:tc>
          <w:tcPr>
            <w:tcW w:w="925" w:type="dxa"/>
            <w:vMerge w:val="restart"/>
            <w:tcBorders>
              <w:top w:val="nil"/>
              <w:left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标准</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控制</w:t>
            </w: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1.经费测算是否符合有关要求和定额标准（0.5分）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符合(0.5分)；与相关规定和定额标准有差异(0分)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2.经费预算是否与财力水平相适应（1分）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单位申报额控制在财政审定或实际支出额的2倍以内（1分）；大于2倍小于3倍（0.5分）；大于3倍（0分）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3.是否体现厉行节约禁止铺张浪费有关规定（0.5分）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测算细致且有节支措施(0.5分)；经费测算随意性较大(0分)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9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4.经费预算是否与设定的绩效目标相符合（1分）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相符（1分）；基本相符（0.5分）；不相符（0分）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84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color w:val="000000"/>
                <w:sz w:val="15"/>
                <w:szCs w:val="15"/>
              </w:rPr>
              <w:t>项 目 决 策</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color w:val="000000"/>
                <w:sz w:val="15"/>
                <w:szCs w:val="15"/>
              </w:rPr>
            </w:pPr>
            <w:r>
              <w:rPr>
                <w:color w:val="000000"/>
                <w:sz w:val="15"/>
                <w:szCs w:val="15"/>
              </w:rPr>
              <w:t>经费</w:t>
            </w:r>
          </w:p>
          <w:p>
            <w:pPr>
              <w:overflowPunct w:val="0"/>
              <w:spacing w:line="320" w:lineRule="exact"/>
              <w:jc w:val="left"/>
              <w:rPr>
                <w:color w:val="000000"/>
                <w:sz w:val="15"/>
                <w:szCs w:val="15"/>
              </w:rPr>
            </w:pPr>
            <w:r>
              <w:rPr>
                <w:color w:val="000000"/>
                <w:sz w:val="15"/>
                <w:szCs w:val="15"/>
              </w:rPr>
              <w:t>安排</w:t>
            </w:r>
          </w:p>
          <w:p>
            <w:pPr>
              <w:overflowPunct w:val="0"/>
              <w:spacing w:line="320" w:lineRule="exact"/>
              <w:jc w:val="left"/>
              <w:rPr>
                <w:rFonts w:eastAsia="仿宋_GB2312"/>
                <w:color w:val="000000"/>
                <w:kern w:val="0"/>
                <w:sz w:val="16"/>
                <w:szCs w:val="16"/>
              </w:rPr>
            </w:pPr>
            <w:r>
              <w:rPr>
                <w:color w:val="000000"/>
                <w:sz w:val="15"/>
                <w:szCs w:val="15"/>
              </w:rPr>
              <w:t>(7分)</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预算</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约束</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1.经费预算是否细化、具体、准确，具有可操作性（1分）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方案具体、细化，支出项目、金额有据可查(1分)；方案基本符合要求，支出项目、金额基本准确(0.5分)；方案粗略，开支项目、金额随意性较大(0分)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restart"/>
            <w:tcBorders>
              <w:top w:val="single" w:color="auto" w:sz="4" w:space="0"/>
              <w:left w:val="single" w:color="auto" w:sz="4" w:space="0"/>
              <w:right w:val="single" w:color="auto" w:sz="4" w:space="0"/>
            </w:tcBorders>
            <w:shd w:val="clear" w:color="auto" w:fill="auto"/>
          </w:tcPr>
          <w:p>
            <w:pPr>
              <w:overflowPunct w:val="0"/>
              <w:spacing w:line="320" w:lineRule="exact"/>
              <w:rPr>
                <w:rFonts w:eastAsia="仿宋_GB2312"/>
                <w:kern w:val="0"/>
                <w:sz w:val="16"/>
                <w:szCs w:val="16"/>
              </w:rPr>
            </w:pPr>
            <w:r>
              <w:rPr>
                <w:rFonts w:eastAsia="仿宋_GB2312"/>
                <w:kern w:val="0"/>
                <w:sz w:val="16"/>
                <w:szCs w:val="16"/>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2.资金用途和开支范围是否明确(1分)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用途明确、范围具体(1分)；用途、范围基本明确(0.5分)；支出用途、范围不明确（0分）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3.资金支出进度是否明确、细化、科学合理(1分)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进度计划与项目实施衔接紧密(1分)；进度计划与项目实施基本保持一致(0.5分)；无进度计划(0分)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4.有无预算约束控制措施(1分)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措施完善、细化(1分)；有措施，但不具体(0.5分)；措施缺失(0分)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项</w:t>
            </w:r>
          </w:p>
          <w:p>
            <w:pPr>
              <w:overflowPunct w:val="0"/>
              <w:spacing w:line="280" w:lineRule="exact"/>
              <w:jc w:val="center"/>
              <w:rPr>
                <w:color w:val="000000"/>
                <w:sz w:val="15"/>
                <w:szCs w:val="15"/>
              </w:rPr>
            </w:pPr>
            <w:r>
              <w:rPr>
                <w:color w:val="000000"/>
                <w:sz w:val="15"/>
                <w:szCs w:val="15"/>
              </w:rPr>
              <w:t>目</w:t>
            </w:r>
          </w:p>
          <w:p>
            <w:pPr>
              <w:overflowPunct w:val="0"/>
              <w:spacing w:line="280" w:lineRule="exact"/>
              <w:jc w:val="center"/>
              <w:rPr>
                <w:color w:val="000000"/>
                <w:sz w:val="15"/>
                <w:szCs w:val="15"/>
              </w:rPr>
            </w:pPr>
            <w:r>
              <w:rPr>
                <w:color w:val="000000"/>
                <w:sz w:val="15"/>
                <w:szCs w:val="15"/>
              </w:rPr>
              <w:t>管</w:t>
            </w:r>
          </w:p>
          <w:p>
            <w:pPr>
              <w:overflowPunct w:val="0"/>
              <w:spacing w:line="280" w:lineRule="exact"/>
              <w:jc w:val="center"/>
              <w:rPr>
                <w:color w:val="000000"/>
                <w:sz w:val="15"/>
                <w:szCs w:val="15"/>
              </w:rPr>
            </w:pPr>
            <w:r>
              <w:rPr>
                <w:color w:val="000000"/>
                <w:sz w:val="15"/>
                <w:szCs w:val="15"/>
              </w:rPr>
              <w:t>理</w:t>
            </w:r>
          </w:p>
        </w:tc>
        <w:tc>
          <w:tcPr>
            <w:tcW w:w="5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业务</w:t>
            </w:r>
          </w:p>
          <w:p>
            <w:pPr>
              <w:overflowPunct w:val="0"/>
              <w:spacing w:line="280" w:lineRule="exact"/>
              <w:jc w:val="center"/>
              <w:rPr>
                <w:color w:val="000000"/>
                <w:sz w:val="15"/>
                <w:szCs w:val="15"/>
              </w:rPr>
            </w:pPr>
            <w:r>
              <w:rPr>
                <w:color w:val="000000"/>
                <w:sz w:val="15"/>
                <w:szCs w:val="15"/>
              </w:rPr>
              <w:t>管理</w:t>
            </w:r>
          </w:p>
          <w:p>
            <w:pPr>
              <w:overflowPunct w:val="0"/>
              <w:spacing w:line="280" w:lineRule="exact"/>
              <w:jc w:val="center"/>
              <w:rPr>
                <w:color w:val="000000"/>
                <w:sz w:val="15"/>
                <w:szCs w:val="15"/>
              </w:rPr>
            </w:pPr>
            <w:r>
              <w:rPr>
                <w:color w:val="000000"/>
                <w:sz w:val="15"/>
                <w:szCs w:val="15"/>
              </w:rPr>
              <w:t>(15分)</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eastAsia="仿宋_GB2312"/>
                <w:color w:val="000000"/>
                <w:kern w:val="0"/>
                <w:sz w:val="16"/>
                <w:szCs w:val="16"/>
              </w:rPr>
            </w:pPr>
            <w:r>
              <w:rPr>
                <w:rFonts w:eastAsia="仿宋_GB2312"/>
                <w:color w:val="000000"/>
                <w:kern w:val="0"/>
                <w:sz w:val="16"/>
                <w:szCs w:val="16"/>
              </w:rPr>
              <w:t>制度</w:t>
            </w:r>
          </w:p>
          <w:p>
            <w:pPr>
              <w:overflowPunct w:val="0"/>
              <w:spacing w:line="240" w:lineRule="exact"/>
              <w:jc w:val="center"/>
              <w:rPr>
                <w:rFonts w:eastAsia="仿宋_GB2312"/>
                <w:color w:val="000000"/>
                <w:kern w:val="0"/>
                <w:sz w:val="16"/>
                <w:szCs w:val="16"/>
              </w:rPr>
            </w:pPr>
            <w:r>
              <w:rPr>
                <w:rFonts w:eastAsia="仿宋_GB2312"/>
                <w:color w:val="000000"/>
                <w:kern w:val="0"/>
                <w:sz w:val="16"/>
                <w:szCs w:val="16"/>
              </w:rPr>
              <w:t>建设</w:t>
            </w: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1.是否制定质量、进度和安全管理等监管制度（1分）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制度健全(1分)；有但不完善(0.5分)；未制定(0分)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55"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24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2.是否有相应的质量要求、安全规程和技术标准（1分）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已制定(1分)；未制定(0分)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24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3.内控措施是否健全，有无制度缺失或管理漏洞（1分）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制度健全有效（1分）；有内控制度但不完善（0.5分）；未制定且存在管理漏洞（0分）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185"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4.制度、措施是否符合法律、法规规定,是否符合行业规定或相关技术规范（1分）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符合（1分），基本符合（0.5分）；不符合（0分）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795" w:hRule="atLeast"/>
        </w:trPr>
        <w:tc>
          <w:tcPr>
            <w:tcW w:w="565"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组织</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实施</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1.是否按预定的业务内容组织实施,有无随意增减变更业务内容（1分）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严格按计划实施（1分）；经批准有增减变动（0.5分）；增减变动事项未经批准（0分）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restart"/>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2.是否严格按照相应的进度控制、技术规范和安全规程组织实施（1分）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严守规范、规程（1分）；有违规操作行为（0分）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3.投资变更、业务内容调整是否按规定程序审批(1分)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变更、调整程序合法，手续齐备（1分）；未经批准变更投资和业务内容（0分）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4.项目实施人员条件、场地设备、信息支撑等是否落实到位(1分)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落实到位(1分)；基本落实(0.5分)；未落实(0分)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5.内控制度是否得到有效执行，能否及时发现并有效解决实施过程的管理遗漏(1分)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落实较好且无责任事故发生(1分)；落实较差但无责任事故发生(0.5分)；未落实或有责任事故发生(0分)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6.项目合同书、验收报告、技术鉴定等项目实施资料是否齐全并及时归档(1分)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资料齐全,管理规范(1分)；建档立卷但不完整（0.5分）；无实施资料（0分）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项目</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监管</w:t>
            </w: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1.监管人员和监管技术手段等是否有效保障(1分)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保障到位(1分)；基本保障(0.5分)；监管人员和措施缺失(0分)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2.质量管理、进度控制、过程监管和安全管理等项目监管制度和措施是否落实(1分)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落实较好且无责任事故发生(1分)；落实较差但无责任事故发生(0.5分)；未落实或有责任事故发生(0分)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3.项目管理薄弱环节能否及时发现并采取有效对策(1分)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能及时发现且采取有效对策（1分）；能及时发现但未采取对策或未发现（0分）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4.项目监管意见能否及时反馈并得到落实(1分)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能（1分）；不能（0分）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92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5.项目监管资料是否齐全并及时归档(1分)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资料齐全,管理规范(1分)；建档立卷但不完整（0.5分）；无实施资料（0分）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ind w:firstLine="75" w:firstLineChars="50"/>
              <w:rPr>
                <w:color w:val="000000"/>
                <w:sz w:val="15"/>
                <w:szCs w:val="15"/>
              </w:rPr>
            </w:pP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财务</w:t>
            </w:r>
          </w:p>
          <w:p>
            <w:pPr>
              <w:overflowPunct w:val="0"/>
              <w:spacing w:line="320" w:lineRule="exact"/>
              <w:jc w:val="center"/>
              <w:rPr>
                <w:color w:val="000000"/>
                <w:sz w:val="15"/>
                <w:szCs w:val="15"/>
              </w:rPr>
            </w:pPr>
            <w:r>
              <w:rPr>
                <w:color w:val="000000"/>
                <w:sz w:val="15"/>
                <w:szCs w:val="15"/>
              </w:rPr>
              <w:t>管理</w:t>
            </w:r>
          </w:p>
          <w:p>
            <w:pPr>
              <w:overflowPunct w:val="0"/>
              <w:spacing w:line="320" w:lineRule="exact"/>
              <w:jc w:val="center"/>
              <w:rPr>
                <w:color w:val="000000"/>
                <w:sz w:val="15"/>
                <w:szCs w:val="15"/>
              </w:rPr>
            </w:pPr>
            <w:r>
              <w:rPr>
                <w:color w:val="000000"/>
                <w:sz w:val="15"/>
                <w:szCs w:val="15"/>
              </w:rPr>
              <w:t>(15分)</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财务</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制度</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1.财务管理内控制度是否健全规范(0.5分)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内控制度健全规范（0.5分）；内控制度不完善（0分）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2.是否制定相应的项目资金管理办法(0.5分)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已制定(0.5分)；未制定(0分)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3.项目资金管理办法是否符合财务会计制度规定(1分)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符合（1分），基本符合（0.5分）；不符合（0分）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restart"/>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资金</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分配</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1.资金分配程序是否合规(0.5分)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合规（0.5分）；不合规（0分）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0.5</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2.资金分配范围是否符合要求(0.5分)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符合要求（0.5分）；不符合要求（0分）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4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3.资金分配是否及时(0.5分)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5"/>
                <w:szCs w:val="15"/>
              </w:rPr>
            </w:pPr>
            <w:r>
              <w:rPr>
                <w:rFonts w:eastAsia="仿宋_GB2312"/>
                <w:color w:val="000000"/>
                <w:kern w:val="0"/>
                <w:sz w:val="15"/>
                <w:szCs w:val="15"/>
              </w:rPr>
              <w:t>及时（0.5分）；不及时（0分）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color w:val="000000"/>
                <w:sz w:val="15"/>
                <w:szCs w:val="15"/>
              </w:rPr>
            </w:pPr>
            <w:r>
              <w:rPr>
                <w:color w:val="000000"/>
                <w:sz w:val="15"/>
                <w:szCs w:val="15"/>
              </w:rPr>
              <w:t>项</w:t>
            </w:r>
          </w:p>
          <w:p>
            <w:pPr>
              <w:overflowPunct w:val="0"/>
              <w:spacing w:line="320" w:lineRule="exact"/>
              <w:jc w:val="left"/>
              <w:rPr>
                <w:color w:val="000000"/>
                <w:sz w:val="15"/>
                <w:szCs w:val="15"/>
              </w:rPr>
            </w:pPr>
            <w:r>
              <w:rPr>
                <w:color w:val="000000"/>
                <w:sz w:val="15"/>
                <w:szCs w:val="15"/>
              </w:rPr>
              <w:t>目</w:t>
            </w:r>
          </w:p>
          <w:p>
            <w:pPr>
              <w:overflowPunct w:val="0"/>
              <w:spacing w:line="320" w:lineRule="exact"/>
              <w:jc w:val="left"/>
              <w:rPr>
                <w:color w:val="000000"/>
                <w:sz w:val="15"/>
                <w:szCs w:val="15"/>
              </w:rPr>
            </w:pPr>
            <w:r>
              <w:rPr>
                <w:color w:val="000000"/>
                <w:sz w:val="15"/>
                <w:szCs w:val="15"/>
              </w:rPr>
              <w:t>管</w:t>
            </w:r>
          </w:p>
          <w:p>
            <w:pPr>
              <w:overflowPunct w:val="0"/>
              <w:spacing w:line="320" w:lineRule="exact"/>
              <w:jc w:val="left"/>
              <w:rPr>
                <w:rFonts w:eastAsia="仿宋_GB2312"/>
                <w:color w:val="000000"/>
                <w:kern w:val="0"/>
                <w:sz w:val="16"/>
                <w:szCs w:val="16"/>
              </w:rPr>
            </w:pPr>
            <w:r>
              <w:rPr>
                <w:color w:val="000000"/>
                <w:sz w:val="15"/>
                <w:szCs w:val="15"/>
              </w:rPr>
              <w:t>理</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color w:val="000000"/>
                <w:sz w:val="15"/>
                <w:szCs w:val="15"/>
              </w:rPr>
            </w:pPr>
            <w:r>
              <w:rPr>
                <w:color w:val="000000"/>
                <w:sz w:val="15"/>
                <w:szCs w:val="15"/>
              </w:rPr>
              <w:t>财务</w:t>
            </w:r>
          </w:p>
          <w:p>
            <w:pPr>
              <w:overflowPunct w:val="0"/>
              <w:spacing w:line="320" w:lineRule="exact"/>
              <w:jc w:val="left"/>
              <w:rPr>
                <w:color w:val="000000"/>
                <w:sz w:val="15"/>
                <w:szCs w:val="15"/>
              </w:rPr>
            </w:pPr>
            <w:r>
              <w:rPr>
                <w:color w:val="000000"/>
                <w:sz w:val="15"/>
                <w:szCs w:val="15"/>
              </w:rPr>
              <w:t>管理</w:t>
            </w:r>
          </w:p>
          <w:p>
            <w:pPr>
              <w:overflowPunct w:val="0"/>
              <w:spacing w:line="320" w:lineRule="exact"/>
              <w:jc w:val="left"/>
              <w:rPr>
                <w:rFonts w:eastAsia="仿宋_GB2312"/>
                <w:color w:val="000000"/>
                <w:kern w:val="0"/>
                <w:sz w:val="16"/>
                <w:szCs w:val="16"/>
              </w:rPr>
            </w:pPr>
            <w:r>
              <w:rPr>
                <w:color w:val="000000"/>
                <w:sz w:val="15"/>
                <w:szCs w:val="15"/>
              </w:rPr>
              <w:t>(15分)</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color w:val="000000"/>
                <w:kern w:val="0"/>
                <w:sz w:val="16"/>
                <w:szCs w:val="16"/>
              </w:rPr>
            </w:pPr>
            <w:r>
              <w:rPr>
                <w:rFonts w:eastAsia="仿宋_GB2312"/>
                <w:color w:val="000000"/>
                <w:kern w:val="0"/>
                <w:sz w:val="16"/>
                <w:szCs w:val="16"/>
              </w:rPr>
              <w:t>资金</w:t>
            </w:r>
          </w:p>
          <w:p>
            <w:pPr>
              <w:overflowPunct w:val="0"/>
              <w:spacing w:line="320" w:lineRule="exact"/>
              <w:jc w:val="center"/>
              <w:rPr>
                <w:rFonts w:eastAsia="仿宋_GB2312"/>
                <w:color w:val="000000"/>
                <w:kern w:val="0"/>
                <w:sz w:val="16"/>
                <w:szCs w:val="16"/>
              </w:rPr>
            </w:pPr>
            <w:r>
              <w:rPr>
                <w:rFonts w:eastAsia="仿宋_GB2312"/>
                <w:color w:val="000000"/>
                <w:kern w:val="0"/>
                <w:sz w:val="16"/>
                <w:szCs w:val="16"/>
              </w:rPr>
              <w:t>拨付</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1.资金拨付是否坚持规范的审批程序(1分)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审批程序规范(1分)；审批程序不规范(0.5分)；未审批(0分)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restart"/>
            <w:tcBorders>
              <w:top w:val="single" w:color="auto" w:sz="4" w:space="0"/>
              <w:left w:val="single" w:color="auto" w:sz="4" w:space="0"/>
              <w:bottom w:val="single" w:color="auto" w:sz="4" w:space="0"/>
              <w:right w:val="single" w:color="auto" w:sz="4" w:space="0"/>
            </w:tcBorders>
            <w:shd w:val="clear" w:color="auto" w:fill="auto"/>
          </w:tcPr>
          <w:p>
            <w:pPr>
              <w:overflowPunct w:val="0"/>
              <w:spacing w:line="320" w:lineRule="exact"/>
              <w:rPr>
                <w:rFonts w:eastAsia="仿宋_GB2312"/>
                <w:kern w:val="0"/>
                <w:sz w:val="16"/>
                <w:szCs w:val="16"/>
              </w:rPr>
            </w:pPr>
            <w:r>
              <w:rPr>
                <w:rFonts w:eastAsia="仿宋_GB2312"/>
                <w:w w:val="90"/>
                <w:kern w:val="0"/>
                <w:sz w:val="16"/>
                <w:szCs w:val="16"/>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gridBefore w:val="1"/>
          <w:wBefore w:w="101" w:type="dxa"/>
          <w:trHeight w:val="9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2.资金拨付是否及时高效、简化便捷(1分)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手续便捷,及时高效(1分);手续繁杂</w:t>
            </w:r>
            <w:r>
              <w:rPr>
                <w:rFonts w:eastAsia="仿宋_GB2312"/>
                <w:b/>
                <w:bCs/>
                <w:color w:val="000000"/>
                <w:kern w:val="0"/>
                <w:sz w:val="15"/>
                <w:szCs w:val="15"/>
              </w:rPr>
              <w:t>，</w:t>
            </w:r>
            <w:r>
              <w:rPr>
                <w:rFonts w:eastAsia="仿宋_GB2312"/>
                <w:color w:val="000000"/>
                <w:kern w:val="0"/>
                <w:sz w:val="15"/>
                <w:szCs w:val="15"/>
              </w:rPr>
              <w:t>资金拨付不及时(0分)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3.是否严格执行国库集中支付和政府采购等制度(1分)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严格执行(1分)；未严格执行(0.5分)；未执行(0分)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4.是否按预算、按进度拨付资金,有无超拨欠拨(0.5分)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严格按预算按进度拨付(0.5分)；有超拨欠拨(0分)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restart"/>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5.是否有确保项目资金安全的措施并有效执行(1分)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有措施且执行较好（1分）；有措施但落实较差（0.5分）；没有防范措施或发生资金安全事故（0分）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kern w:val="0"/>
                <w:sz w:val="16"/>
                <w:szCs w:val="16"/>
              </w:rPr>
            </w:pPr>
            <w:r>
              <w:rPr>
                <w:rFonts w:eastAsia="仿宋_GB2312"/>
                <w:kern w:val="0"/>
                <w:sz w:val="16"/>
                <w:szCs w:val="16"/>
              </w:rPr>
              <w:t>资金</w:t>
            </w:r>
          </w:p>
          <w:p>
            <w:pPr>
              <w:overflowPunct w:val="0"/>
              <w:spacing w:line="320" w:lineRule="exact"/>
              <w:jc w:val="center"/>
              <w:rPr>
                <w:rFonts w:eastAsia="仿宋_GB2312"/>
                <w:kern w:val="0"/>
                <w:sz w:val="16"/>
                <w:szCs w:val="16"/>
              </w:rPr>
            </w:pPr>
            <w:r>
              <w:rPr>
                <w:rFonts w:eastAsia="仿宋_GB2312"/>
                <w:kern w:val="0"/>
                <w:sz w:val="16"/>
                <w:szCs w:val="16"/>
              </w:rPr>
              <w:t>使用</w:t>
            </w: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1.是否符合预算批复或合同规定的用途和范围(0.5分)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符合(0.5分)，有超范围或指定用途的支出发生（0分）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2.重大项目开支是否经过评估论证(0.5分)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评估论证(0.5分)；未评估论证（0分）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3.资金使用是否合法合规、真实有据(0.5分)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合法合规、真实有据(0.5分)；有违规支出或依据不真实(0分)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4.开支标准是否符合相关规定和定额管理要求(0.5分)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符合(0.5分)；不符合(0分)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5.是否存在截留、挤占、挪用、虚列支出等(0.5分)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不存在（0.5分）；存在（0分）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eastAsia="仿宋_GB2312"/>
                <w:kern w:val="0"/>
                <w:sz w:val="16"/>
                <w:szCs w:val="16"/>
              </w:rPr>
            </w:pPr>
            <w:r>
              <w:rPr>
                <w:rFonts w:eastAsia="仿宋_GB2312"/>
                <w:kern w:val="0"/>
                <w:sz w:val="16"/>
                <w:szCs w:val="16"/>
              </w:rPr>
              <w:t>财务</w:t>
            </w:r>
          </w:p>
          <w:p>
            <w:pPr>
              <w:overflowPunct w:val="0"/>
              <w:spacing w:line="320" w:lineRule="exact"/>
              <w:jc w:val="center"/>
              <w:rPr>
                <w:rFonts w:eastAsia="仿宋_GB2312"/>
                <w:kern w:val="0"/>
                <w:sz w:val="16"/>
                <w:szCs w:val="16"/>
              </w:rPr>
            </w:pPr>
            <w:r>
              <w:rPr>
                <w:rFonts w:eastAsia="仿宋_GB2312"/>
                <w:kern w:val="0"/>
                <w:sz w:val="16"/>
                <w:szCs w:val="16"/>
              </w:rPr>
              <w:t>监督</w:t>
            </w:r>
          </w:p>
        </w:tc>
        <w:tc>
          <w:tcPr>
            <w:tcW w:w="2535"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1.财务管理制度、项目资金管理办法是否有效执行(1分)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落实较好（1分）；落实较差（0.5）；管理混乱（0分）</w:t>
            </w:r>
          </w:p>
        </w:tc>
        <w:tc>
          <w:tcPr>
            <w:tcW w:w="5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27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2.财务管理是否规范，是否符合国家法律、法规和财务规章制度规定(0.5分)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规范（0.5分）；不规范（0分）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3.是否体现厉行节约、禁止奢侈浪费、注重资金使用效益的原则(1分)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eastAsia="仿宋_GB2312"/>
                <w:color w:val="000000"/>
                <w:kern w:val="0"/>
                <w:sz w:val="15"/>
                <w:szCs w:val="15"/>
              </w:rPr>
            </w:pPr>
            <w:r>
              <w:rPr>
                <w:rFonts w:eastAsia="仿宋_GB2312"/>
                <w:color w:val="000000"/>
                <w:kern w:val="0"/>
                <w:sz w:val="15"/>
                <w:szCs w:val="15"/>
              </w:rPr>
              <w:t>有节支措施且执行较好（1分）；有节支措施但执行较差（0.5分）；无节支措施（0分）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1</w:t>
            </w:r>
            <w:r>
              <w:rPr>
                <w:rFonts w:eastAsia="仿宋_GB2312"/>
                <w:color w:val="000000"/>
                <w:kern w:val="0"/>
                <w:sz w:val="16"/>
                <w:szCs w:val="16"/>
              </w:rPr>
              <w:t>　</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4.项目资金是否单独核算并分项目建立收支台账(0.5分)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分项目单独核算(0.5分)；未对项目收支进行明细核算(0分)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0.5</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5.账务处理是否及时、规范(0.5分)</w:t>
            </w:r>
          </w:p>
        </w:tc>
        <w:tc>
          <w:tcPr>
            <w:tcW w:w="29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账务处理及时、核算规范(0.5分)；不及时、不规范(0分)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r>
              <w:rPr>
                <w:rFonts w:hint="eastAsia" w:eastAsia="仿宋_GB2312"/>
                <w:color w:val="000000"/>
                <w:kern w:val="0"/>
                <w:sz w:val="16"/>
                <w:szCs w:val="16"/>
                <w:lang w:val="en-US" w:eastAsia="zh-CN"/>
              </w:rPr>
              <w:t>0.5</w:t>
            </w:r>
            <w:r>
              <w:rPr>
                <w:rFonts w:eastAsia="仿宋_GB2312"/>
                <w:color w:val="000000"/>
                <w:kern w:val="0"/>
                <w:sz w:val="16"/>
                <w:szCs w:val="16"/>
              </w:rPr>
              <w:t>　</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6"/>
                <w:szCs w:val="16"/>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left"/>
              <w:rPr>
                <w:rFonts w:eastAsia="仿宋_GB2312"/>
                <w:kern w:val="0"/>
                <w:sz w:val="16"/>
                <w:szCs w:val="16"/>
              </w:rPr>
            </w:pP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6.会计信息是否真实、完整，管理建议是否切合实际(1分)</w:t>
            </w:r>
          </w:p>
        </w:tc>
        <w:tc>
          <w:tcPr>
            <w:tcW w:w="2985" w:type="dxa"/>
            <w:tcBorders>
              <w:top w:val="nil"/>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color w:val="000000"/>
                <w:kern w:val="0"/>
                <w:sz w:val="15"/>
                <w:szCs w:val="15"/>
              </w:rPr>
            </w:pPr>
            <w:r>
              <w:rPr>
                <w:rFonts w:eastAsia="仿宋_GB2312"/>
                <w:color w:val="000000"/>
                <w:kern w:val="0"/>
                <w:sz w:val="15"/>
                <w:szCs w:val="15"/>
              </w:rPr>
              <w:t>真实、完整（1分）；基本真实、完整（0.5分）；有虚假信息或管理建议不切合实际（0分）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1</w:t>
            </w: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color w:val="000000"/>
                <w:sz w:val="15"/>
                <w:szCs w:val="15"/>
              </w:rPr>
            </w:pPr>
            <w:r>
              <w:rPr>
                <w:color w:val="000000"/>
                <w:sz w:val="15"/>
                <w:szCs w:val="15"/>
              </w:rPr>
              <w:t>目</w:t>
            </w:r>
          </w:p>
          <w:p>
            <w:pPr>
              <w:overflowPunct w:val="0"/>
              <w:spacing w:line="320" w:lineRule="exact"/>
              <w:jc w:val="center"/>
              <w:rPr>
                <w:color w:val="000000"/>
                <w:sz w:val="15"/>
                <w:szCs w:val="15"/>
              </w:rPr>
            </w:pPr>
            <w:r>
              <w:rPr>
                <w:color w:val="000000"/>
                <w:sz w:val="15"/>
                <w:szCs w:val="15"/>
              </w:rPr>
              <w:t xml:space="preserve">标 </w:t>
            </w:r>
          </w:p>
          <w:p>
            <w:pPr>
              <w:overflowPunct w:val="0"/>
              <w:spacing w:line="320" w:lineRule="exact"/>
              <w:jc w:val="center"/>
              <w:rPr>
                <w:color w:val="000000"/>
                <w:sz w:val="15"/>
                <w:szCs w:val="15"/>
              </w:rPr>
            </w:pPr>
            <w:r>
              <w:rPr>
                <w:color w:val="000000"/>
                <w:sz w:val="15"/>
                <w:szCs w:val="15"/>
              </w:rPr>
              <w:t>完</w:t>
            </w:r>
          </w:p>
          <w:p>
            <w:pPr>
              <w:overflowPunct w:val="0"/>
              <w:spacing w:line="320" w:lineRule="exact"/>
              <w:jc w:val="center"/>
              <w:rPr>
                <w:color w:val="000000"/>
                <w:sz w:val="15"/>
                <w:szCs w:val="15"/>
              </w:rPr>
            </w:pPr>
            <w:r>
              <w:rPr>
                <w:color w:val="000000"/>
                <w:sz w:val="15"/>
                <w:szCs w:val="15"/>
              </w:rPr>
              <w:t>成</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00" w:lineRule="exact"/>
              <w:jc w:val="center"/>
              <w:rPr>
                <w:color w:val="000000"/>
                <w:sz w:val="15"/>
                <w:szCs w:val="15"/>
              </w:rPr>
            </w:pPr>
            <w:r>
              <w:rPr>
                <w:color w:val="000000"/>
                <w:sz w:val="15"/>
                <w:szCs w:val="15"/>
              </w:rPr>
              <w:t>项目</w:t>
            </w:r>
          </w:p>
          <w:p>
            <w:pPr>
              <w:overflowPunct w:val="0"/>
              <w:spacing w:line="300" w:lineRule="exact"/>
              <w:jc w:val="center"/>
              <w:rPr>
                <w:color w:val="000000"/>
                <w:sz w:val="15"/>
                <w:szCs w:val="15"/>
              </w:rPr>
            </w:pPr>
            <w:r>
              <w:rPr>
                <w:color w:val="000000"/>
                <w:sz w:val="15"/>
                <w:szCs w:val="15"/>
              </w:rPr>
              <w:t>产出</w:t>
            </w:r>
          </w:p>
          <w:p>
            <w:pPr>
              <w:overflowPunct w:val="0"/>
              <w:spacing w:line="300" w:lineRule="exact"/>
              <w:jc w:val="center"/>
              <w:rPr>
                <w:color w:val="000000"/>
                <w:sz w:val="15"/>
                <w:szCs w:val="15"/>
              </w:rPr>
            </w:pPr>
            <w:r>
              <w:rPr>
                <w:color w:val="000000"/>
                <w:sz w:val="15"/>
                <w:szCs w:val="15"/>
              </w:rPr>
              <w:t>(20分)</w:t>
            </w:r>
          </w:p>
        </w:tc>
        <w:tc>
          <w:tcPr>
            <w:tcW w:w="925"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数量</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完成</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产出数量完成率（用T表示），即项目实施的实际产出数量与计划产出数量的比率，反映项目产出数量目标的实现程度(5分)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T≥100%(5分)；90%≤T＜100%(3分）</w:t>
            </w:r>
            <w:r>
              <w:rPr>
                <w:rFonts w:eastAsia="仿宋_GB2312"/>
                <w:b/>
                <w:bCs/>
                <w:color w:val="000000"/>
                <w:kern w:val="0"/>
                <w:sz w:val="15"/>
                <w:szCs w:val="15"/>
              </w:rPr>
              <w:t>；</w:t>
            </w:r>
            <w:r>
              <w:rPr>
                <w:rFonts w:eastAsia="仿宋_GB2312"/>
                <w:color w:val="000000"/>
                <w:kern w:val="0"/>
                <w:sz w:val="15"/>
                <w:szCs w:val="15"/>
              </w:rPr>
              <w:t>80%≤T＜90%(2分）</w:t>
            </w:r>
          </w:p>
          <w:p>
            <w:pPr>
              <w:overflowPunct w:val="0"/>
              <w:spacing w:line="300" w:lineRule="exact"/>
              <w:jc w:val="left"/>
              <w:rPr>
                <w:rFonts w:eastAsia="仿宋_GB2312"/>
                <w:color w:val="000000"/>
                <w:kern w:val="0"/>
                <w:sz w:val="15"/>
                <w:szCs w:val="15"/>
              </w:rPr>
            </w:pPr>
            <w:r>
              <w:rPr>
                <w:rFonts w:eastAsia="仿宋_GB2312"/>
                <w:color w:val="000000"/>
                <w:kern w:val="0"/>
                <w:sz w:val="15"/>
                <w:szCs w:val="15"/>
              </w:rPr>
              <w:t>；T＜80%(0分）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5</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left"/>
              <w:rPr>
                <w:rFonts w:eastAsia="仿宋_GB2312"/>
                <w:color w:val="000000"/>
                <w:kern w:val="0"/>
                <w:sz w:val="16"/>
                <w:szCs w:val="16"/>
              </w:rPr>
            </w:pPr>
          </w:p>
        </w:tc>
        <w:tc>
          <w:tcPr>
            <w:tcW w:w="925"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质量</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完成</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质量达标率（用S表示），即项目完成的质量达标产出数与实际产出数的比率，反映项目产出质量目标的实现程度(5分)</w:t>
            </w:r>
          </w:p>
        </w:tc>
        <w:tc>
          <w:tcPr>
            <w:tcW w:w="2985"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S≥95%(5分)；90%≤S＜95%(3分）；80%≤S＜90%(2分）</w:t>
            </w:r>
          </w:p>
          <w:p>
            <w:pPr>
              <w:overflowPunct w:val="0"/>
              <w:spacing w:line="300" w:lineRule="exact"/>
              <w:jc w:val="left"/>
              <w:rPr>
                <w:rFonts w:eastAsia="仿宋_GB2312"/>
                <w:color w:val="000000"/>
                <w:kern w:val="0"/>
                <w:sz w:val="15"/>
                <w:szCs w:val="15"/>
              </w:rPr>
            </w:pPr>
            <w:r>
              <w:rPr>
                <w:rFonts w:eastAsia="仿宋_GB2312"/>
                <w:color w:val="000000"/>
                <w:kern w:val="0"/>
                <w:sz w:val="15"/>
                <w:szCs w:val="15"/>
              </w:rPr>
              <w:t>；S＜80%(0分）</w:t>
            </w:r>
          </w:p>
        </w:tc>
        <w:tc>
          <w:tcPr>
            <w:tcW w:w="585" w:type="dxa"/>
            <w:tcBorders>
              <w:top w:val="single" w:color="auto" w:sz="4" w:space="0"/>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5</w:t>
            </w:r>
          </w:p>
        </w:tc>
        <w:tc>
          <w:tcPr>
            <w:tcW w:w="763"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300" w:lineRule="exact"/>
              <w:jc w:val="left"/>
              <w:rPr>
                <w:rFonts w:eastAsia="仿宋_GB2312"/>
                <w:color w:val="000000"/>
                <w:kern w:val="0"/>
                <w:sz w:val="16"/>
                <w:szCs w:val="16"/>
              </w:rPr>
            </w:pPr>
          </w:p>
        </w:tc>
        <w:tc>
          <w:tcPr>
            <w:tcW w:w="925" w:type="dxa"/>
            <w:tcBorders>
              <w:top w:val="nil"/>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时效</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完成</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完成及时率(用H表示），即项目实际提前完成时间与计划完成时间的比率，反映项目产出时效目标的实现程度(5分)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H≥0（5分）；H＜0(0分）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300" w:lineRule="exact"/>
              <w:jc w:val="left"/>
              <w:rPr>
                <w:rFonts w:eastAsia="仿宋_GB2312"/>
                <w:color w:val="000000"/>
                <w:kern w:val="0"/>
                <w:sz w:val="16"/>
                <w:szCs w:val="16"/>
              </w:rPr>
            </w:pPr>
          </w:p>
        </w:tc>
        <w:tc>
          <w:tcPr>
            <w:tcW w:w="925" w:type="dxa"/>
            <w:tcBorders>
              <w:top w:val="nil"/>
              <w:left w:val="nil"/>
              <w:bottom w:val="single" w:color="auto" w:sz="4" w:space="0"/>
              <w:right w:val="single" w:color="auto" w:sz="4" w:space="0"/>
            </w:tcBorders>
            <w:shd w:val="clear" w:color="auto" w:fill="auto"/>
            <w:vAlign w:val="center"/>
          </w:tcPr>
          <w:p>
            <w:pPr>
              <w:overflowPunct w:val="0"/>
              <w:spacing w:line="300" w:lineRule="exact"/>
              <w:jc w:val="center"/>
              <w:rPr>
                <w:rFonts w:eastAsia="仿宋_GB2312"/>
                <w:color w:val="000000"/>
                <w:kern w:val="0"/>
                <w:sz w:val="16"/>
                <w:szCs w:val="16"/>
              </w:rPr>
            </w:pPr>
            <w:r>
              <w:rPr>
                <w:rFonts w:eastAsia="仿宋_GB2312"/>
                <w:color w:val="000000"/>
                <w:kern w:val="0"/>
                <w:sz w:val="16"/>
                <w:szCs w:val="16"/>
              </w:rPr>
              <w:t>投资</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控制</w:t>
            </w:r>
          </w:p>
          <w:p>
            <w:pPr>
              <w:overflowPunct w:val="0"/>
              <w:spacing w:line="300" w:lineRule="exact"/>
              <w:jc w:val="center"/>
              <w:rPr>
                <w:rFonts w:eastAsia="仿宋_GB2312"/>
                <w:color w:val="000000"/>
                <w:kern w:val="0"/>
                <w:sz w:val="16"/>
                <w:szCs w:val="16"/>
              </w:rPr>
            </w:pPr>
            <w:r>
              <w:rPr>
                <w:rFonts w:eastAsia="仿宋_GB2312"/>
                <w:color w:val="000000"/>
                <w:kern w:val="0"/>
                <w:sz w:val="16"/>
                <w:szCs w:val="16"/>
              </w:rPr>
              <w:t>程度</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投资节约额（用N表示），即完成项目预定目标的实际投资节约额与预定投资额的比率；反映项目投资控制的效果(5分)</w:t>
            </w:r>
          </w:p>
        </w:tc>
        <w:tc>
          <w:tcPr>
            <w:tcW w:w="2985" w:type="dxa"/>
            <w:tcBorders>
              <w:top w:val="nil"/>
              <w:left w:val="nil"/>
              <w:bottom w:val="single" w:color="auto" w:sz="4" w:space="0"/>
              <w:right w:val="single" w:color="auto" w:sz="4" w:space="0"/>
            </w:tcBorders>
            <w:shd w:val="clear" w:color="auto" w:fill="auto"/>
            <w:vAlign w:val="center"/>
          </w:tcPr>
          <w:p>
            <w:pPr>
              <w:overflowPunct w:val="0"/>
              <w:spacing w:line="300" w:lineRule="exact"/>
              <w:jc w:val="left"/>
              <w:rPr>
                <w:rFonts w:eastAsia="仿宋_GB2312"/>
                <w:color w:val="000000"/>
                <w:kern w:val="0"/>
                <w:sz w:val="15"/>
                <w:szCs w:val="15"/>
              </w:rPr>
            </w:pPr>
            <w:r>
              <w:rPr>
                <w:rFonts w:eastAsia="仿宋_GB2312"/>
                <w:color w:val="000000"/>
                <w:kern w:val="0"/>
                <w:sz w:val="15"/>
                <w:szCs w:val="15"/>
              </w:rPr>
              <w:t>N≥0（5分）；-10%≤N＜0(3分）；N＜-10%(0分）</w:t>
            </w:r>
          </w:p>
        </w:tc>
        <w:tc>
          <w:tcPr>
            <w:tcW w:w="585" w:type="dxa"/>
            <w:tcBorders>
              <w:top w:val="nil"/>
              <w:left w:val="nil"/>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5</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项</w:t>
            </w:r>
          </w:p>
          <w:p>
            <w:pPr>
              <w:overflowPunct w:val="0"/>
              <w:spacing w:line="280" w:lineRule="exact"/>
              <w:jc w:val="center"/>
              <w:rPr>
                <w:color w:val="000000"/>
                <w:sz w:val="15"/>
                <w:szCs w:val="15"/>
              </w:rPr>
            </w:pPr>
            <w:r>
              <w:rPr>
                <w:color w:val="000000"/>
                <w:sz w:val="15"/>
                <w:szCs w:val="15"/>
              </w:rPr>
              <w:t>目</w:t>
            </w:r>
          </w:p>
          <w:p>
            <w:pPr>
              <w:overflowPunct w:val="0"/>
              <w:spacing w:line="280" w:lineRule="exact"/>
              <w:jc w:val="center"/>
              <w:rPr>
                <w:color w:val="000000"/>
                <w:sz w:val="15"/>
                <w:szCs w:val="15"/>
              </w:rPr>
            </w:pPr>
            <w:r>
              <w:rPr>
                <w:color w:val="000000"/>
                <w:sz w:val="15"/>
                <w:szCs w:val="15"/>
              </w:rPr>
              <w:t>效</w:t>
            </w:r>
          </w:p>
          <w:p>
            <w:pPr>
              <w:overflowPunct w:val="0"/>
              <w:spacing w:line="280" w:lineRule="exact"/>
              <w:jc w:val="center"/>
              <w:rPr>
                <w:color w:val="000000"/>
                <w:sz w:val="15"/>
                <w:szCs w:val="15"/>
              </w:rPr>
            </w:pPr>
            <w:r>
              <w:rPr>
                <w:color w:val="000000"/>
                <w:sz w:val="15"/>
                <w:szCs w:val="15"/>
              </w:rPr>
              <w:t>果</w:t>
            </w:r>
          </w:p>
        </w:tc>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color w:val="000000"/>
                <w:sz w:val="15"/>
                <w:szCs w:val="15"/>
              </w:rPr>
            </w:pPr>
            <w:r>
              <w:rPr>
                <w:color w:val="000000"/>
                <w:sz w:val="15"/>
                <w:szCs w:val="15"/>
              </w:rPr>
              <w:t>项目</w:t>
            </w:r>
          </w:p>
          <w:p>
            <w:pPr>
              <w:overflowPunct w:val="0"/>
              <w:spacing w:line="280" w:lineRule="exact"/>
              <w:jc w:val="center"/>
              <w:rPr>
                <w:color w:val="000000"/>
                <w:sz w:val="15"/>
                <w:szCs w:val="15"/>
              </w:rPr>
            </w:pPr>
            <w:r>
              <w:rPr>
                <w:color w:val="000000"/>
                <w:sz w:val="15"/>
                <w:szCs w:val="15"/>
              </w:rPr>
              <w:t>效益</w:t>
            </w:r>
          </w:p>
          <w:p>
            <w:pPr>
              <w:overflowPunct w:val="0"/>
              <w:spacing w:line="280" w:lineRule="exact"/>
              <w:jc w:val="center"/>
              <w:rPr>
                <w:color w:val="000000"/>
                <w:sz w:val="15"/>
                <w:szCs w:val="15"/>
              </w:rPr>
            </w:pPr>
            <w:r>
              <w:rPr>
                <w:color w:val="000000"/>
                <w:sz w:val="15"/>
                <w:szCs w:val="15"/>
              </w:rPr>
              <w:t>(30分)</w:t>
            </w:r>
          </w:p>
        </w:tc>
        <w:tc>
          <w:tcPr>
            <w:tcW w:w="925"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经济</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效益</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项目实施对经济发展所带来的直接或间接影响(6分)</w:t>
            </w:r>
          </w:p>
        </w:tc>
        <w:tc>
          <w:tcPr>
            <w:tcW w:w="298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根据各项目具体特点不同相应设定相应的个性化评价指标和评价标准</w:t>
            </w:r>
          </w:p>
        </w:tc>
        <w:tc>
          <w:tcPr>
            <w:tcW w:w="585" w:type="dxa"/>
            <w:vMerge w:val="restart"/>
            <w:tcBorders>
              <w:top w:val="nil"/>
              <w:left w:val="single" w:color="auto" w:sz="4" w:space="0"/>
              <w:bottom w:val="single" w:color="000000" w:sz="4" w:space="0"/>
              <w:right w:val="single" w:color="auto" w:sz="4" w:space="0"/>
            </w:tcBorders>
            <w:shd w:val="clear" w:color="auto" w:fill="auto"/>
            <w:vAlign w:val="center"/>
          </w:tcPr>
          <w:p>
            <w:pPr>
              <w:overflowPunct w:val="0"/>
              <w:spacing w:line="320" w:lineRule="exact"/>
              <w:jc w:val="both"/>
              <w:rPr>
                <w:rFonts w:hint="default" w:eastAsia="仿宋_GB2312"/>
                <w:color w:val="000000"/>
                <w:kern w:val="0"/>
                <w:sz w:val="16"/>
                <w:szCs w:val="16"/>
                <w:lang w:val="en-US" w:eastAsia="zh-CN"/>
              </w:rPr>
            </w:pPr>
            <w:r>
              <w:rPr>
                <w:rFonts w:hint="eastAsia" w:eastAsia="仿宋_GB2312"/>
                <w:color w:val="000000"/>
                <w:kern w:val="0"/>
                <w:sz w:val="16"/>
                <w:szCs w:val="16"/>
                <w:lang w:val="en-US" w:eastAsia="zh-CN"/>
              </w:rPr>
              <w:t>20</w:t>
            </w: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925"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社会</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效益</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项目实施对社会发展所带来的直接或间接影响(6分)</w:t>
            </w:r>
          </w:p>
        </w:tc>
        <w:tc>
          <w:tcPr>
            <w:tcW w:w="2985"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5"/>
                <w:szCs w:val="15"/>
              </w:rPr>
            </w:pPr>
          </w:p>
        </w:tc>
        <w:tc>
          <w:tcPr>
            <w:tcW w:w="58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420" w:hRule="atLeast"/>
        </w:trPr>
        <w:tc>
          <w:tcPr>
            <w:tcW w:w="565"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925"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生态</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效益</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项目实施对生态环境所带来的直接或间接影响(6分)</w:t>
            </w:r>
          </w:p>
        </w:tc>
        <w:tc>
          <w:tcPr>
            <w:tcW w:w="2985" w:type="dxa"/>
            <w:vMerge w:val="continue"/>
            <w:tcBorders>
              <w:top w:val="nil"/>
              <w:left w:val="single" w:color="auto" w:sz="4" w:space="0"/>
              <w:bottom w:val="single" w:color="000000" w:sz="4" w:space="0"/>
              <w:right w:val="single" w:color="auto" w:sz="4" w:space="0"/>
            </w:tcBorders>
            <w:vAlign w:val="center"/>
          </w:tcPr>
          <w:p>
            <w:pPr>
              <w:overflowPunct w:val="0"/>
              <w:spacing w:line="280" w:lineRule="exact"/>
              <w:jc w:val="left"/>
              <w:rPr>
                <w:rFonts w:eastAsia="仿宋_GB2312"/>
                <w:color w:val="000000"/>
                <w:kern w:val="0"/>
                <w:sz w:val="15"/>
                <w:szCs w:val="15"/>
              </w:rPr>
            </w:pPr>
          </w:p>
        </w:tc>
        <w:tc>
          <w:tcPr>
            <w:tcW w:w="585" w:type="dxa"/>
            <w:vMerge w:val="continue"/>
            <w:tcBorders>
              <w:top w:val="nil"/>
              <w:left w:val="single" w:color="auto" w:sz="4" w:space="0"/>
              <w:bottom w:val="single" w:color="000000"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763" w:type="dxa"/>
            <w:vMerge w:val="continue"/>
            <w:tcBorders>
              <w:left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355" w:hRule="atLeast"/>
        </w:trPr>
        <w:tc>
          <w:tcPr>
            <w:tcW w:w="565"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545"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925" w:type="dxa"/>
            <w:tcBorders>
              <w:top w:val="nil"/>
              <w:left w:val="nil"/>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可持续</w:t>
            </w:r>
          </w:p>
          <w:p>
            <w:pPr>
              <w:overflowPunct w:val="0"/>
              <w:spacing w:line="280" w:lineRule="exact"/>
              <w:jc w:val="center"/>
              <w:rPr>
                <w:rFonts w:eastAsia="仿宋_GB2312"/>
                <w:color w:val="000000"/>
                <w:kern w:val="0"/>
                <w:sz w:val="16"/>
                <w:szCs w:val="16"/>
              </w:rPr>
            </w:pPr>
            <w:r>
              <w:rPr>
                <w:rFonts w:eastAsia="仿宋_GB2312"/>
                <w:color w:val="000000"/>
                <w:kern w:val="0"/>
                <w:sz w:val="16"/>
                <w:szCs w:val="16"/>
              </w:rPr>
              <w:t>影响</w:t>
            </w:r>
          </w:p>
        </w:tc>
        <w:tc>
          <w:tcPr>
            <w:tcW w:w="2535" w:type="dxa"/>
            <w:tcBorders>
              <w:top w:val="single" w:color="auto" w:sz="4" w:space="0"/>
              <w:left w:val="nil"/>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项目后续运行及成效发挥的可持续影响(6分)</w:t>
            </w:r>
          </w:p>
        </w:tc>
        <w:tc>
          <w:tcPr>
            <w:tcW w:w="2985" w:type="dxa"/>
            <w:vMerge w:val="continue"/>
            <w:tcBorders>
              <w:top w:val="nil"/>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5"/>
                <w:szCs w:val="15"/>
              </w:rPr>
            </w:pPr>
          </w:p>
        </w:tc>
        <w:tc>
          <w:tcPr>
            <w:tcW w:w="585" w:type="dxa"/>
            <w:vMerge w:val="continue"/>
            <w:tcBorders>
              <w:top w:val="nil"/>
              <w:left w:val="single" w:color="auto" w:sz="4" w:space="0"/>
              <w:bottom w:val="single" w:color="auto" w:sz="4" w:space="0"/>
              <w:right w:val="single" w:color="auto" w:sz="4" w:space="0"/>
            </w:tcBorders>
            <w:vAlign w:val="center"/>
          </w:tcPr>
          <w:p>
            <w:pPr>
              <w:overflowPunct w:val="0"/>
              <w:spacing w:line="320" w:lineRule="exact"/>
              <w:jc w:val="left"/>
              <w:rPr>
                <w:rFonts w:eastAsia="仿宋_GB2312"/>
                <w:color w:val="000000"/>
                <w:kern w:val="0"/>
                <w:sz w:val="16"/>
                <w:szCs w:val="16"/>
              </w:rPr>
            </w:pPr>
          </w:p>
        </w:tc>
        <w:tc>
          <w:tcPr>
            <w:tcW w:w="763"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gridBefore w:val="1"/>
          <w:wBefore w:w="101" w:type="dxa"/>
          <w:trHeight w:val="630" w:hRule="atLeast"/>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eastAsia="仿宋_GB2312"/>
                <w:color w:val="000000"/>
                <w:kern w:val="0"/>
                <w:sz w:val="16"/>
                <w:szCs w:val="16"/>
              </w:rPr>
            </w:pP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eastAsia="仿宋_GB2312"/>
                <w:color w:val="000000"/>
                <w:kern w:val="0"/>
                <w:sz w:val="16"/>
                <w:szCs w:val="16"/>
              </w:rPr>
            </w:pPr>
            <w:r>
              <w:rPr>
                <w:rFonts w:eastAsia="仿宋_GB2312"/>
                <w:color w:val="000000"/>
                <w:kern w:val="0"/>
                <w:sz w:val="16"/>
                <w:szCs w:val="16"/>
              </w:rPr>
              <w:t>社会满意程度</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社会满意程度（用R表示），即社会公众或服务对象对项目实施效果的满意程度(6分)</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eastAsia="仿宋_GB2312"/>
                <w:color w:val="000000"/>
                <w:kern w:val="0"/>
                <w:sz w:val="15"/>
                <w:szCs w:val="15"/>
              </w:rPr>
            </w:pPr>
            <w:r>
              <w:rPr>
                <w:rFonts w:eastAsia="仿宋_GB2312"/>
                <w:color w:val="000000"/>
                <w:kern w:val="0"/>
                <w:sz w:val="15"/>
                <w:szCs w:val="15"/>
              </w:rPr>
              <w:t>R≥90%（6分）；80%≤R＜90%(4分）；70%≤R＜80%(2分）</w:t>
            </w:r>
          </w:p>
          <w:p>
            <w:pPr>
              <w:overflowPunct w:val="0"/>
              <w:spacing w:line="280" w:lineRule="exact"/>
              <w:jc w:val="left"/>
              <w:rPr>
                <w:rFonts w:eastAsia="仿宋_GB2312"/>
                <w:color w:val="000000"/>
                <w:kern w:val="0"/>
                <w:sz w:val="15"/>
                <w:szCs w:val="15"/>
              </w:rPr>
            </w:pPr>
            <w:r>
              <w:rPr>
                <w:rFonts w:eastAsia="仿宋_GB2312"/>
                <w:color w:val="000000"/>
                <w:kern w:val="0"/>
                <w:sz w:val="15"/>
                <w:szCs w:val="15"/>
              </w:rPr>
              <w:t>；R＜70%(0分）</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hint="eastAsia" w:eastAsia="仿宋_GB2312"/>
                <w:color w:val="000000"/>
                <w:kern w:val="0"/>
                <w:sz w:val="16"/>
                <w:szCs w:val="16"/>
                <w:lang w:val="en-US" w:eastAsia="zh-CN"/>
              </w:rPr>
            </w:pPr>
            <w:r>
              <w:rPr>
                <w:rFonts w:hint="eastAsia" w:eastAsia="仿宋_GB2312"/>
                <w:color w:val="000000"/>
                <w:kern w:val="0"/>
                <w:sz w:val="16"/>
                <w:szCs w:val="16"/>
                <w:lang w:val="en-US" w:eastAsia="zh-CN"/>
              </w:rPr>
              <w:t>6</w:t>
            </w:r>
          </w:p>
        </w:tc>
        <w:tc>
          <w:tcPr>
            <w:tcW w:w="7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left"/>
              <w:rPr>
                <w:rFonts w:eastAsia="仿宋_GB2312"/>
                <w:kern w:val="0"/>
                <w:sz w:val="16"/>
                <w:szCs w:val="16"/>
              </w:rPr>
            </w:pPr>
          </w:p>
        </w:tc>
      </w:tr>
      <w:tr>
        <w:tblPrEx>
          <w:tblCellMar>
            <w:top w:w="0" w:type="dxa"/>
            <w:left w:w="108" w:type="dxa"/>
            <w:bottom w:w="0" w:type="dxa"/>
            <w:right w:w="108" w:type="dxa"/>
          </w:tblCellMar>
        </w:tblPrEx>
        <w:trPr>
          <w:trHeight w:val="420" w:hRule="atLeast"/>
        </w:trPr>
        <w:tc>
          <w:tcPr>
            <w:tcW w:w="9004" w:type="dxa"/>
            <w:gridSpan w:val="8"/>
            <w:tcBorders>
              <w:top w:val="nil"/>
              <w:left w:val="nil"/>
              <w:bottom w:val="nil"/>
              <w:right w:val="nil"/>
            </w:tcBorders>
            <w:shd w:val="clear" w:color="auto" w:fill="auto"/>
            <w:vAlign w:val="center"/>
          </w:tcPr>
          <w:p>
            <w:pPr>
              <w:overflowPunct w:val="0"/>
              <w:spacing w:line="320" w:lineRule="exact"/>
              <w:jc w:val="both"/>
              <w:rPr>
                <w:rFonts w:eastAsia="方正小标宋简体"/>
                <w:b/>
                <w:bCs/>
                <w:sz w:val="32"/>
                <w:szCs w:val="32"/>
              </w:rPr>
            </w:pPr>
          </w:p>
        </w:tc>
      </w:tr>
    </w:tbl>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B312E"/>
    <w:rsid w:val="022E3637"/>
    <w:rsid w:val="0E8E3F50"/>
    <w:rsid w:val="1BAD2C53"/>
    <w:rsid w:val="1D574F12"/>
    <w:rsid w:val="255359FF"/>
    <w:rsid w:val="2EEB312E"/>
    <w:rsid w:val="37FC7210"/>
    <w:rsid w:val="410B2B60"/>
    <w:rsid w:val="46A910B7"/>
    <w:rsid w:val="609A0820"/>
    <w:rsid w:val="62541C21"/>
    <w:rsid w:val="648F1C1B"/>
    <w:rsid w:val="7FED4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tabs>
        <w:tab w:val="left" w:pos="6048"/>
      </w:tabs>
      <w:ind w:firstLine="420" w:firstLineChars="200"/>
    </w:pPr>
  </w:style>
  <w:style w:type="paragraph" w:styleId="3">
    <w:name w:val="Body Text Indent"/>
    <w:basedOn w:val="1"/>
    <w:qFormat/>
    <w:uiPriority w:val="0"/>
    <w:pPr>
      <w:tabs>
        <w:tab w:val="left" w:pos="6048"/>
      </w:tabs>
      <w:adjustRightInd w:val="0"/>
      <w:snapToGrid w:val="0"/>
      <w:spacing w:line="560" w:lineRule="exact"/>
      <w:ind w:firstLine="640" w:firstLineChars="200"/>
      <w:jc w:val="left"/>
    </w:pPr>
    <w:rPr>
      <w:rFonts w:ascii="仿宋_GB2312" w:hAnsi="宋体"/>
      <w:szCs w:val="32"/>
    </w:rPr>
  </w:style>
  <w:style w:type="paragraph" w:styleId="4">
    <w:name w:val="Body Text First Indent"/>
    <w:basedOn w:val="5"/>
    <w:next w:val="5"/>
    <w:qFormat/>
    <w:uiPriority w:val="0"/>
    <w:pPr>
      <w:ind w:firstLine="482" w:firstLineChars="200"/>
    </w:pPr>
    <w:rPr>
      <w:rFonts w:ascii="Times New Roman" w:hAnsi="Times New Roman"/>
    </w:rPr>
  </w:style>
  <w:style w:type="paragraph" w:styleId="5">
    <w:name w:val="Body Text"/>
    <w:basedOn w:val="1"/>
    <w:next w:val="1"/>
    <w:qFormat/>
    <w:uiPriority w:val="0"/>
    <w:pPr>
      <w:autoSpaceDE w:val="0"/>
      <w:autoSpaceDN w:val="0"/>
      <w:jc w:val="left"/>
    </w:pPr>
    <w:rPr>
      <w:rFonts w:ascii="方正仿宋_GBK" w:hAnsi="方正仿宋_GBK" w:eastAsia="方正仿宋_GBK"/>
      <w:kern w:val="0"/>
      <w:sz w:val="32"/>
      <w:szCs w:val="32"/>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2022-06-22T03:18:00Z</dcterms:created>
  <dc:creator>Administrator</dc:creator>
  <cp:lastModifiedBy>Administrator</cp:lastModifiedBy>
  <dcterms:modified xsi:type="dcterms:W3CDTF">2022-06-22T03:19:05Z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AC0F349A2E99408AB99D79EC922DC4DE</vt:lpwstr>
  </property>
</Properties>
</file>