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auto"/>
          <w:sz w:val="36"/>
          <w:szCs w:val="36"/>
          <w:highlight w:val="none"/>
        </w:rPr>
      </w:pPr>
    </w:p>
    <w:p>
      <w:pPr>
        <w:rPr>
          <w:rFonts w:ascii="仿宋_GB2312" w:hAnsi="仿宋_GB2312" w:eastAsia="仿宋_GB2312" w:cs="仿宋_GB2312"/>
          <w:color w:val="auto"/>
          <w:sz w:val="36"/>
          <w:szCs w:val="36"/>
          <w:highlight w:val="none"/>
        </w:rPr>
      </w:pPr>
    </w:p>
    <w:p>
      <w:pPr>
        <w:rPr>
          <w:rFonts w:ascii="仿宋_GB2312" w:hAnsi="仿宋_GB2312" w:eastAsia="仿宋_GB2312" w:cs="仿宋_GB2312"/>
          <w:color w:val="auto"/>
          <w:sz w:val="36"/>
          <w:szCs w:val="36"/>
          <w:highlight w:val="none"/>
        </w:rPr>
      </w:pPr>
    </w:p>
    <w:p>
      <w:pPr>
        <w:rPr>
          <w:rFonts w:ascii="仿宋_GB2312" w:hAnsi="仿宋_GB2312" w:eastAsia="仿宋_GB2312" w:cs="仿宋_GB2312"/>
          <w:color w:val="auto"/>
          <w:sz w:val="36"/>
          <w:szCs w:val="36"/>
          <w:highlight w:val="none"/>
        </w:rPr>
      </w:pPr>
    </w:p>
    <w:p>
      <w:pPr>
        <w:rPr>
          <w:rFonts w:hint="eastAsia" w:ascii="仿宋_GB2312" w:hAnsi="仿宋_GB2312" w:eastAsia="仿宋_GB2312" w:cs="仿宋_GB2312"/>
          <w:color w:val="auto"/>
          <w:sz w:val="36"/>
          <w:szCs w:val="36"/>
          <w:highlight w:val="none"/>
        </w:rPr>
      </w:pPr>
    </w:p>
    <w:p>
      <w:pPr>
        <w:adjustRightInd w:val="0"/>
        <w:snapToGrid w:val="0"/>
        <w:jc w:val="center"/>
        <w:outlineLvl w:val="0"/>
        <w:rPr>
          <w:rFonts w:hint="eastAsia"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pPr>
        <w:keepNext w:val="0"/>
        <w:keepLines w:val="0"/>
        <w:pageBreakBefore w:val="0"/>
        <w:widowControl w:val="0"/>
        <w:kinsoku/>
        <w:wordWrap/>
        <w:overflowPunct/>
        <w:topLinePunct w:val="0"/>
        <w:autoSpaceDE/>
        <w:autoSpaceDN/>
        <w:bidi w:val="0"/>
        <w:adjustRightInd w:val="0"/>
        <w:snapToGrid w:val="0"/>
        <w:spacing w:before="192" w:beforeLines="80" w:line="312" w:lineRule="auto"/>
        <w:jc w:val="center"/>
        <w:textAlignment w:val="auto"/>
        <w:rPr>
          <w:rFonts w:hint="eastAsia" w:ascii="楷体_GB2312" w:eastAsia="楷体_GB2312"/>
          <w:bCs/>
          <w:color w:val="auto"/>
          <w:sz w:val="48"/>
          <w:szCs w:val="48"/>
          <w:highlight w:val="none"/>
        </w:rPr>
      </w:pPr>
      <w:r>
        <w:rPr>
          <w:rFonts w:hint="eastAsia" w:ascii="楷体_GB2312" w:eastAsia="楷体_GB2312"/>
          <w:bCs/>
          <w:color w:val="auto"/>
          <w:sz w:val="48"/>
          <w:szCs w:val="48"/>
          <w:highlight w:val="none"/>
        </w:rPr>
        <w:t>（污染影响类）</w:t>
      </w: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outlineLvl w:val="9"/>
        <w:rPr>
          <w:rFonts w:ascii="华文仿宋" w:hAnsi="华文仿宋" w:eastAsia="华文仿宋" w:cs="华文仿宋"/>
          <w:color w:val="auto"/>
          <w:kern w:val="44"/>
          <w:sz w:val="44"/>
          <w:szCs w:val="44"/>
          <w:highlight w:val="none"/>
        </w:rPr>
      </w:pPr>
      <w:r>
        <w:rPr>
          <w:rFonts w:hint="eastAsia" w:ascii="楷体_GB2312" w:eastAsia="楷体_GB2312"/>
          <w:bCs/>
          <w:color w:val="auto"/>
          <w:sz w:val="48"/>
          <w:szCs w:val="48"/>
          <w:highlight w:val="none"/>
        </w:rPr>
        <w:t>（</w:t>
      </w:r>
      <w:r>
        <w:rPr>
          <w:rFonts w:hint="eastAsia" w:ascii="楷体_GB2312" w:eastAsia="楷体_GB2312"/>
          <w:bCs/>
          <w:color w:val="auto"/>
          <w:sz w:val="48"/>
          <w:szCs w:val="48"/>
          <w:highlight w:val="none"/>
          <w:lang w:val="en-US" w:eastAsia="zh-CN"/>
        </w:rPr>
        <w:t>送审本</w:t>
      </w:r>
      <w:r>
        <w:rPr>
          <w:rFonts w:hint="eastAsia" w:ascii="楷体_GB2312" w:eastAsia="楷体_GB2312"/>
          <w:bCs/>
          <w:color w:val="auto"/>
          <w:sz w:val="48"/>
          <w:szCs w:val="48"/>
          <w:highlight w:val="none"/>
        </w:rPr>
        <w:t>）</w:t>
      </w:r>
    </w:p>
    <w:p>
      <w:pPr>
        <w:jc w:val="center"/>
        <w:rPr>
          <w:rFonts w:eastAsia="仿宋"/>
          <w:color w:val="auto"/>
          <w:sz w:val="52"/>
          <w:szCs w:val="52"/>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keepNext w:val="0"/>
        <w:keepLines w:val="0"/>
        <w:pageBreakBefore w:val="0"/>
        <w:widowControl w:val="0"/>
        <w:kinsoku/>
        <w:wordWrap/>
        <w:overflowPunct/>
        <w:topLinePunct w:val="0"/>
        <w:autoSpaceDE/>
        <w:autoSpaceDN/>
        <w:bidi w:val="0"/>
        <w:adjustRightInd w:val="0"/>
        <w:snapToGrid w:val="0"/>
        <w:spacing w:line="288" w:lineRule="auto"/>
        <w:ind w:firstLine="567"/>
        <w:textAlignment w:val="auto"/>
        <w:rPr>
          <w:rFonts w:hint="eastAsia" w:ascii="仿宋_GB2312" w:eastAsia="仿宋_GB2312"/>
          <w:color w:val="auto"/>
          <w:sz w:val="36"/>
          <w:szCs w:val="36"/>
          <w:highlight w:val="none"/>
          <w:u w:val="single"/>
        </w:rPr>
      </w:pPr>
      <w:r>
        <w:rPr>
          <w:rFonts w:hint="eastAsia" w:ascii="仿宋_GB2312" w:eastAsia="仿宋_GB2312"/>
          <w:color w:val="auto"/>
          <w:sz w:val="36"/>
          <w:szCs w:val="36"/>
          <w:highlight w:val="none"/>
        </w:rPr>
        <w:t>项目名称：</w:t>
      </w:r>
      <w:r>
        <w:rPr>
          <w:rFonts w:hint="eastAsia"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lang w:val="en-US" w:eastAsia="zh-CN"/>
        </w:rPr>
        <w:t xml:space="preserve"> </w:t>
      </w:r>
      <w:r>
        <w:rPr>
          <w:rFonts w:hint="eastAsia" w:ascii="仿宋_GB2312" w:eastAsia="仿宋_GB2312"/>
          <w:color w:val="auto"/>
          <w:sz w:val="36"/>
          <w:szCs w:val="36"/>
          <w:highlight w:val="none"/>
          <w:u w:val="single"/>
        </w:rPr>
        <w:t>胡婆婆食品二期扩能及产业延伸项目</w:t>
      </w:r>
      <w:r>
        <w:rPr>
          <w:rFonts w:hint="eastAsia" w:ascii="仿宋_GB2312" w:eastAsia="仿宋_GB2312"/>
          <w:color w:val="auto"/>
          <w:sz w:val="36"/>
          <w:szCs w:val="36"/>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firstLine="567"/>
        <w:textAlignment w:val="auto"/>
        <w:rPr>
          <w:rFonts w:hint="eastAsia" w:ascii="仿宋_GB2312" w:eastAsia="仿宋_GB2312"/>
          <w:color w:val="auto"/>
          <w:sz w:val="36"/>
          <w:szCs w:val="36"/>
          <w:highlight w:val="none"/>
          <w:u w:val="single"/>
          <w:lang w:val="en-US" w:eastAsia="zh-CN"/>
        </w:rPr>
      </w:pPr>
      <w:r>
        <w:rPr>
          <w:rFonts w:hint="eastAsia" w:ascii="仿宋_GB2312" w:eastAsia="仿宋_GB2312"/>
          <w:color w:val="auto"/>
          <w:sz w:val="36"/>
          <w:szCs w:val="36"/>
          <w:highlight w:val="none"/>
        </w:rPr>
        <w:t>建设单位（盖章）：</w:t>
      </w:r>
      <w:r>
        <w:rPr>
          <w:rFonts w:hint="eastAsia" w:ascii="仿宋_GB2312" w:eastAsia="仿宋_GB2312"/>
          <w:color w:val="auto"/>
          <w:sz w:val="36"/>
          <w:szCs w:val="36"/>
          <w:highlight w:val="none"/>
          <w:u w:val="single"/>
        </w:rPr>
        <w:t>四川省胡婆婆食品有限责任公司</w:t>
      </w:r>
    </w:p>
    <w:p>
      <w:pPr>
        <w:keepNext w:val="0"/>
        <w:keepLines w:val="0"/>
        <w:pageBreakBefore w:val="0"/>
        <w:widowControl w:val="0"/>
        <w:kinsoku/>
        <w:wordWrap/>
        <w:overflowPunct/>
        <w:topLinePunct w:val="0"/>
        <w:autoSpaceDE/>
        <w:autoSpaceDN/>
        <w:bidi w:val="0"/>
        <w:adjustRightInd w:val="0"/>
        <w:snapToGrid w:val="0"/>
        <w:spacing w:line="288" w:lineRule="auto"/>
        <w:ind w:firstLine="567"/>
        <w:textAlignment w:val="auto"/>
        <w:rPr>
          <w:rFonts w:hint="eastAsia" w:ascii="仿宋_GB2312" w:eastAsia="仿宋_GB2312"/>
          <w:color w:val="auto"/>
          <w:sz w:val="36"/>
          <w:szCs w:val="36"/>
          <w:highlight w:val="none"/>
          <w:u w:val="single"/>
        </w:rPr>
      </w:pPr>
      <w:r>
        <w:rPr>
          <w:rFonts w:hint="eastAsia" w:ascii="仿宋_GB2312" w:eastAsia="仿宋_GB2312"/>
          <w:color w:val="auto"/>
          <w:sz w:val="36"/>
          <w:szCs w:val="36"/>
          <w:highlight w:val="none"/>
        </w:rPr>
        <w:t>编制日期：</w:t>
      </w:r>
      <w:r>
        <w:rPr>
          <w:rFonts w:hint="eastAsia" w:ascii="仿宋_GB2312" w:eastAsia="仿宋_GB2312"/>
          <w:color w:val="auto"/>
          <w:sz w:val="36"/>
          <w:szCs w:val="36"/>
          <w:highlight w:val="none"/>
          <w:u w:val="single"/>
        </w:rPr>
        <w:t xml:space="preserve"> </w:t>
      </w:r>
      <w:r>
        <w:rPr>
          <w:rFonts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lang w:val="en-US" w:eastAsia="zh-CN"/>
        </w:rPr>
        <w:t xml:space="preserve">         </w:t>
      </w:r>
      <w:r>
        <w:rPr>
          <w:rFonts w:ascii="仿宋_GB2312" w:eastAsia="仿宋_GB2312"/>
          <w:color w:val="auto"/>
          <w:sz w:val="36"/>
          <w:szCs w:val="36"/>
          <w:highlight w:val="none"/>
          <w:u w:val="single"/>
        </w:rPr>
        <w:t xml:space="preserve"> </w:t>
      </w:r>
      <w:r>
        <w:rPr>
          <w:rFonts w:hint="default" w:ascii="Times New Roman" w:hAnsi="Times New Roman" w:eastAsia="仿宋_GB2312" w:cs="Times New Roman"/>
          <w:color w:val="auto"/>
          <w:sz w:val="36"/>
          <w:szCs w:val="36"/>
          <w:highlight w:val="none"/>
          <w:u w:val="single"/>
          <w:lang w:val="en-US" w:eastAsia="zh-CN"/>
        </w:rPr>
        <w:t>2023年</w:t>
      </w:r>
      <w:r>
        <w:rPr>
          <w:rFonts w:hint="eastAsia" w:eastAsia="仿宋_GB2312" w:cs="Times New Roman"/>
          <w:color w:val="auto"/>
          <w:sz w:val="36"/>
          <w:szCs w:val="36"/>
          <w:highlight w:val="none"/>
          <w:u w:val="single"/>
          <w:lang w:val="en-US" w:eastAsia="zh-CN"/>
        </w:rPr>
        <w:t>4</w:t>
      </w:r>
      <w:r>
        <w:rPr>
          <w:rFonts w:hint="default" w:ascii="Times New Roman" w:hAnsi="Times New Roman" w:eastAsia="仿宋_GB2312" w:cs="Times New Roman"/>
          <w:color w:val="auto"/>
          <w:sz w:val="36"/>
          <w:szCs w:val="36"/>
          <w:highlight w:val="none"/>
          <w:u w:val="single"/>
          <w:lang w:val="en-US" w:eastAsia="zh-CN"/>
        </w:rPr>
        <w:t>月</w:t>
      </w:r>
      <w:r>
        <w:rPr>
          <w:rFonts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lang w:val="en-US" w:eastAsia="zh-CN"/>
        </w:rPr>
        <w:t xml:space="preserve">   </w:t>
      </w:r>
      <w:r>
        <w:rPr>
          <w:rFonts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rPr>
        <w:t xml:space="preserve"> </w:t>
      </w:r>
    </w:p>
    <w:p>
      <w:pPr>
        <w:adjustRightInd w:val="0"/>
        <w:snapToGrid w:val="0"/>
        <w:spacing w:line="288" w:lineRule="auto"/>
        <w:ind w:firstLine="1040"/>
        <w:rPr>
          <w:rFonts w:ascii="仿宋_GB2312" w:eastAsia="仿宋_GB2312"/>
          <w:color w:val="auto"/>
          <w:sz w:val="36"/>
          <w:szCs w:val="36"/>
          <w:highlight w:val="none"/>
          <w:u w:val="single"/>
        </w:rPr>
      </w:pPr>
      <w:bookmarkStart w:id="0" w:name="_Hlk57884087"/>
    </w:p>
    <w:p>
      <w:pPr>
        <w:adjustRightInd w:val="0"/>
        <w:snapToGrid w:val="0"/>
        <w:spacing w:line="288" w:lineRule="auto"/>
        <w:ind w:firstLine="1040"/>
        <w:rPr>
          <w:rFonts w:ascii="仿宋_GB2312" w:eastAsia="仿宋_GB2312"/>
          <w:color w:val="auto"/>
          <w:sz w:val="36"/>
          <w:szCs w:val="36"/>
          <w:highlight w:val="none"/>
        </w:rPr>
      </w:pPr>
    </w:p>
    <w:p>
      <w:pPr>
        <w:adjustRightInd w:val="0"/>
        <w:snapToGrid w:val="0"/>
        <w:spacing w:line="288" w:lineRule="auto"/>
        <w:ind w:firstLine="1040"/>
        <w:rPr>
          <w:rFonts w:ascii="仿宋_GB2312" w:eastAsia="仿宋_GB2312"/>
          <w:color w:val="auto"/>
          <w:sz w:val="36"/>
          <w:szCs w:val="36"/>
          <w:highlight w:val="none"/>
        </w:rPr>
      </w:pPr>
    </w:p>
    <w:p>
      <w:pPr>
        <w:adjustRightInd w:val="0"/>
        <w:snapToGrid w:val="0"/>
        <w:spacing w:line="288" w:lineRule="auto"/>
        <w:ind w:firstLine="1040"/>
        <w:rPr>
          <w:rFonts w:hint="eastAsia" w:ascii="仿宋_GB2312" w:eastAsia="仿宋_GB2312"/>
          <w:color w:val="auto"/>
          <w:sz w:val="36"/>
          <w:szCs w:val="36"/>
          <w:highlight w:val="none"/>
        </w:rPr>
      </w:pPr>
    </w:p>
    <w:p>
      <w:pPr>
        <w:adjustRightInd w:val="0"/>
        <w:snapToGrid w:val="0"/>
        <w:spacing w:line="288" w:lineRule="auto"/>
        <w:ind w:firstLine="1040"/>
        <w:rPr>
          <w:rFonts w:hint="eastAsia" w:ascii="仿宋_GB2312" w:eastAsia="仿宋_GB2312"/>
          <w:color w:val="auto"/>
          <w:sz w:val="36"/>
          <w:szCs w:val="36"/>
          <w:highlight w:val="none"/>
        </w:rPr>
      </w:pPr>
    </w:p>
    <w:bookmarkEnd w:id="0"/>
    <w:p>
      <w:pPr>
        <w:adjustRightInd w:val="0"/>
        <w:snapToGrid w:val="0"/>
        <w:spacing w:line="288" w:lineRule="auto"/>
        <w:jc w:val="center"/>
        <w:rPr>
          <w:rFonts w:hint="eastAsia"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pPr>
        <w:adjustRightInd w:val="0"/>
        <w:snapToGrid w:val="0"/>
        <w:spacing w:line="288" w:lineRule="auto"/>
        <w:ind w:firstLine="1040"/>
        <w:rPr>
          <w:rFonts w:ascii="仿宋_GB2312" w:eastAsia="仿宋_GB2312"/>
          <w:color w:val="auto"/>
          <w:sz w:val="36"/>
          <w:szCs w:val="36"/>
          <w:highlight w:val="none"/>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pStyle w:val="19"/>
        <w:jc w:val="center"/>
        <w:outlineLvl w:val="0"/>
        <w:rPr>
          <w:rFonts w:hint="eastAsia" w:ascii="黑体" w:hAnsi="黑体" w:eastAsia="黑体"/>
          <w:snapToGrid w:val="0"/>
          <w:color w:val="auto"/>
          <w:sz w:val="30"/>
          <w:szCs w:val="30"/>
          <w:highlight w:val="none"/>
        </w:rPr>
      </w:pPr>
      <w:bookmarkStart w:id="8" w:name="_GoBack"/>
      <w:bookmarkEnd w:id="8"/>
      <w:r>
        <w:rPr>
          <w:rFonts w:hint="eastAsia" w:ascii="黑体" w:hAnsi="黑体" w:eastAsia="黑体"/>
          <w:snapToGrid w:val="0"/>
          <w:color w:val="auto"/>
          <w:sz w:val="30"/>
          <w:szCs w:val="30"/>
          <w:highlight w:val="none"/>
        </w:rPr>
        <w:t>一、建设项目基本情况</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60"/>
        <w:gridCol w:w="2598"/>
        <w:gridCol w:w="2105"/>
        <w:gridCol w:w="28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21"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建设项目名称</w:t>
            </w:r>
          </w:p>
        </w:tc>
        <w:tc>
          <w:tcPr>
            <w:tcW w:w="7449" w:type="dxa"/>
            <w:gridSpan w:val="3"/>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胡婆婆食品二期扩能及产业延伸项目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21"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项目代码</w:t>
            </w:r>
          </w:p>
        </w:tc>
        <w:tc>
          <w:tcPr>
            <w:tcW w:w="7449" w:type="dxa"/>
            <w:gridSpan w:val="3"/>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2109-511903-07-02-384576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21"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建设单位联系人</w:t>
            </w:r>
          </w:p>
        </w:tc>
        <w:tc>
          <w:tcPr>
            <w:tcW w:w="2598"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213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联系方式</w:t>
            </w:r>
          </w:p>
        </w:tc>
        <w:tc>
          <w:tcPr>
            <w:tcW w:w="2721"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21"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建设地点</w:t>
            </w:r>
          </w:p>
        </w:tc>
        <w:tc>
          <w:tcPr>
            <w:tcW w:w="7449" w:type="dxa"/>
            <w:gridSpan w:val="3"/>
            <w:noWrap w:val="0"/>
            <w:vAlign w:val="center"/>
          </w:tcPr>
          <w:p>
            <w:pPr>
              <w:adjustRightInd w:val="0"/>
              <w:snapToGrid w:val="0"/>
              <w:jc w:val="center"/>
              <w:rPr>
                <w:rFonts w:hint="default" w:ascii="Times New Roman" w:hAnsi="Times New Roman" w:cs="Times New Roman"/>
                <w:color w:val="auto"/>
                <w:szCs w:val="21"/>
                <w:highlight w:val="none"/>
                <w:lang w:val="en-US"/>
              </w:rPr>
            </w:pPr>
            <w:r>
              <w:rPr>
                <w:rFonts w:hint="eastAsia" w:ascii="Times New Roman" w:hAnsi="Times New Roman" w:cs="Times New Roman"/>
                <w:color w:val="auto"/>
                <w:szCs w:val="21"/>
                <w:highlight w:val="none"/>
                <w:u w:val="none"/>
                <w:lang w:val="en-US" w:eastAsia="zh-CN"/>
              </w:rPr>
              <w:t>四川</w:t>
            </w:r>
            <w:r>
              <w:rPr>
                <w:rFonts w:hint="default" w:ascii="Times New Roman" w:hAnsi="Times New Roman" w:cs="Times New Roman"/>
                <w:color w:val="auto"/>
                <w:szCs w:val="21"/>
                <w:highlight w:val="none"/>
                <w:u w:val="none"/>
              </w:rPr>
              <w:t>省</w:t>
            </w:r>
            <w:r>
              <w:rPr>
                <w:rFonts w:hint="eastAsia" w:ascii="Times New Roman" w:hAnsi="Times New Roman" w:cs="Times New Roman"/>
                <w:color w:val="auto"/>
                <w:szCs w:val="21"/>
                <w:highlight w:val="none"/>
                <w:u w:val="none"/>
                <w:lang w:val="en-US" w:eastAsia="zh-CN"/>
              </w:rPr>
              <w:t>巴中</w:t>
            </w:r>
            <w:r>
              <w:rPr>
                <w:rFonts w:hint="default" w:ascii="Times New Roman" w:hAnsi="Times New Roman" w:cs="Times New Roman"/>
                <w:color w:val="auto"/>
                <w:szCs w:val="21"/>
                <w:highlight w:val="none"/>
                <w:u w:val="none"/>
              </w:rPr>
              <w:t>市</w:t>
            </w:r>
            <w:r>
              <w:rPr>
                <w:rFonts w:hint="eastAsia" w:cs="Times New Roman"/>
                <w:color w:val="auto"/>
                <w:szCs w:val="21"/>
                <w:highlight w:val="none"/>
                <w:u w:val="none"/>
                <w:lang w:val="en-US" w:eastAsia="zh-CN"/>
              </w:rPr>
              <w:t>恩阳区柳林镇巴中市</w:t>
            </w:r>
            <w:r>
              <w:rPr>
                <w:rFonts w:hint="eastAsia" w:ascii="Times New Roman" w:hAnsi="Times New Roman" w:cs="Times New Roman"/>
                <w:color w:val="auto"/>
                <w:szCs w:val="21"/>
                <w:highlight w:val="none"/>
                <w:u w:val="none"/>
                <w:lang w:val="en-US" w:eastAsia="zh-CN"/>
              </w:rPr>
              <w:t>恩阳食品工业园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21"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地理坐标</w:t>
            </w:r>
          </w:p>
        </w:tc>
        <w:tc>
          <w:tcPr>
            <w:tcW w:w="7449" w:type="dxa"/>
            <w:gridSpan w:val="3"/>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u w:val="single"/>
                <w:lang w:val="en-US" w:eastAsia="zh-CN"/>
              </w:rPr>
              <w:t>106</w:t>
            </w:r>
            <w:r>
              <w:rPr>
                <w:rFonts w:hint="default" w:ascii="Times New Roman" w:hAnsi="Times New Roman" w:cs="Times New Roman"/>
                <w:color w:val="auto"/>
                <w:szCs w:val="21"/>
                <w:highlight w:val="none"/>
              </w:rPr>
              <w:t>度</w:t>
            </w:r>
            <w:r>
              <w:rPr>
                <w:rFonts w:hint="eastAsia" w:ascii="Times New Roman" w:hAnsi="Times New Roman" w:cs="Times New Roman"/>
                <w:color w:val="auto"/>
                <w:szCs w:val="21"/>
                <w:highlight w:val="none"/>
                <w:u w:val="single"/>
                <w:lang w:val="en-US" w:eastAsia="zh-CN"/>
              </w:rPr>
              <w:t>32</w:t>
            </w:r>
            <w:r>
              <w:rPr>
                <w:rFonts w:hint="default" w:ascii="Times New Roman" w:hAnsi="Times New Roman" w:cs="Times New Roman"/>
                <w:color w:val="auto"/>
                <w:szCs w:val="21"/>
                <w:highlight w:val="none"/>
              </w:rPr>
              <w:t>分</w:t>
            </w:r>
            <w:r>
              <w:rPr>
                <w:rFonts w:hint="eastAsia" w:ascii="Times New Roman" w:hAnsi="Times New Roman" w:cs="Times New Roman"/>
                <w:color w:val="auto"/>
                <w:szCs w:val="21"/>
                <w:highlight w:val="none"/>
                <w:u w:val="single"/>
                <w:lang w:val="en-US" w:eastAsia="zh-CN"/>
              </w:rPr>
              <w:t>53.336</w:t>
            </w:r>
            <w:r>
              <w:rPr>
                <w:rFonts w:hint="default" w:ascii="Times New Roman" w:hAnsi="Times New Roman" w:cs="Times New Roman"/>
                <w:color w:val="auto"/>
                <w:szCs w:val="21"/>
                <w:highlight w:val="none"/>
              </w:rPr>
              <w:t>秒，</w:t>
            </w:r>
            <w:r>
              <w:rPr>
                <w:rFonts w:hint="eastAsia" w:ascii="Times New Roman" w:hAnsi="Times New Roman" w:cs="Times New Roman"/>
                <w:color w:val="auto"/>
                <w:szCs w:val="21"/>
                <w:highlight w:val="none"/>
                <w:u w:val="single"/>
                <w:lang w:val="en-US" w:eastAsia="zh-CN"/>
              </w:rPr>
              <w:t>31</w:t>
            </w:r>
            <w:r>
              <w:rPr>
                <w:rFonts w:hint="default" w:ascii="Times New Roman" w:hAnsi="Times New Roman" w:cs="Times New Roman"/>
                <w:color w:val="auto"/>
                <w:szCs w:val="21"/>
                <w:highlight w:val="none"/>
              </w:rPr>
              <w:t>度</w:t>
            </w:r>
            <w:r>
              <w:rPr>
                <w:rFonts w:hint="eastAsia" w:ascii="Times New Roman" w:hAnsi="Times New Roman" w:cs="Times New Roman"/>
                <w:color w:val="auto"/>
                <w:szCs w:val="21"/>
                <w:highlight w:val="none"/>
                <w:u w:val="single"/>
                <w:lang w:val="en-US" w:eastAsia="zh-CN"/>
              </w:rPr>
              <w:t>42</w:t>
            </w:r>
            <w:r>
              <w:rPr>
                <w:rFonts w:hint="default" w:ascii="Times New Roman" w:hAnsi="Times New Roman" w:cs="Times New Roman"/>
                <w:color w:val="auto"/>
                <w:szCs w:val="21"/>
                <w:highlight w:val="none"/>
              </w:rPr>
              <w:t>分</w:t>
            </w:r>
            <w:r>
              <w:rPr>
                <w:rFonts w:hint="eastAsia" w:ascii="Times New Roman" w:hAnsi="Times New Roman" w:cs="Times New Roman"/>
                <w:color w:val="auto"/>
                <w:szCs w:val="21"/>
                <w:highlight w:val="none"/>
                <w:u w:val="single"/>
                <w:lang w:val="en-US" w:eastAsia="zh-CN"/>
              </w:rPr>
              <w:t>21.116</w:t>
            </w:r>
            <w:r>
              <w:rPr>
                <w:rFonts w:hint="default" w:ascii="Times New Roman" w:hAnsi="Times New Roman" w:cs="Times New Roman"/>
                <w:color w:val="auto"/>
                <w:szCs w:val="21"/>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421"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国民经济</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行业类别</w:t>
            </w:r>
          </w:p>
        </w:tc>
        <w:tc>
          <w:tcPr>
            <w:tcW w:w="2598"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C1392豆制品制造</w:t>
            </w:r>
          </w:p>
        </w:tc>
        <w:tc>
          <w:tcPr>
            <w:tcW w:w="2130" w:type="dxa"/>
            <w:noWrap w:val="0"/>
            <w:vAlign w:val="center"/>
          </w:tcPr>
          <w:p>
            <w:pPr>
              <w:adjustRightInd w:val="0"/>
              <w:snapToGrid w:val="0"/>
              <w:jc w:val="center"/>
              <w:rPr>
                <w:rFonts w:hint="default" w:ascii="Times New Roman" w:hAnsi="Times New Roman" w:cs="Times New Roman"/>
                <w:color w:val="auto"/>
                <w:szCs w:val="21"/>
                <w:highlight w:val="none"/>
              </w:rPr>
            </w:pPr>
            <w:bookmarkStart w:id="1" w:name="_Hlk49843745"/>
            <w:r>
              <w:rPr>
                <w:rFonts w:hint="default" w:ascii="Times New Roman" w:hAnsi="Times New Roman" w:cs="Times New Roman"/>
                <w:color w:val="auto"/>
                <w:szCs w:val="21"/>
                <w:highlight w:val="none"/>
              </w:rPr>
              <w:t>建设项目</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行业类别</w:t>
            </w:r>
            <w:bookmarkEnd w:id="1"/>
          </w:p>
        </w:tc>
        <w:tc>
          <w:tcPr>
            <w:tcW w:w="272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十、农副食品加工业</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20 其他农副食品加工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21" w:type="dxa"/>
            <w:noWrap w:val="0"/>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建设性质</w:t>
            </w:r>
          </w:p>
        </w:tc>
        <w:tc>
          <w:tcPr>
            <w:tcW w:w="2598" w:type="dxa"/>
            <w:noWrap w:val="0"/>
            <w:vAlign w:val="center"/>
          </w:tcPr>
          <w:p>
            <w:pPr>
              <w:jc w:val="left"/>
              <w:rPr>
                <w:rFonts w:ascii="宋体" w:hAnsi="宋体" w:cs="宋体"/>
                <w:color w:val="auto"/>
                <w:szCs w:val="21"/>
                <w:highlight w:val="none"/>
              </w:rPr>
            </w:pPr>
            <w:r>
              <w:rPr>
                <w:rFonts w:hint="eastAsia" w:ascii="宋体" w:hAnsi="宋体" w:cs="宋体"/>
                <w:color w:val="auto"/>
                <w:szCs w:val="21"/>
                <w:highlight w:val="none"/>
              </w:rPr>
              <w:t>□新建（迁建）</w:t>
            </w:r>
          </w:p>
          <w:p>
            <w:pPr>
              <w:jc w:val="left"/>
              <w:rPr>
                <w:rFonts w:hint="eastAsia" w:ascii="宋体" w:hAnsi="宋体" w:cs="宋体"/>
                <w:color w:val="auto"/>
                <w:szCs w:val="21"/>
                <w:highlight w:val="none"/>
              </w:rPr>
            </w:pPr>
            <w:r>
              <w:rPr>
                <w:rFonts w:hint="eastAsia" w:ascii="宋体" w:hAnsi="宋体" w:cs="宋体"/>
                <w:color w:val="auto"/>
                <w:szCs w:val="21"/>
                <w:highlight w:val="none"/>
              </w:rPr>
              <w:t>□改建</w:t>
            </w:r>
          </w:p>
          <w:p>
            <w:pPr>
              <w:jc w:val="left"/>
              <w:rPr>
                <w:rFonts w:hint="eastAsia"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扩建</w:t>
            </w:r>
          </w:p>
          <w:p>
            <w:pPr>
              <w:jc w:val="left"/>
              <w:rPr>
                <w:rFonts w:ascii="宋体" w:hAnsi="宋体" w:cs="宋体"/>
                <w:color w:val="auto"/>
                <w:szCs w:val="21"/>
                <w:highlight w:val="none"/>
              </w:rPr>
            </w:pPr>
            <w:r>
              <w:rPr>
                <w:rFonts w:hint="eastAsia" w:ascii="宋体" w:hAnsi="宋体" w:cs="宋体"/>
                <w:color w:val="auto"/>
                <w:szCs w:val="21"/>
                <w:highlight w:val="none"/>
              </w:rPr>
              <w:t>□技术改造</w:t>
            </w:r>
          </w:p>
        </w:tc>
        <w:tc>
          <w:tcPr>
            <w:tcW w:w="2130" w:type="dxa"/>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建设项目</w:t>
            </w:r>
          </w:p>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申报情形</w:t>
            </w:r>
          </w:p>
        </w:tc>
        <w:tc>
          <w:tcPr>
            <w:tcW w:w="2721" w:type="dxa"/>
            <w:noWrap w:val="0"/>
            <w:vAlign w:val="center"/>
          </w:tcPr>
          <w:p>
            <w:pPr>
              <w:jc w:val="left"/>
              <w:rPr>
                <w:rFonts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首次申报项目</w:t>
            </w:r>
            <w:r>
              <w:rPr>
                <w:rFonts w:ascii="宋体" w:hAnsi="宋体" w:cs="宋体"/>
                <w:color w:val="auto"/>
                <w:szCs w:val="21"/>
                <w:highlight w:val="none"/>
              </w:rPr>
              <w:t xml:space="preserve">             </w:t>
            </w:r>
          </w:p>
          <w:p>
            <w:pPr>
              <w:jc w:val="left"/>
              <w:rPr>
                <w:rFonts w:ascii="宋体" w:hAnsi="宋体" w:cs="宋体"/>
                <w:color w:val="auto"/>
                <w:szCs w:val="21"/>
                <w:highlight w:val="none"/>
              </w:rPr>
            </w:pPr>
            <w:r>
              <w:rPr>
                <w:rFonts w:hint="eastAsia" w:ascii="宋体" w:hAnsi="宋体" w:cs="宋体"/>
                <w:color w:val="auto"/>
                <w:szCs w:val="21"/>
                <w:highlight w:val="none"/>
              </w:rPr>
              <w:t>□不予批准后再次申报项目</w:t>
            </w:r>
          </w:p>
          <w:p>
            <w:pPr>
              <w:jc w:val="left"/>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超五年重新审核项目</w:t>
            </w:r>
            <w:r>
              <w:rPr>
                <w:rFonts w:ascii="宋体" w:hAnsi="宋体" w:cs="宋体"/>
                <w:color w:val="auto"/>
                <w:szCs w:val="21"/>
                <w:highlight w:val="none"/>
              </w:rPr>
              <w:t xml:space="preserve">     </w:t>
            </w:r>
          </w:p>
          <w:p>
            <w:pPr>
              <w:jc w:val="left"/>
              <w:rPr>
                <w:rFonts w:ascii="宋体" w:hAnsi="宋体" w:cs="宋体"/>
                <w:color w:val="auto"/>
                <w:szCs w:val="21"/>
                <w:highlight w:val="none"/>
              </w:rPr>
            </w:pPr>
            <w:r>
              <w:rPr>
                <w:rFonts w:hint="eastAsia" w:ascii="宋体" w:hAnsi="宋体" w:cs="宋体"/>
                <w:color w:val="auto"/>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21"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项目审批（核准/备案）部门（选填）</w:t>
            </w:r>
          </w:p>
        </w:tc>
        <w:tc>
          <w:tcPr>
            <w:tcW w:w="2598"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恩阳区经济和信息化局</w:t>
            </w:r>
          </w:p>
        </w:tc>
        <w:tc>
          <w:tcPr>
            <w:tcW w:w="213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项目审批（核准/备案）文号（选填）</w:t>
            </w:r>
          </w:p>
        </w:tc>
        <w:tc>
          <w:tcPr>
            <w:tcW w:w="2721"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川投资备【2109-511903-07-02-384576】JXQB-0173号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21"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总投资（万元）</w:t>
            </w:r>
          </w:p>
        </w:tc>
        <w:tc>
          <w:tcPr>
            <w:tcW w:w="2598"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8000</w:t>
            </w:r>
          </w:p>
        </w:tc>
        <w:tc>
          <w:tcPr>
            <w:tcW w:w="2130"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环保投资（万元）</w:t>
            </w:r>
          </w:p>
        </w:tc>
        <w:tc>
          <w:tcPr>
            <w:tcW w:w="272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21"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环保投资占比（%）</w:t>
            </w:r>
          </w:p>
        </w:tc>
        <w:tc>
          <w:tcPr>
            <w:tcW w:w="2598"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0.62</w:t>
            </w:r>
          </w:p>
        </w:tc>
        <w:tc>
          <w:tcPr>
            <w:tcW w:w="2130"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施工工期</w:t>
            </w:r>
          </w:p>
        </w:tc>
        <w:tc>
          <w:tcPr>
            <w:tcW w:w="272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21"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是否开工建设</w:t>
            </w:r>
          </w:p>
        </w:tc>
        <w:tc>
          <w:tcPr>
            <w:tcW w:w="2598" w:type="dxa"/>
            <w:noWrap w:val="0"/>
            <w:vAlign w:val="center"/>
          </w:tcPr>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52"/>
            </w:r>
            <w:r>
              <w:rPr>
                <w:rFonts w:hint="default" w:ascii="Times New Roman" w:hAnsi="Times New Roman" w:cs="Times New Roman"/>
                <w:color w:val="auto"/>
                <w:szCs w:val="21"/>
                <w:highlight w:val="none"/>
              </w:rPr>
              <w:t>否</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是：</w:t>
            </w:r>
            <w:r>
              <w:rPr>
                <w:rFonts w:hint="default" w:ascii="Times New Roman" w:hAnsi="Times New Roman" w:cs="Times New Roman"/>
                <w:color w:val="auto"/>
                <w:szCs w:val="21"/>
                <w:highlight w:val="none"/>
                <w:u w:val="single"/>
              </w:rPr>
              <w:t xml:space="preserve">             </w:t>
            </w:r>
          </w:p>
        </w:tc>
        <w:tc>
          <w:tcPr>
            <w:tcW w:w="2130"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Cs w:val="21"/>
                <w:highlight w:val="none"/>
              </w:rPr>
            </w:pPr>
            <w:r>
              <w:rPr>
                <w:rFonts w:hint="default" w:ascii="Times New Roman" w:hAnsi="Times New Roman" w:cs="Times New Roman"/>
                <w:color w:val="auto"/>
                <w:spacing w:val="-6"/>
                <w:szCs w:val="21"/>
                <w:highlight w:val="none"/>
              </w:rPr>
              <w:t>用地（用海）</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pacing w:val="-6"/>
                <w:szCs w:val="21"/>
                <w:highlight w:val="none"/>
              </w:rPr>
              <w:t>面积（m</w:t>
            </w:r>
            <w:r>
              <w:rPr>
                <w:rFonts w:hint="default" w:ascii="Times New Roman" w:hAnsi="Times New Roman" w:cs="Times New Roman"/>
                <w:color w:val="auto"/>
                <w:spacing w:val="-6"/>
                <w:szCs w:val="21"/>
                <w:highlight w:val="none"/>
                <w:vertAlign w:val="superscript"/>
              </w:rPr>
              <w:t>2</w:t>
            </w:r>
            <w:r>
              <w:rPr>
                <w:rFonts w:hint="default" w:ascii="Times New Roman" w:hAnsi="Times New Roman" w:cs="Times New Roman"/>
                <w:color w:val="auto"/>
                <w:spacing w:val="-6"/>
                <w:szCs w:val="21"/>
                <w:highlight w:val="none"/>
              </w:rPr>
              <w:t>）</w:t>
            </w:r>
          </w:p>
        </w:tc>
        <w:tc>
          <w:tcPr>
            <w:tcW w:w="272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32785.11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21" w:type="dxa"/>
            <w:noWrap w:val="0"/>
            <w:vAlign w:val="center"/>
          </w:tcPr>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专项评价设置情况</w:t>
            </w:r>
          </w:p>
        </w:tc>
        <w:tc>
          <w:tcPr>
            <w:tcW w:w="7449" w:type="dxa"/>
            <w:gridSpan w:val="3"/>
            <w:noWrap w:val="0"/>
            <w:vAlign w:val="center"/>
          </w:tcPr>
          <w:p>
            <w:pPr>
              <w:pStyle w:val="51"/>
              <w:snapToGrid w:val="0"/>
              <w:spacing w:line="360" w:lineRule="auto"/>
              <w:ind w:left="0" w:right="0" w:firstLine="480" w:firstLineChars="200"/>
              <w:jc w:val="both"/>
              <w:rPr>
                <w:rFonts w:hint="eastAsia" w:ascii="Times New Roman" w:hAnsi="Times New Roman" w:eastAsia="宋体" w:cs="宋体"/>
                <w:color w:val="auto"/>
                <w:szCs w:val="24"/>
                <w:highlight w:val="none"/>
                <w:lang w:val="en-US" w:eastAsia="zh-CN" w:bidi="ar"/>
              </w:rPr>
            </w:pPr>
            <w:r>
              <w:rPr>
                <w:rFonts w:hint="eastAsia" w:ascii="Times New Roman" w:hAnsi="Times New Roman" w:eastAsia="宋体" w:cs="宋体"/>
                <w:color w:val="auto"/>
                <w:szCs w:val="24"/>
                <w:highlight w:val="none"/>
                <w:lang w:val="en-US" w:eastAsia="zh-CN" w:bidi="ar"/>
              </w:rPr>
              <w:t>根据建设项目排污情况及所涉环境敏感程度，本项目专项评价应设置情况见下表。</w:t>
            </w:r>
          </w:p>
          <w:p>
            <w:pPr>
              <w:pStyle w:val="41"/>
              <w:bidi w:val="0"/>
              <w:rPr>
                <w:color w:val="auto"/>
                <w:highlight w:val="none"/>
              </w:rPr>
            </w:pPr>
            <w:r>
              <w:rPr>
                <w:color w:val="auto"/>
                <w:highlight w:val="none"/>
              </w:rPr>
              <w:t>表1-1  本项目专项评价设置一览表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24"/>
              <w:gridCol w:w="3761"/>
              <w:gridCol w:w="1962"/>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4" w:type="pct"/>
                  <w:noWrap w:val="0"/>
                  <w:vAlign w:val="center"/>
                </w:tcPr>
                <w:p>
                  <w:pPr>
                    <w:adjustRightInd w:val="0"/>
                    <w:snapToGrid w:val="0"/>
                    <w:jc w:val="center"/>
                    <w:rPr>
                      <w:b/>
                      <w:color w:val="auto"/>
                      <w:szCs w:val="21"/>
                      <w:highlight w:val="none"/>
                    </w:rPr>
                  </w:pPr>
                  <w:r>
                    <w:rPr>
                      <w:b/>
                      <w:color w:val="auto"/>
                      <w:szCs w:val="21"/>
                      <w:highlight w:val="none"/>
                    </w:rPr>
                    <w:t>专项评价的类别</w:t>
                  </w:r>
                </w:p>
              </w:tc>
              <w:tc>
                <w:tcPr>
                  <w:tcW w:w="2582" w:type="pct"/>
                  <w:noWrap w:val="0"/>
                  <w:vAlign w:val="center"/>
                </w:tcPr>
                <w:p>
                  <w:pPr>
                    <w:adjustRightInd w:val="0"/>
                    <w:snapToGrid w:val="0"/>
                    <w:jc w:val="center"/>
                    <w:rPr>
                      <w:b/>
                      <w:color w:val="auto"/>
                      <w:szCs w:val="21"/>
                      <w:highlight w:val="none"/>
                    </w:rPr>
                  </w:pPr>
                  <w:r>
                    <w:rPr>
                      <w:b/>
                      <w:color w:val="auto"/>
                      <w:szCs w:val="21"/>
                      <w:highlight w:val="none"/>
                    </w:rPr>
                    <w:t>设置原则</w:t>
                  </w:r>
                </w:p>
              </w:tc>
              <w:tc>
                <w:tcPr>
                  <w:tcW w:w="1347" w:type="pct"/>
                  <w:noWrap w:val="0"/>
                  <w:vAlign w:val="center"/>
                </w:tcPr>
                <w:p>
                  <w:pPr>
                    <w:adjustRightInd w:val="0"/>
                    <w:snapToGrid w:val="0"/>
                    <w:jc w:val="center"/>
                    <w:rPr>
                      <w:b/>
                      <w:color w:val="auto"/>
                      <w:szCs w:val="21"/>
                      <w:highlight w:val="none"/>
                    </w:rPr>
                  </w:pPr>
                  <w:r>
                    <w:rPr>
                      <w:b/>
                      <w:color w:val="auto"/>
                      <w:szCs w:val="21"/>
                      <w:highlight w:val="none"/>
                    </w:rPr>
                    <w:t>本项目</w:t>
                  </w:r>
                </w:p>
              </w:tc>
              <w:tc>
                <w:tcPr>
                  <w:tcW w:w="435" w:type="pct"/>
                  <w:noWrap w:val="0"/>
                  <w:vAlign w:val="center"/>
                </w:tcPr>
                <w:p>
                  <w:pPr>
                    <w:adjustRightInd w:val="0"/>
                    <w:snapToGrid w:val="0"/>
                    <w:jc w:val="center"/>
                    <w:rPr>
                      <w:b/>
                      <w:color w:val="auto"/>
                      <w:szCs w:val="21"/>
                      <w:highlight w:val="none"/>
                    </w:rPr>
                  </w:pPr>
                  <w:r>
                    <w:rPr>
                      <w:b/>
                      <w:color w:val="auto"/>
                      <w:szCs w:val="21"/>
                      <w:highlight w:val="none"/>
                    </w:rPr>
                    <w:t>是否设置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4" w:type="pct"/>
                  <w:noWrap w:val="0"/>
                  <w:vAlign w:val="center"/>
                </w:tcPr>
                <w:p>
                  <w:pPr>
                    <w:adjustRightInd w:val="0"/>
                    <w:snapToGrid w:val="0"/>
                    <w:jc w:val="center"/>
                    <w:rPr>
                      <w:bCs/>
                      <w:color w:val="auto"/>
                      <w:szCs w:val="21"/>
                      <w:highlight w:val="none"/>
                    </w:rPr>
                  </w:pPr>
                  <w:r>
                    <w:rPr>
                      <w:bCs/>
                      <w:color w:val="auto"/>
                      <w:szCs w:val="21"/>
                      <w:highlight w:val="none"/>
                    </w:rPr>
                    <w:t>大气</w:t>
                  </w:r>
                </w:p>
              </w:tc>
              <w:tc>
                <w:tcPr>
                  <w:tcW w:w="2582" w:type="pct"/>
                  <w:noWrap w:val="0"/>
                  <w:vAlign w:val="center"/>
                </w:tcPr>
                <w:p>
                  <w:pPr>
                    <w:adjustRightInd w:val="0"/>
                    <w:snapToGrid w:val="0"/>
                    <w:ind w:left="102"/>
                    <w:jc w:val="center"/>
                    <w:rPr>
                      <w:bCs/>
                      <w:color w:val="auto"/>
                      <w:szCs w:val="21"/>
                      <w:highlight w:val="none"/>
                    </w:rPr>
                  </w:pPr>
                  <w:r>
                    <w:rPr>
                      <w:bCs/>
                      <w:color w:val="auto"/>
                      <w:szCs w:val="21"/>
                      <w:highlight w:val="none"/>
                    </w:rPr>
                    <w:t>排放废气含有毒有害污染物、二噁英、苯并[a]芘、氰化物、氯气且厂界外500米范围内有环境空气保护目标的建设项目</w:t>
                  </w:r>
                </w:p>
              </w:tc>
              <w:tc>
                <w:tcPr>
                  <w:tcW w:w="1347" w:type="pct"/>
                  <w:noWrap w:val="0"/>
                  <w:vAlign w:val="center"/>
                </w:tcPr>
                <w:p>
                  <w:pPr>
                    <w:adjustRightInd w:val="0"/>
                    <w:snapToGrid w:val="0"/>
                    <w:ind w:left="102"/>
                    <w:jc w:val="center"/>
                    <w:rPr>
                      <w:bCs/>
                      <w:color w:val="auto"/>
                      <w:szCs w:val="21"/>
                      <w:highlight w:val="none"/>
                    </w:rPr>
                  </w:pPr>
                  <w:r>
                    <w:rPr>
                      <w:bCs/>
                      <w:color w:val="auto"/>
                      <w:szCs w:val="21"/>
                      <w:highlight w:val="none"/>
                    </w:rPr>
                    <w:t>本项目不涉及有毒有害气体排放</w:t>
                  </w:r>
                </w:p>
              </w:tc>
              <w:tc>
                <w:tcPr>
                  <w:tcW w:w="435" w:type="pct"/>
                  <w:noWrap w:val="0"/>
                  <w:vAlign w:val="center"/>
                </w:tcPr>
                <w:p>
                  <w:pPr>
                    <w:adjustRightInd w:val="0"/>
                    <w:snapToGrid w:val="0"/>
                    <w:ind w:left="102"/>
                    <w:jc w:val="center"/>
                    <w:rPr>
                      <w:bCs/>
                      <w:color w:val="auto"/>
                      <w:szCs w:val="21"/>
                      <w:highlight w:val="none"/>
                    </w:rPr>
                  </w:pPr>
                  <w:r>
                    <w:rPr>
                      <w:bCs/>
                      <w:color w:val="auto"/>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4" w:type="pct"/>
                  <w:noWrap w:val="0"/>
                  <w:vAlign w:val="center"/>
                </w:tcPr>
                <w:p>
                  <w:pPr>
                    <w:adjustRightInd w:val="0"/>
                    <w:snapToGrid w:val="0"/>
                    <w:jc w:val="center"/>
                    <w:rPr>
                      <w:bCs/>
                      <w:color w:val="auto"/>
                      <w:szCs w:val="21"/>
                      <w:highlight w:val="none"/>
                    </w:rPr>
                  </w:pPr>
                  <w:r>
                    <w:rPr>
                      <w:bCs/>
                      <w:color w:val="auto"/>
                      <w:szCs w:val="21"/>
                      <w:highlight w:val="none"/>
                    </w:rPr>
                    <w:t>地表水</w:t>
                  </w:r>
                </w:p>
              </w:tc>
              <w:tc>
                <w:tcPr>
                  <w:tcW w:w="2582" w:type="pct"/>
                  <w:noWrap w:val="0"/>
                  <w:vAlign w:val="center"/>
                </w:tcPr>
                <w:p>
                  <w:pPr>
                    <w:adjustRightInd w:val="0"/>
                    <w:snapToGrid w:val="0"/>
                    <w:ind w:left="102"/>
                    <w:jc w:val="center"/>
                    <w:rPr>
                      <w:bCs/>
                      <w:color w:val="auto"/>
                      <w:szCs w:val="21"/>
                      <w:highlight w:val="none"/>
                    </w:rPr>
                  </w:pPr>
                  <w:r>
                    <w:rPr>
                      <w:bCs/>
                      <w:color w:val="auto"/>
                      <w:szCs w:val="21"/>
                      <w:highlight w:val="none"/>
                    </w:rPr>
                    <w:t>新增工业废水直排建设项目（槽罐车外送污水处理厂的除外）；新增废水直排的污水集中处理厂</w:t>
                  </w:r>
                </w:p>
              </w:tc>
              <w:tc>
                <w:tcPr>
                  <w:tcW w:w="1347" w:type="pct"/>
                  <w:noWrap w:val="0"/>
                  <w:vAlign w:val="center"/>
                </w:tcPr>
                <w:p>
                  <w:pPr>
                    <w:adjustRightInd w:val="0"/>
                    <w:snapToGrid w:val="0"/>
                    <w:jc w:val="center"/>
                    <w:rPr>
                      <w:bCs/>
                      <w:color w:val="auto"/>
                      <w:szCs w:val="21"/>
                      <w:highlight w:val="none"/>
                    </w:rPr>
                  </w:pPr>
                  <w:r>
                    <w:rPr>
                      <w:bCs/>
                      <w:color w:val="auto"/>
                      <w:szCs w:val="21"/>
                      <w:highlight w:val="none"/>
                    </w:rPr>
                    <w:t>不涉及</w:t>
                  </w:r>
                </w:p>
              </w:tc>
              <w:tc>
                <w:tcPr>
                  <w:tcW w:w="435" w:type="pct"/>
                  <w:noWrap w:val="0"/>
                  <w:vAlign w:val="center"/>
                </w:tcPr>
                <w:p>
                  <w:pPr>
                    <w:adjustRightInd w:val="0"/>
                    <w:snapToGrid w:val="0"/>
                    <w:ind w:left="102"/>
                    <w:jc w:val="center"/>
                    <w:rPr>
                      <w:bCs/>
                      <w:color w:val="auto"/>
                      <w:szCs w:val="21"/>
                      <w:highlight w:val="none"/>
                    </w:rPr>
                  </w:pPr>
                  <w:r>
                    <w:rPr>
                      <w:bCs/>
                      <w:color w:val="auto"/>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4" w:type="pct"/>
                  <w:noWrap w:val="0"/>
                  <w:vAlign w:val="center"/>
                </w:tcPr>
                <w:p>
                  <w:pPr>
                    <w:adjustRightInd w:val="0"/>
                    <w:snapToGrid w:val="0"/>
                    <w:jc w:val="center"/>
                    <w:rPr>
                      <w:bCs/>
                      <w:color w:val="auto"/>
                      <w:szCs w:val="21"/>
                      <w:highlight w:val="none"/>
                    </w:rPr>
                  </w:pPr>
                  <w:r>
                    <w:rPr>
                      <w:bCs/>
                      <w:color w:val="auto"/>
                      <w:szCs w:val="21"/>
                      <w:highlight w:val="none"/>
                    </w:rPr>
                    <w:t>环境风险</w:t>
                  </w:r>
                </w:p>
              </w:tc>
              <w:tc>
                <w:tcPr>
                  <w:tcW w:w="2582" w:type="pct"/>
                  <w:noWrap w:val="0"/>
                  <w:vAlign w:val="center"/>
                </w:tcPr>
                <w:p>
                  <w:pPr>
                    <w:adjustRightInd w:val="0"/>
                    <w:snapToGrid w:val="0"/>
                    <w:jc w:val="center"/>
                    <w:rPr>
                      <w:bCs/>
                      <w:color w:val="auto"/>
                      <w:szCs w:val="21"/>
                      <w:highlight w:val="none"/>
                    </w:rPr>
                  </w:pPr>
                  <w:r>
                    <w:rPr>
                      <w:bCs/>
                      <w:color w:val="auto"/>
                      <w:szCs w:val="21"/>
                      <w:highlight w:val="none"/>
                    </w:rPr>
                    <w:t>有毒有害和易燃易爆危险物质存储量超过临界量</w:t>
                  </w:r>
                  <w:r>
                    <w:rPr>
                      <w:bCs/>
                      <w:color w:val="auto"/>
                      <w:szCs w:val="21"/>
                      <w:highlight w:val="none"/>
                      <w:vertAlign w:val="superscript"/>
                    </w:rPr>
                    <w:t>3</w:t>
                  </w:r>
                  <w:r>
                    <w:rPr>
                      <w:bCs/>
                      <w:color w:val="auto"/>
                      <w:szCs w:val="21"/>
                      <w:highlight w:val="none"/>
                    </w:rPr>
                    <w:t>的建设项目</w:t>
                  </w:r>
                </w:p>
              </w:tc>
              <w:tc>
                <w:tcPr>
                  <w:tcW w:w="1347" w:type="pct"/>
                  <w:noWrap w:val="0"/>
                  <w:vAlign w:val="center"/>
                </w:tcPr>
                <w:p>
                  <w:pPr>
                    <w:adjustRightInd w:val="0"/>
                    <w:snapToGrid w:val="0"/>
                    <w:jc w:val="center"/>
                    <w:rPr>
                      <w:bCs/>
                      <w:color w:val="auto"/>
                      <w:szCs w:val="21"/>
                      <w:highlight w:val="none"/>
                    </w:rPr>
                  </w:pPr>
                  <w:r>
                    <w:rPr>
                      <w:bCs/>
                      <w:color w:val="auto"/>
                      <w:szCs w:val="21"/>
                      <w:highlight w:val="none"/>
                    </w:rPr>
                    <w:t>不涉及</w:t>
                  </w:r>
                </w:p>
              </w:tc>
              <w:tc>
                <w:tcPr>
                  <w:tcW w:w="435" w:type="pct"/>
                  <w:noWrap w:val="0"/>
                  <w:vAlign w:val="center"/>
                </w:tcPr>
                <w:p>
                  <w:pPr>
                    <w:adjustRightInd w:val="0"/>
                    <w:snapToGrid w:val="0"/>
                    <w:jc w:val="center"/>
                    <w:rPr>
                      <w:bCs/>
                      <w:color w:val="auto"/>
                      <w:szCs w:val="21"/>
                      <w:highlight w:val="none"/>
                    </w:rPr>
                  </w:pPr>
                  <w:r>
                    <w:rPr>
                      <w:bCs/>
                      <w:color w:val="auto"/>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4" w:type="pct"/>
                  <w:noWrap w:val="0"/>
                  <w:vAlign w:val="center"/>
                </w:tcPr>
                <w:p>
                  <w:pPr>
                    <w:adjustRightInd w:val="0"/>
                    <w:snapToGrid w:val="0"/>
                    <w:jc w:val="center"/>
                    <w:rPr>
                      <w:bCs/>
                      <w:color w:val="auto"/>
                      <w:szCs w:val="21"/>
                      <w:highlight w:val="none"/>
                    </w:rPr>
                  </w:pPr>
                  <w:r>
                    <w:rPr>
                      <w:bCs/>
                      <w:color w:val="auto"/>
                      <w:szCs w:val="21"/>
                      <w:highlight w:val="none"/>
                    </w:rPr>
                    <w:t>生态</w:t>
                  </w:r>
                </w:p>
              </w:tc>
              <w:tc>
                <w:tcPr>
                  <w:tcW w:w="2582" w:type="pct"/>
                  <w:noWrap w:val="0"/>
                  <w:vAlign w:val="center"/>
                </w:tcPr>
                <w:p>
                  <w:pPr>
                    <w:adjustRightInd w:val="0"/>
                    <w:snapToGrid w:val="0"/>
                    <w:ind w:left="102"/>
                    <w:jc w:val="center"/>
                    <w:rPr>
                      <w:bCs/>
                      <w:color w:val="auto"/>
                      <w:szCs w:val="21"/>
                      <w:highlight w:val="none"/>
                    </w:rPr>
                  </w:pPr>
                  <w:r>
                    <w:rPr>
                      <w:bCs/>
                      <w:color w:val="auto"/>
                      <w:szCs w:val="21"/>
                      <w:highlight w:val="none"/>
                    </w:rPr>
                    <w:t>取水口下游500米范围内有重要水生生物的自然产卵场、索饵场、越冬场和洄游通道的新增河道取水的污染类建设项目</w:t>
                  </w:r>
                </w:p>
              </w:tc>
              <w:tc>
                <w:tcPr>
                  <w:tcW w:w="1347" w:type="pct"/>
                  <w:noWrap w:val="0"/>
                  <w:vAlign w:val="center"/>
                </w:tcPr>
                <w:p>
                  <w:pPr>
                    <w:adjustRightInd w:val="0"/>
                    <w:snapToGrid w:val="0"/>
                    <w:jc w:val="center"/>
                    <w:rPr>
                      <w:bCs/>
                      <w:color w:val="auto"/>
                      <w:szCs w:val="21"/>
                      <w:highlight w:val="none"/>
                    </w:rPr>
                  </w:pPr>
                  <w:r>
                    <w:rPr>
                      <w:bCs/>
                      <w:color w:val="auto"/>
                      <w:szCs w:val="21"/>
                      <w:highlight w:val="none"/>
                    </w:rPr>
                    <w:t>不涉及</w:t>
                  </w:r>
                </w:p>
              </w:tc>
              <w:tc>
                <w:tcPr>
                  <w:tcW w:w="435" w:type="pct"/>
                  <w:noWrap w:val="0"/>
                  <w:vAlign w:val="center"/>
                </w:tcPr>
                <w:p>
                  <w:pPr>
                    <w:adjustRightInd w:val="0"/>
                    <w:snapToGrid w:val="0"/>
                    <w:ind w:left="102"/>
                    <w:jc w:val="center"/>
                    <w:rPr>
                      <w:bCs/>
                      <w:color w:val="auto"/>
                      <w:szCs w:val="21"/>
                      <w:highlight w:val="none"/>
                    </w:rPr>
                  </w:pPr>
                  <w:r>
                    <w:rPr>
                      <w:bCs/>
                      <w:color w:val="auto"/>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4" w:type="pct"/>
                  <w:noWrap w:val="0"/>
                  <w:vAlign w:val="center"/>
                </w:tcPr>
                <w:p>
                  <w:pPr>
                    <w:adjustRightInd w:val="0"/>
                    <w:snapToGrid w:val="0"/>
                    <w:jc w:val="center"/>
                    <w:rPr>
                      <w:bCs/>
                      <w:color w:val="auto"/>
                      <w:szCs w:val="21"/>
                      <w:highlight w:val="none"/>
                    </w:rPr>
                  </w:pPr>
                  <w:r>
                    <w:rPr>
                      <w:bCs/>
                      <w:color w:val="auto"/>
                      <w:szCs w:val="21"/>
                      <w:highlight w:val="none"/>
                    </w:rPr>
                    <w:t>海洋</w:t>
                  </w:r>
                </w:p>
              </w:tc>
              <w:tc>
                <w:tcPr>
                  <w:tcW w:w="2582" w:type="pct"/>
                  <w:noWrap w:val="0"/>
                  <w:vAlign w:val="center"/>
                </w:tcPr>
                <w:p>
                  <w:pPr>
                    <w:adjustRightInd w:val="0"/>
                    <w:snapToGrid w:val="0"/>
                    <w:ind w:left="102"/>
                    <w:jc w:val="center"/>
                    <w:rPr>
                      <w:bCs/>
                      <w:color w:val="auto"/>
                      <w:szCs w:val="21"/>
                      <w:highlight w:val="none"/>
                    </w:rPr>
                  </w:pPr>
                  <w:r>
                    <w:rPr>
                      <w:bCs/>
                      <w:color w:val="auto"/>
                      <w:szCs w:val="21"/>
                      <w:highlight w:val="none"/>
                    </w:rPr>
                    <w:t>直接向海排放污染物的海洋工程建设项目</w:t>
                  </w:r>
                </w:p>
              </w:tc>
              <w:tc>
                <w:tcPr>
                  <w:tcW w:w="1347" w:type="pct"/>
                  <w:noWrap w:val="0"/>
                  <w:vAlign w:val="center"/>
                </w:tcPr>
                <w:p>
                  <w:pPr>
                    <w:adjustRightInd w:val="0"/>
                    <w:snapToGrid w:val="0"/>
                    <w:jc w:val="center"/>
                    <w:rPr>
                      <w:bCs/>
                      <w:color w:val="auto"/>
                      <w:szCs w:val="21"/>
                      <w:highlight w:val="none"/>
                    </w:rPr>
                  </w:pPr>
                  <w:r>
                    <w:rPr>
                      <w:bCs/>
                      <w:color w:val="auto"/>
                      <w:szCs w:val="21"/>
                      <w:highlight w:val="none"/>
                    </w:rPr>
                    <w:t>不涉及</w:t>
                  </w:r>
                </w:p>
              </w:tc>
              <w:tc>
                <w:tcPr>
                  <w:tcW w:w="435" w:type="pct"/>
                  <w:noWrap w:val="0"/>
                  <w:vAlign w:val="center"/>
                </w:tcPr>
                <w:p>
                  <w:pPr>
                    <w:adjustRightInd w:val="0"/>
                    <w:snapToGrid w:val="0"/>
                    <w:ind w:left="102"/>
                    <w:jc w:val="center"/>
                    <w:rPr>
                      <w:bCs/>
                      <w:color w:val="auto"/>
                      <w:szCs w:val="21"/>
                      <w:highlight w:val="none"/>
                    </w:rPr>
                  </w:pPr>
                  <w:r>
                    <w:rPr>
                      <w:bCs/>
                      <w:color w:val="auto"/>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4"/>
                  <w:noWrap w:val="0"/>
                  <w:vAlign w:val="center"/>
                </w:tcPr>
                <w:p>
                  <w:pPr>
                    <w:kinsoku w:val="0"/>
                    <w:overflowPunct w:val="0"/>
                    <w:autoSpaceDE w:val="0"/>
                    <w:autoSpaceDN w:val="0"/>
                    <w:adjustRightInd w:val="0"/>
                    <w:snapToGrid w:val="0"/>
                    <w:ind w:firstLine="420" w:firstLineChars="200"/>
                    <w:rPr>
                      <w:color w:val="auto"/>
                      <w:kern w:val="0"/>
                      <w:szCs w:val="21"/>
                      <w:highlight w:val="none"/>
                    </w:rPr>
                  </w:pPr>
                  <w:r>
                    <w:rPr>
                      <w:color w:val="auto"/>
                      <w:kern w:val="0"/>
                      <w:szCs w:val="21"/>
                      <w:highlight w:val="none"/>
                    </w:rPr>
                    <w:t>注：1.废气中有毒有害污染物指纳入《有毒有害大气污染物名录》的污染物（不包括无排放标准</w:t>
                  </w:r>
                  <w:r>
                    <w:rPr>
                      <w:color w:val="auto"/>
                      <w:spacing w:val="-99"/>
                      <w:kern w:val="0"/>
                      <w:szCs w:val="21"/>
                      <w:highlight w:val="none"/>
                    </w:rPr>
                    <w:t xml:space="preserve"> </w:t>
                  </w:r>
                  <w:r>
                    <w:rPr>
                      <w:color w:val="auto"/>
                      <w:kern w:val="0"/>
                      <w:szCs w:val="21"/>
                      <w:highlight w:val="none"/>
                    </w:rPr>
                    <w:t>的污染物）。</w:t>
                  </w:r>
                </w:p>
                <w:p>
                  <w:pPr>
                    <w:overflowPunct w:val="0"/>
                    <w:autoSpaceDE w:val="0"/>
                    <w:autoSpaceDN w:val="0"/>
                    <w:adjustRightInd w:val="0"/>
                    <w:snapToGrid w:val="0"/>
                    <w:ind w:firstLine="420" w:firstLineChars="200"/>
                    <w:rPr>
                      <w:color w:val="auto"/>
                      <w:kern w:val="0"/>
                      <w:szCs w:val="21"/>
                      <w:highlight w:val="none"/>
                    </w:rPr>
                  </w:pPr>
                  <w:r>
                    <w:rPr>
                      <w:color w:val="auto"/>
                      <w:kern w:val="0"/>
                      <w:szCs w:val="21"/>
                      <w:highlight w:val="none"/>
                    </w:rPr>
                    <w:t>2.环境空气保护目标指自然保护区、风景名胜区、居住区、文化区和农村地区中人群较集中的区域。</w:t>
                  </w:r>
                </w:p>
                <w:p>
                  <w:pPr>
                    <w:overflowPunct w:val="0"/>
                    <w:autoSpaceDE w:val="0"/>
                    <w:autoSpaceDN w:val="0"/>
                    <w:adjustRightInd w:val="0"/>
                    <w:snapToGrid w:val="0"/>
                    <w:ind w:firstLine="408" w:firstLineChars="200"/>
                    <w:rPr>
                      <w:bCs/>
                      <w:color w:val="auto"/>
                      <w:szCs w:val="21"/>
                      <w:highlight w:val="none"/>
                    </w:rPr>
                  </w:pPr>
                  <w:r>
                    <w:rPr>
                      <w:color w:val="auto"/>
                      <w:spacing w:val="-3"/>
                      <w:kern w:val="0"/>
                      <w:szCs w:val="21"/>
                      <w:highlight w:val="none"/>
                    </w:rPr>
                    <w:t>3.临界量及其计算方法可参考《建设项目环境风险评价技术导则》（HJ</w:t>
                  </w:r>
                  <w:r>
                    <w:rPr>
                      <w:color w:val="auto"/>
                      <w:spacing w:val="-54"/>
                      <w:kern w:val="0"/>
                      <w:szCs w:val="21"/>
                      <w:highlight w:val="none"/>
                    </w:rPr>
                    <w:t xml:space="preserve"> </w:t>
                  </w:r>
                  <w:r>
                    <w:rPr>
                      <w:color w:val="auto"/>
                      <w:spacing w:val="-5"/>
                      <w:kern w:val="0"/>
                      <w:szCs w:val="21"/>
                      <w:highlight w:val="none"/>
                    </w:rPr>
                    <w:t>169）附录</w:t>
                  </w:r>
                  <w:r>
                    <w:rPr>
                      <w:color w:val="auto"/>
                      <w:spacing w:val="-52"/>
                      <w:kern w:val="0"/>
                      <w:szCs w:val="21"/>
                      <w:highlight w:val="none"/>
                    </w:rPr>
                    <w:t xml:space="preserve"> </w:t>
                  </w:r>
                  <w:r>
                    <w:rPr>
                      <w:color w:val="auto"/>
                      <w:spacing w:val="-7"/>
                      <w:kern w:val="0"/>
                      <w:szCs w:val="21"/>
                      <w:highlight w:val="none"/>
                    </w:rPr>
                    <w:t>B、</w:t>
                  </w:r>
                  <w:r>
                    <w:rPr>
                      <w:rFonts w:hint="eastAsia"/>
                      <w:color w:val="auto"/>
                      <w:spacing w:val="-7"/>
                      <w:kern w:val="0"/>
                      <w:szCs w:val="21"/>
                      <w:highlight w:val="none"/>
                      <w:lang w:val="en-US" w:eastAsia="zh-CN"/>
                    </w:rPr>
                    <w:t>附录C</w:t>
                  </w:r>
                  <w:r>
                    <w:rPr>
                      <w:color w:val="auto"/>
                      <w:kern w:val="0"/>
                      <w:szCs w:val="21"/>
                      <w:highlight w:val="none"/>
                    </w:rPr>
                    <w:t>。</w:t>
                  </w:r>
                </w:p>
              </w:tc>
            </w:tr>
          </w:tbl>
          <w:p>
            <w:pPr>
              <w:pStyle w:val="51"/>
              <w:snapToGrid w:val="0"/>
              <w:spacing w:line="360" w:lineRule="auto"/>
              <w:ind w:left="0" w:right="0" w:firstLine="480" w:firstLineChars="200"/>
              <w:jc w:val="both"/>
              <w:rPr>
                <w:rFonts w:hint="eastAsia" w:ascii="Times New Roman" w:hAnsi="Times New Roman" w:eastAsia="宋体" w:cs="宋体"/>
                <w:color w:val="auto"/>
                <w:szCs w:val="24"/>
                <w:highlight w:val="none"/>
                <w:lang w:val="en-US" w:eastAsia="zh-CN" w:bidi="ar"/>
              </w:rPr>
            </w:pPr>
            <w:r>
              <w:rPr>
                <w:rFonts w:hint="eastAsia" w:ascii="Times New Roman" w:hAnsi="Times New Roman" w:eastAsia="宋体" w:cs="宋体"/>
                <w:color w:val="auto"/>
                <w:szCs w:val="24"/>
                <w:highlight w:val="none"/>
                <w:lang w:val="en-US" w:eastAsia="zh-CN" w:bidi="ar"/>
              </w:rPr>
              <w:t>此外，本项目土壤、声环境不开展专项评价，项目不涉及集中式饮用水水源和热水、矿泉水、温泉等特殊地下水资源保护区，因此不开展地下水专项评价。</w:t>
            </w:r>
          </w:p>
          <w:p>
            <w:pPr>
              <w:pStyle w:val="51"/>
              <w:snapToGrid w:val="0"/>
              <w:spacing w:line="360" w:lineRule="auto"/>
              <w:ind w:left="0" w:right="0" w:firstLine="480" w:firstLineChars="200"/>
              <w:jc w:val="both"/>
              <w:rPr>
                <w:rFonts w:hint="eastAsia" w:ascii="宋体" w:hAnsi="宋体" w:eastAsia="宋体" w:cs="宋体"/>
                <w:color w:val="auto"/>
                <w:kern w:val="0"/>
                <w:szCs w:val="21"/>
                <w:highlight w:val="none"/>
                <w:lang w:val="en-US" w:eastAsia="zh-CN"/>
              </w:rPr>
            </w:pPr>
            <w:r>
              <w:rPr>
                <w:rFonts w:hint="eastAsia" w:ascii="Times New Roman" w:hAnsi="Times New Roman" w:eastAsia="宋体" w:cs="宋体"/>
                <w:color w:val="auto"/>
                <w:szCs w:val="24"/>
                <w:highlight w:val="none"/>
                <w:lang w:val="en-US" w:eastAsia="zh-CN" w:bidi="ar"/>
              </w:rPr>
              <w:t>综上，本项目不需要设置专项评价。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21" w:type="dxa"/>
            <w:noWrap w:val="0"/>
            <w:vAlign w:val="center"/>
          </w:tcPr>
          <w:p>
            <w:pPr>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szCs w:val="21"/>
                <w:highlight w:val="none"/>
              </w:rPr>
              <w:t>规划情况</w:t>
            </w:r>
          </w:p>
        </w:tc>
        <w:tc>
          <w:tcPr>
            <w:tcW w:w="7449" w:type="dxa"/>
            <w:gridSpan w:val="3"/>
            <w:noWrap w:val="0"/>
            <w:vAlign w:val="center"/>
          </w:tcPr>
          <w:p>
            <w:pPr>
              <w:autoSpaceDE w:val="0"/>
              <w:autoSpaceDN w:val="0"/>
              <w:adjustRightInd w:val="0"/>
              <w:snapToGrid w:val="0"/>
              <w:jc w:val="both"/>
              <w:rPr>
                <w:rFonts w:hint="eastAsia" w:ascii="宋体" w:hAnsi="宋体" w:eastAsia="宋体" w:cs="宋体"/>
                <w:color w:val="auto"/>
                <w:kern w:val="0"/>
                <w:szCs w:val="21"/>
                <w:highlight w:val="none"/>
                <w:lang w:eastAsia="zh-CN"/>
              </w:rPr>
            </w:pPr>
            <w:r>
              <w:rPr>
                <w:rFonts w:hint="eastAsia" w:cs="Times New Roman"/>
                <w:color w:val="auto"/>
                <w:kern w:val="0"/>
                <w:sz w:val="24"/>
                <w:szCs w:val="24"/>
                <w:highlight w:val="none"/>
                <w:lang w:val="en-US" w:eastAsia="zh-CN"/>
              </w:rPr>
              <w:t>规划名称：</w:t>
            </w:r>
            <w:r>
              <w:rPr>
                <w:rFonts w:hint="eastAsia" w:ascii="Times New Roman" w:hAnsi="Times New Roman" w:eastAsia="宋体" w:cs="Times New Roman"/>
                <w:color w:val="auto"/>
                <w:kern w:val="0"/>
                <w:sz w:val="24"/>
                <w:szCs w:val="24"/>
                <w:highlight w:val="none"/>
              </w:rPr>
              <w:t>巴中市恩阳食品工业园</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北部片区</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控制性详细规划（2020-2030）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21" w:type="dxa"/>
            <w:noWrap w:val="0"/>
            <w:vAlign w:val="center"/>
          </w:tcPr>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szCs w:val="21"/>
                <w:highlight w:val="none"/>
              </w:rPr>
              <w:t>规划环境影响评价情况</w:t>
            </w:r>
          </w:p>
        </w:tc>
        <w:tc>
          <w:tcPr>
            <w:tcW w:w="7449"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规划环境影响评价文件名称：巴中市恩阳食品工业园</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北部片区</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控制性详细规划（2020-2030）</w:t>
            </w:r>
            <w:r>
              <w:rPr>
                <w:rFonts w:hint="eastAsia" w:ascii="Times New Roman" w:hAnsi="Times New Roman" w:eastAsia="宋体" w:cs="Times New Roman"/>
                <w:color w:val="auto"/>
                <w:kern w:val="0"/>
                <w:sz w:val="24"/>
                <w:szCs w:val="24"/>
                <w:highlight w:val="none"/>
              </w:rPr>
              <w:t>环境影响报告书</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rPr>
              <w:t>召集审查机关：巴中市</w:t>
            </w:r>
            <w:r>
              <w:rPr>
                <w:rFonts w:hint="eastAsia" w:ascii="Times New Roman" w:hAnsi="Times New Roman" w:eastAsia="宋体" w:cs="Times New Roman"/>
                <w:color w:val="auto"/>
                <w:kern w:val="0"/>
                <w:sz w:val="24"/>
                <w:szCs w:val="24"/>
                <w:highlight w:val="none"/>
                <w:lang w:val="en-US" w:eastAsia="zh-CN"/>
              </w:rPr>
              <w:t>生态环境局</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宋体" w:hAnsi="宋体" w:cs="宋体"/>
                <w:color w:val="auto"/>
                <w:kern w:val="0"/>
                <w:szCs w:val="21"/>
                <w:highlight w:val="none"/>
              </w:rPr>
            </w:pPr>
            <w:r>
              <w:rPr>
                <w:rFonts w:hint="eastAsia" w:ascii="Times New Roman" w:hAnsi="Times New Roman" w:eastAsia="宋体" w:cs="Times New Roman"/>
                <w:color w:val="auto"/>
                <w:kern w:val="0"/>
                <w:sz w:val="24"/>
                <w:szCs w:val="24"/>
                <w:highlight w:val="none"/>
              </w:rPr>
              <w:t>审查文件名称及文号：关于印发《巴中市恩阳食品工业园</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北部片区</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控制性详细规划（2020-2030）</w:t>
            </w:r>
            <w:r>
              <w:rPr>
                <w:rFonts w:hint="eastAsia" w:ascii="Times New Roman" w:hAnsi="Times New Roman" w:eastAsia="宋体" w:cs="Times New Roman"/>
                <w:color w:val="auto"/>
                <w:kern w:val="0"/>
                <w:sz w:val="24"/>
                <w:szCs w:val="24"/>
                <w:highlight w:val="none"/>
              </w:rPr>
              <w:t>环境影响报告书》审查意见的函</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巴</w:t>
            </w:r>
            <w:r>
              <w:rPr>
                <w:rFonts w:hint="eastAsia" w:ascii="Times New Roman" w:hAnsi="Times New Roman" w:eastAsia="宋体" w:cs="Times New Roman"/>
                <w:color w:val="auto"/>
                <w:kern w:val="0"/>
                <w:sz w:val="24"/>
                <w:szCs w:val="24"/>
                <w:highlight w:val="none"/>
              </w:rPr>
              <w:t>环</w:t>
            </w:r>
            <w:r>
              <w:rPr>
                <w:rFonts w:hint="eastAsia" w:ascii="Times New Roman" w:hAnsi="Times New Roman" w:eastAsia="宋体" w:cs="Times New Roman"/>
                <w:color w:val="auto"/>
                <w:kern w:val="0"/>
                <w:sz w:val="24"/>
                <w:szCs w:val="24"/>
                <w:highlight w:val="none"/>
                <w:lang w:val="en-US" w:eastAsia="zh-CN"/>
              </w:rPr>
              <w:t>境</w:t>
            </w:r>
            <w:r>
              <w:rPr>
                <w:rFonts w:hint="eastAsia" w:ascii="Times New Roman" w:hAnsi="Times New Roman" w:eastAsia="宋体" w:cs="Times New Roman"/>
                <w:color w:val="auto"/>
                <w:kern w:val="0"/>
                <w:sz w:val="24"/>
                <w:szCs w:val="24"/>
                <w:highlight w:val="none"/>
              </w:rPr>
              <w:t>函[20</w:t>
            </w:r>
            <w:r>
              <w:rPr>
                <w:rFonts w:hint="eastAsia" w:ascii="Times New Roman" w:hAnsi="Times New Roman" w:eastAsia="宋体" w:cs="Times New Roman"/>
                <w:color w:val="auto"/>
                <w:kern w:val="0"/>
                <w:sz w:val="24"/>
                <w:szCs w:val="24"/>
                <w:highlight w:val="none"/>
                <w:lang w:val="en-US" w:eastAsia="zh-CN"/>
              </w:rPr>
              <w:t>21</w:t>
            </w:r>
            <w:r>
              <w:rPr>
                <w:rFonts w:hint="eastAsia"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14</w:t>
            </w:r>
            <w:r>
              <w:rPr>
                <w:rFonts w:hint="eastAsia" w:ascii="Times New Roman" w:hAnsi="Times New Roman" w:eastAsia="宋体" w:cs="Times New Roman"/>
                <w:color w:val="auto"/>
                <w:kern w:val="0"/>
                <w:sz w:val="24"/>
                <w:szCs w:val="24"/>
                <w:highlight w:val="none"/>
              </w:rPr>
              <w:t>号</w:t>
            </w:r>
            <w:r>
              <w:rPr>
                <w:rFonts w:hint="eastAsia" w:ascii="Times New Roman" w:hAnsi="Times New Roman" w:eastAsia="宋体" w:cs="Times New Roman"/>
                <w:color w:val="auto"/>
                <w:kern w:val="0"/>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21" w:type="dxa"/>
            <w:noWrap w:val="0"/>
            <w:vAlign w:val="center"/>
          </w:tcPr>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规划及规划环境影响评价符合性分析</w:t>
            </w:r>
          </w:p>
        </w:tc>
        <w:tc>
          <w:tcPr>
            <w:tcW w:w="7449" w:type="dxa"/>
            <w:gridSpan w:val="3"/>
            <w:noWrap w:val="0"/>
            <w:vAlign w:val="center"/>
          </w:tcPr>
          <w:p>
            <w:pPr>
              <w:pStyle w:val="51"/>
              <w:snapToGrid w:val="0"/>
              <w:spacing w:line="360" w:lineRule="auto"/>
              <w:ind w:left="0" w:leftChars="0" w:right="0" w:firstLine="0" w:firstLineChars="0"/>
              <w:jc w:val="both"/>
              <w:rPr>
                <w:rFonts w:hint="eastAsia" w:ascii="Times New Roman" w:hAnsi="Times New Roman" w:eastAsia="宋体" w:cs="宋体"/>
                <w:color w:val="auto"/>
                <w:szCs w:val="24"/>
                <w:highlight w:val="none"/>
                <w:lang w:val="en-US" w:eastAsia="zh-CN" w:bidi="ar"/>
              </w:rPr>
            </w:pPr>
            <w:r>
              <w:rPr>
                <w:rFonts w:hint="eastAsia" w:ascii="Times New Roman" w:hAnsi="Times New Roman" w:eastAsia="宋体" w:cs="Times New Roman"/>
                <w:b/>
                <w:bCs/>
                <w:color w:val="auto"/>
                <w:kern w:val="0"/>
                <w:sz w:val="24"/>
                <w:highlight w:val="none"/>
                <w:lang w:val="en-US" w:eastAsia="zh-CN"/>
              </w:rPr>
              <w:t>1</w:t>
            </w:r>
            <w:r>
              <w:rPr>
                <w:rFonts w:hint="eastAsia" w:ascii="Times New Roman" w:hAnsi="Times New Roman" w:eastAsia="宋体" w:cs="宋体"/>
                <w:b/>
                <w:bCs/>
                <w:color w:val="auto"/>
                <w:szCs w:val="24"/>
                <w:highlight w:val="none"/>
                <w:lang w:val="en-US" w:eastAsia="zh-CN" w:bidi="ar"/>
              </w:rPr>
              <w:t>、与巴中市恩阳食品工业园（北部片区）规划环评符合性分析</w:t>
            </w:r>
          </w:p>
          <w:p>
            <w:pPr>
              <w:pStyle w:val="51"/>
              <w:snapToGrid w:val="0"/>
              <w:spacing w:line="360" w:lineRule="auto"/>
              <w:ind w:left="0" w:right="0" w:firstLine="480" w:firstLineChars="200"/>
              <w:jc w:val="both"/>
              <w:rPr>
                <w:rFonts w:hint="eastAsia" w:ascii="Times New Roman" w:hAnsi="Times New Roman" w:eastAsia="宋体" w:cs="宋体"/>
                <w:color w:val="auto"/>
                <w:szCs w:val="24"/>
                <w:highlight w:val="none"/>
                <w:lang w:val="en-US" w:eastAsia="zh-CN" w:bidi="ar"/>
              </w:rPr>
            </w:pPr>
            <w:r>
              <w:rPr>
                <w:rFonts w:hint="eastAsia" w:ascii="Times New Roman" w:hAnsi="Times New Roman" w:eastAsia="宋体" w:cs="宋体"/>
                <w:color w:val="auto"/>
                <w:szCs w:val="24"/>
                <w:highlight w:val="none"/>
                <w:lang w:val="en-US" w:eastAsia="zh-CN" w:bidi="ar"/>
              </w:rPr>
              <w:t>2021年4月25日，巴中市生态环境局出具了《关于印发&lt;巴中市恩阳食品工业园（北部片区）控制性详细规划（2020-2030）环境影响报告书&gt;审查意见的函（巴环境函[2021]14号）》，根据《巴中市恩阳食品工业园（北部片区）控制性详细规划（2020-2030）环境影响报告书》及规划环评审查意见，巴中市恩阳食品工业园（北部片区）</w:t>
            </w:r>
            <w:r>
              <w:rPr>
                <w:rFonts w:hint="eastAsia" w:cs="宋体"/>
                <w:color w:val="auto"/>
                <w:szCs w:val="24"/>
                <w:highlight w:val="none"/>
                <w:lang w:val="en-US" w:eastAsia="zh-CN" w:bidi="ar"/>
              </w:rPr>
              <w:t>规划面积3.4398km</w:t>
            </w:r>
            <w:r>
              <w:rPr>
                <w:rFonts w:hint="eastAsia" w:cs="宋体"/>
                <w:color w:val="auto"/>
                <w:szCs w:val="24"/>
                <w:highlight w:val="none"/>
                <w:vertAlign w:val="superscript"/>
                <w:lang w:val="en-US" w:eastAsia="zh-CN" w:bidi="ar"/>
              </w:rPr>
              <w:t>2</w:t>
            </w:r>
            <w:r>
              <w:rPr>
                <w:rFonts w:hint="eastAsia" w:cs="宋体"/>
                <w:color w:val="auto"/>
                <w:szCs w:val="24"/>
                <w:highlight w:val="none"/>
                <w:vertAlign w:val="baseline"/>
                <w:lang w:val="en-US" w:eastAsia="zh-CN" w:bidi="ar"/>
              </w:rPr>
              <w:t>，四至范围为北邻柳林镇区，东至柳林自然山体，西至成巴高速、南至辜家河，</w:t>
            </w:r>
            <w:r>
              <w:rPr>
                <w:rFonts w:hint="eastAsia" w:ascii="Times New Roman" w:hAnsi="Times New Roman" w:eastAsia="宋体" w:cs="宋体"/>
                <w:color w:val="auto"/>
                <w:szCs w:val="24"/>
                <w:highlight w:val="none"/>
                <w:lang w:val="en-US" w:eastAsia="zh-CN" w:bidi="ar"/>
              </w:rPr>
              <w:t>规划主导产业为食品饮料、生物医药及农副产品加工，生态环境准入负面清单分析如下。</w:t>
            </w:r>
          </w:p>
          <w:p>
            <w:pPr>
              <w:pStyle w:val="51"/>
              <w:snapToGrid w:val="0"/>
              <w:spacing w:line="360" w:lineRule="auto"/>
              <w:ind w:left="0" w:right="0" w:firstLine="480" w:firstLineChars="200"/>
              <w:jc w:val="both"/>
              <w:rPr>
                <w:rFonts w:hint="eastAsia" w:ascii="Times New Roman" w:hAnsi="Times New Roman" w:eastAsia="宋体" w:cs="宋体"/>
                <w:color w:val="auto"/>
                <w:szCs w:val="24"/>
                <w:highlight w:val="none"/>
                <w:lang w:val="en-US" w:eastAsia="zh-CN" w:bidi="ar"/>
              </w:rPr>
            </w:pPr>
          </w:p>
          <w:p>
            <w:pPr>
              <w:pStyle w:val="51"/>
              <w:snapToGrid w:val="0"/>
              <w:spacing w:line="360" w:lineRule="auto"/>
              <w:ind w:left="0" w:right="0" w:firstLine="480" w:firstLineChars="200"/>
              <w:jc w:val="both"/>
              <w:rPr>
                <w:rFonts w:hint="eastAsia" w:ascii="Times New Roman" w:hAnsi="Times New Roman" w:eastAsia="宋体" w:cs="宋体"/>
                <w:color w:val="auto"/>
                <w:szCs w:val="24"/>
                <w:highlight w:val="none"/>
                <w:lang w:val="en-US" w:eastAsia="zh-CN" w:bidi="ar"/>
              </w:rPr>
            </w:pPr>
          </w:p>
          <w:p>
            <w:pPr>
              <w:pStyle w:val="41"/>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表1-1  与</w:t>
            </w:r>
            <w:r>
              <w:rPr>
                <w:rFonts w:hint="default" w:ascii="Times New Roman" w:hAnsi="Times New Roman" w:cs="Times New Roman"/>
                <w:b/>
                <w:bCs/>
                <w:color w:val="auto"/>
                <w:highlight w:val="none"/>
                <w:lang w:val="en-US" w:eastAsia="zh-CN"/>
              </w:rPr>
              <w:t>规划环评</w:t>
            </w:r>
            <w:r>
              <w:rPr>
                <w:rFonts w:hint="default" w:ascii="Times New Roman" w:hAnsi="Times New Roman" w:cs="Times New Roman"/>
                <w:b/>
                <w:bCs/>
                <w:color w:val="auto"/>
                <w:highlight w:val="none"/>
              </w:rPr>
              <w:t>生态环境准入负面清单分析</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3222"/>
              <w:gridCol w:w="2676"/>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noWrap w:val="0"/>
                  <w:vAlign w:val="center"/>
                </w:tcPr>
                <w:p>
                  <w:pPr>
                    <w:adjustRightInd w:val="0"/>
                    <w:snapToGrid w:val="0"/>
                    <w:jc w:val="center"/>
                    <w:rPr>
                      <w:rFonts w:hint="eastAsia" w:eastAsia="宋体"/>
                      <w:b/>
                      <w:bCs/>
                      <w:color w:val="auto"/>
                      <w:kern w:val="0"/>
                      <w:szCs w:val="21"/>
                      <w:highlight w:val="none"/>
                      <w:lang w:val="en-US" w:eastAsia="zh-CN"/>
                    </w:rPr>
                  </w:pPr>
                  <w:r>
                    <w:rPr>
                      <w:rFonts w:hint="eastAsia"/>
                      <w:b/>
                      <w:bCs/>
                      <w:color w:val="auto"/>
                      <w:kern w:val="0"/>
                      <w:szCs w:val="21"/>
                      <w:highlight w:val="none"/>
                      <w:lang w:val="en-US" w:eastAsia="zh-CN"/>
                    </w:rPr>
                    <w:t>序号</w:t>
                  </w:r>
                </w:p>
              </w:tc>
              <w:tc>
                <w:tcPr>
                  <w:tcW w:w="2212" w:type="pct"/>
                  <w:noWrap w:val="0"/>
                  <w:vAlign w:val="center"/>
                </w:tcPr>
                <w:p>
                  <w:pPr>
                    <w:adjustRightInd w:val="0"/>
                    <w:snapToGrid w:val="0"/>
                    <w:jc w:val="center"/>
                    <w:rPr>
                      <w:rFonts w:hint="eastAsia" w:eastAsia="宋体"/>
                      <w:b/>
                      <w:bCs/>
                      <w:color w:val="auto"/>
                      <w:kern w:val="0"/>
                      <w:szCs w:val="21"/>
                      <w:highlight w:val="none"/>
                      <w:lang w:val="en-US" w:eastAsia="zh-CN"/>
                    </w:rPr>
                  </w:pPr>
                  <w:r>
                    <w:rPr>
                      <w:rFonts w:hint="eastAsia"/>
                      <w:b/>
                      <w:bCs/>
                      <w:color w:val="auto"/>
                      <w:kern w:val="0"/>
                      <w:szCs w:val="21"/>
                      <w:highlight w:val="none"/>
                    </w:rPr>
                    <w:t>生态环境准入负面清单</w:t>
                  </w:r>
                  <w:r>
                    <w:rPr>
                      <w:rFonts w:hint="eastAsia"/>
                      <w:b/>
                      <w:bCs/>
                      <w:color w:val="auto"/>
                      <w:kern w:val="0"/>
                      <w:szCs w:val="21"/>
                      <w:highlight w:val="none"/>
                      <w:lang w:val="en-US" w:eastAsia="zh-CN"/>
                    </w:rPr>
                    <w:t>要求</w:t>
                  </w:r>
                </w:p>
              </w:tc>
              <w:tc>
                <w:tcPr>
                  <w:tcW w:w="1837" w:type="pct"/>
                  <w:noWrap w:val="0"/>
                  <w:vAlign w:val="center"/>
                </w:tcPr>
                <w:p>
                  <w:pPr>
                    <w:adjustRightInd w:val="0"/>
                    <w:snapToGrid w:val="0"/>
                    <w:jc w:val="center"/>
                    <w:rPr>
                      <w:rFonts w:hint="default" w:eastAsia="宋体"/>
                      <w:b/>
                      <w:bCs/>
                      <w:color w:val="auto"/>
                      <w:kern w:val="0"/>
                      <w:szCs w:val="21"/>
                      <w:highlight w:val="none"/>
                      <w:lang w:val="en-US" w:eastAsia="zh-CN"/>
                    </w:rPr>
                  </w:pPr>
                  <w:r>
                    <w:rPr>
                      <w:rFonts w:hint="eastAsia"/>
                      <w:b/>
                      <w:bCs/>
                      <w:color w:val="auto"/>
                      <w:kern w:val="0"/>
                      <w:szCs w:val="21"/>
                      <w:highlight w:val="none"/>
                      <w:lang w:val="en-US" w:eastAsia="zh-CN"/>
                    </w:rPr>
                    <w:t>本项目实际情况</w:t>
                  </w:r>
                </w:p>
              </w:tc>
              <w:tc>
                <w:tcPr>
                  <w:tcW w:w="477" w:type="pct"/>
                  <w:noWrap w:val="0"/>
                  <w:vAlign w:val="center"/>
                </w:tcPr>
                <w:p>
                  <w:pPr>
                    <w:adjustRightInd w:val="0"/>
                    <w:snapToGrid w:val="0"/>
                    <w:jc w:val="center"/>
                    <w:rPr>
                      <w:b/>
                      <w:bCs/>
                      <w:color w:val="auto"/>
                      <w:kern w:val="0"/>
                      <w:szCs w:val="21"/>
                      <w:highlight w:val="none"/>
                    </w:rPr>
                  </w:pPr>
                  <w:r>
                    <w:rPr>
                      <w:rFonts w:hint="eastAsia"/>
                      <w:b/>
                      <w:bCs/>
                      <w:color w:val="auto"/>
                      <w:kern w:val="0"/>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noWrap w:val="0"/>
                  <w:vAlign w:val="center"/>
                </w:tcPr>
                <w:p>
                  <w:pPr>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1</w:t>
                  </w:r>
                </w:p>
              </w:tc>
              <w:tc>
                <w:tcPr>
                  <w:tcW w:w="2212" w:type="pct"/>
                  <w:noWrap w:val="0"/>
                  <w:vAlign w:val="center"/>
                </w:tcPr>
                <w:p>
                  <w:pPr>
                    <w:adjustRightInd w:val="0"/>
                    <w:snapToGrid w:val="0"/>
                    <w:jc w:val="center"/>
                    <w:rPr>
                      <w:rFonts w:hint="eastAsia" w:eastAsia="宋体"/>
                      <w:color w:val="auto"/>
                      <w:kern w:val="0"/>
                      <w:szCs w:val="21"/>
                      <w:highlight w:val="none"/>
                      <w:lang w:eastAsia="zh-CN"/>
                    </w:rPr>
                  </w:pPr>
                  <w:r>
                    <w:rPr>
                      <w:rFonts w:hint="eastAsia"/>
                      <w:color w:val="auto"/>
                      <w:kern w:val="0"/>
                      <w:szCs w:val="21"/>
                      <w:highlight w:val="none"/>
                    </w:rPr>
                    <w:t>禁止引入不符合国家环保法律法规、行业准入条件的项目，列入国家产能过剩的项目，列入产业结构指导目录禁止类的项目</w:t>
                  </w:r>
                  <w:r>
                    <w:rPr>
                      <w:rFonts w:hint="eastAsia"/>
                      <w:color w:val="auto"/>
                      <w:kern w:val="0"/>
                      <w:szCs w:val="21"/>
                      <w:highlight w:val="none"/>
                      <w:lang w:eastAsia="zh-CN"/>
                    </w:rPr>
                    <w:t>。</w:t>
                  </w:r>
                </w:p>
              </w:tc>
              <w:tc>
                <w:tcPr>
                  <w:tcW w:w="1837"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本项目为</w:t>
                  </w:r>
                  <w:r>
                    <w:rPr>
                      <w:rFonts w:hint="eastAsia" w:ascii="Times New Roman" w:hAnsi="Times New Roman" w:eastAsia="宋体" w:cs="宋体"/>
                      <w:color w:val="auto"/>
                      <w:szCs w:val="24"/>
                      <w:highlight w:val="none"/>
                      <w:lang w:val="en-US" w:eastAsia="zh-CN" w:bidi="ar"/>
                    </w:rPr>
                    <w:t>豆制品制造项目，</w:t>
                  </w:r>
                  <w:r>
                    <w:rPr>
                      <w:rFonts w:hint="eastAsia"/>
                      <w:color w:val="auto"/>
                      <w:kern w:val="0"/>
                      <w:szCs w:val="21"/>
                      <w:highlight w:val="none"/>
                    </w:rPr>
                    <w:t>符合国家环保法律法规、行业准入条件</w:t>
                  </w:r>
                  <w:r>
                    <w:rPr>
                      <w:rFonts w:hint="eastAsia"/>
                      <w:color w:val="auto"/>
                      <w:kern w:val="0"/>
                      <w:szCs w:val="21"/>
                      <w:highlight w:val="none"/>
                      <w:lang w:eastAsia="zh-CN"/>
                    </w:rPr>
                    <w:t>，</w:t>
                  </w:r>
                  <w:r>
                    <w:rPr>
                      <w:rFonts w:hint="eastAsia"/>
                      <w:color w:val="auto"/>
                      <w:kern w:val="0"/>
                      <w:szCs w:val="21"/>
                      <w:highlight w:val="none"/>
                      <w:lang w:val="en-US" w:eastAsia="zh-CN"/>
                    </w:rPr>
                    <w:t>不属于</w:t>
                  </w:r>
                  <w:r>
                    <w:rPr>
                      <w:rFonts w:hint="eastAsia"/>
                      <w:color w:val="auto"/>
                      <w:kern w:val="0"/>
                      <w:szCs w:val="21"/>
                      <w:highlight w:val="none"/>
                    </w:rPr>
                    <w:t>列入国家产能过剩的项目</w:t>
                  </w:r>
                  <w:r>
                    <w:rPr>
                      <w:rFonts w:hint="eastAsia"/>
                      <w:color w:val="auto"/>
                      <w:kern w:val="0"/>
                      <w:szCs w:val="21"/>
                      <w:highlight w:val="none"/>
                      <w:lang w:eastAsia="zh-CN"/>
                    </w:rPr>
                    <w:t>，</w:t>
                  </w:r>
                  <w:r>
                    <w:rPr>
                      <w:rFonts w:hint="eastAsia"/>
                      <w:color w:val="auto"/>
                      <w:kern w:val="0"/>
                      <w:szCs w:val="21"/>
                      <w:highlight w:val="none"/>
                      <w:lang w:val="en-US" w:eastAsia="zh-CN"/>
                    </w:rPr>
                    <w:t>根据《产业结构调整指导目录（2019年本）》，本项目不属于其中“鼓励类”、“限制类”和“淘汰类”的产业，为允许类项目。</w:t>
                  </w:r>
                </w:p>
              </w:tc>
              <w:tc>
                <w:tcPr>
                  <w:tcW w:w="477" w:type="pct"/>
                  <w:noWrap w:val="0"/>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noWrap w:val="0"/>
                  <w:vAlign w:val="center"/>
                </w:tcPr>
                <w:p>
                  <w:pPr>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2</w:t>
                  </w:r>
                </w:p>
              </w:tc>
              <w:tc>
                <w:tcPr>
                  <w:tcW w:w="2212" w:type="pct"/>
                  <w:noWrap w:val="0"/>
                  <w:vAlign w:val="center"/>
                </w:tcPr>
                <w:p>
                  <w:pPr>
                    <w:adjustRightInd w:val="0"/>
                    <w:snapToGrid w:val="0"/>
                    <w:jc w:val="center"/>
                    <w:rPr>
                      <w:rFonts w:hint="eastAsia"/>
                      <w:color w:val="auto"/>
                      <w:kern w:val="0"/>
                      <w:szCs w:val="21"/>
                      <w:highlight w:val="none"/>
                    </w:rPr>
                  </w:pPr>
                  <w:r>
                    <w:rPr>
                      <w:rFonts w:hint="default" w:ascii="Times New Roman" w:hAnsi="Times New Roman" w:eastAsia="宋体" w:cs="宋体"/>
                      <w:color w:val="auto"/>
                      <w:szCs w:val="24"/>
                      <w:highlight w:val="none"/>
                      <w:lang w:val="en-US" w:eastAsia="zh-CN" w:bidi="ar"/>
                    </w:rPr>
                    <w:t>禁止引入不符合国家及省、市重金属污染防治规划要求的项目</w:t>
                  </w:r>
                  <w:r>
                    <w:rPr>
                      <w:rFonts w:hint="eastAsia" w:ascii="Times New Roman" w:hAnsi="Times New Roman" w:eastAsia="宋体" w:cs="宋体"/>
                      <w:color w:val="auto"/>
                      <w:szCs w:val="24"/>
                      <w:highlight w:val="none"/>
                      <w:lang w:val="en-US" w:eastAsia="zh-CN" w:bidi="ar"/>
                    </w:rPr>
                    <w:t>。</w:t>
                  </w:r>
                </w:p>
              </w:tc>
              <w:tc>
                <w:tcPr>
                  <w:tcW w:w="1837"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本项目不涉及重金属。</w:t>
                  </w:r>
                </w:p>
              </w:tc>
              <w:tc>
                <w:tcPr>
                  <w:tcW w:w="477" w:type="pct"/>
                  <w:noWrap w:val="0"/>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noWrap w:val="0"/>
                  <w:vAlign w:val="center"/>
                </w:tcPr>
                <w:p>
                  <w:pPr>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3</w:t>
                  </w:r>
                </w:p>
              </w:tc>
              <w:tc>
                <w:tcPr>
                  <w:tcW w:w="2212" w:type="pct"/>
                  <w:noWrap w:val="0"/>
                  <w:vAlign w:val="center"/>
                </w:tcPr>
                <w:p>
                  <w:pPr>
                    <w:adjustRightInd w:val="0"/>
                    <w:snapToGrid w:val="0"/>
                    <w:jc w:val="center"/>
                    <w:rPr>
                      <w:rFonts w:hint="eastAsia"/>
                      <w:color w:val="auto"/>
                      <w:kern w:val="0"/>
                      <w:szCs w:val="21"/>
                      <w:highlight w:val="none"/>
                    </w:rPr>
                  </w:pPr>
                  <w:r>
                    <w:rPr>
                      <w:rFonts w:hint="default" w:ascii="Times New Roman" w:hAnsi="Times New Roman" w:eastAsia="宋体" w:cs="宋体"/>
                      <w:color w:val="auto"/>
                      <w:szCs w:val="24"/>
                      <w:highlight w:val="none"/>
                      <w:lang w:val="en-US" w:eastAsia="zh-CN" w:bidi="ar"/>
                    </w:rPr>
                    <w:t>清洁生产水平不能达到行业清洁生产标准二级标准要求或低于全国同类企业平均清洁生产水平的项目。</w:t>
                  </w:r>
                </w:p>
              </w:tc>
              <w:tc>
                <w:tcPr>
                  <w:tcW w:w="1837"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本项目符合清洁生产水平要求。</w:t>
                  </w:r>
                </w:p>
              </w:tc>
              <w:tc>
                <w:tcPr>
                  <w:tcW w:w="477" w:type="pct"/>
                  <w:noWrap w:val="0"/>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noWrap w:val="0"/>
                  <w:vAlign w:val="center"/>
                </w:tcPr>
                <w:p>
                  <w:pPr>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4</w:t>
                  </w:r>
                </w:p>
              </w:tc>
              <w:tc>
                <w:tcPr>
                  <w:tcW w:w="2212" w:type="pct"/>
                  <w:noWrap w:val="0"/>
                  <w:vAlign w:val="center"/>
                </w:tcPr>
                <w:p>
                  <w:pPr>
                    <w:adjustRightInd w:val="0"/>
                    <w:snapToGrid w:val="0"/>
                    <w:jc w:val="center"/>
                    <w:rPr>
                      <w:rFonts w:hint="eastAsia"/>
                      <w:color w:val="auto"/>
                      <w:kern w:val="0"/>
                      <w:szCs w:val="21"/>
                      <w:highlight w:val="none"/>
                    </w:rPr>
                  </w:pPr>
                  <w:r>
                    <w:rPr>
                      <w:rFonts w:hint="default" w:ascii="Times New Roman" w:hAnsi="Times New Roman" w:eastAsia="宋体" w:cs="宋体"/>
                      <w:color w:val="auto"/>
                      <w:szCs w:val="24"/>
                      <w:highlight w:val="none"/>
                      <w:lang w:val="en-US" w:eastAsia="zh-CN" w:bidi="ar"/>
                    </w:rPr>
                    <w:t>不符合园区能源结构及国家</w:t>
                  </w:r>
                  <w:r>
                    <w:rPr>
                      <w:rFonts w:hint="eastAsia" w:ascii="Times New Roman" w:hAnsi="Times New Roman" w:eastAsia="宋体" w:cs="宋体"/>
                      <w:color w:val="auto"/>
                      <w:szCs w:val="24"/>
                      <w:highlight w:val="none"/>
                      <w:lang w:val="en-US" w:eastAsia="zh-CN" w:bidi="ar"/>
                    </w:rPr>
                    <w:t>（</w:t>
                  </w:r>
                  <w:r>
                    <w:rPr>
                      <w:rFonts w:hint="default" w:ascii="Times New Roman" w:hAnsi="Times New Roman" w:eastAsia="宋体" w:cs="宋体"/>
                      <w:color w:val="auto"/>
                      <w:szCs w:val="24"/>
                      <w:highlight w:val="none"/>
                      <w:lang w:val="en-US" w:eastAsia="zh-CN" w:bidi="ar"/>
                    </w:rPr>
                    <w:t>或地方</w:t>
                  </w:r>
                  <w:r>
                    <w:rPr>
                      <w:rFonts w:hint="eastAsia" w:ascii="Times New Roman" w:hAnsi="Times New Roman" w:eastAsia="宋体" w:cs="宋体"/>
                      <w:color w:val="auto"/>
                      <w:szCs w:val="24"/>
                      <w:highlight w:val="none"/>
                      <w:lang w:val="en-US" w:eastAsia="zh-CN" w:bidi="ar"/>
                    </w:rPr>
                    <w:t>）</w:t>
                  </w:r>
                  <w:r>
                    <w:rPr>
                      <w:rFonts w:hint="default" w:ascii="Times New Roman" w:hAnsi="Times New Roman" w:eastAsia="宋体" w:cs="宋体"/>
                      <w:color w:val="auto"/>
                      <w:szCs w:val="24"/>
                      <w:highlight w:val="none"/>
                      <w:lang w:val="en-US" w:eastAsia="zh-CN" w:bidi="ar"/>
                    </w:rPr>
                    <w:t>大气、水、土壤等污染防治要求的项目。</w:t>
                  </w:r>
                </w:p>
              </w:tc>
              <w:tc>
                <w:tcPr>
                  <w:tcW w:w="1837"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本项目使用清洁能源，废气、废水处理后达标排放，对土壤有防治措施。</w:t>
                  </w:r>
                </w:p>
              </w:tc>
              <w:tc>
                <w:tcPr>
                  <w:tcW w:w="477" w:type="pct"/>
                  <w:noWrap w:val="0"/>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noWrap w:val="0"/>
                  <w:vAlign w:val="center"/>
                </w:tcPr>
                <w:p>
                  <w:pPr>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5</w:t>
                  </w:r>
                </w:p>
              </w:tc>
              <w:tc>
                <w:tcPr>
                  <w:tcW w:w="2212" w:type="pct"/>
                  <w:noWrap w:val="0"/>
                  <w:vAlign w:val="center"/>
                </w:tcPr>
                <w:p>
                  <w:pPr>
                    <w:adjustRightInd w:val="0"/>
                    <w:snapToGrid w:val="0"/>
                    <w:jc w:val="center"/>
                    <w:rPr>
                      <w:rFonts w:hint="eastAsia"/>
                      <w:color w:val="auto"/>
                      <w:kern w:val="0"/>
                      <w:szCs w:val="21"/>
                      <w:highlight w:val="none"/>
                    </w:rPr>
                  </w:pPr>
                  <w:r>
                    <w:rPr>
                      <w:rFonts w:hint="default" w:ascii="Times New Roman" w:hAnsi="Times New Roman" w:eastAsia="宋体" w:cs="宋体"/>
                      <w:color w:val="auto"/>
                      <w:szCs w:val="24"/>
                      <w:highlight w:val="none"/>
                      <w:lang w:val="en-US" w:eastAsia="zh-CN" w:bidi="ar"/>
                    </w:rPr>
                    <w:t>禁止引入印染染整、皮革鞣制、制浆造纸、酿造、化学纤维制造、石化、基础化工</w:t>
                  </w:r>
                  <w:r>
                    <w:rPr>
                      <w:rFonts w:hint="eastAsia" w:ascii="Times New Roman" w:hAnsi="Times New Roman" w:eastAsia="宋体" w:cs="宋体"/>
                      <w:color w:val="auto"/>
                      <w:szCs w:val="24"/>
                      <w:highlight w:val="none"/>
                      <w:lang w:val="en-US" w:eastAsia="zh-CN" w:bidi="ar"/>
                    </w:rPr>
                    <w:t>（</w:t>
                  </w:r>
                  <w:r>
                    <w:rPr>
                      <w:rFonts w:hint="default" w:ascii="Times New Roman" w:hAnsi="Times New Roman" w:eastAsia="宋体" w:cs="宋体"/>
                      <w:color w:val="auto"/>
                      <w:szCs w:val="24"/>
                      <w:highlight w:val="none"/>
                      <w:lang w:val="en-US" w:eastAsia="zh-CN" w:bidi="ar"/>
                    </w:rPr>
                    <w:t>基础化学原料、肥料、农药等</w:t>
                  </w:r>
                  <w:r>
                    <w:rPr>
                      <w:rFonts w:hint="eastAsia" w:ascii="Times New Roman" w:hAnsi="Times New Roman" w:eastAsia="宋体" w:cs="宋体"/>
                      <w:color w:val="auto"/>
                      <w:szCs w:val="24"/>
                      <w:highlight w:val="none"/>
                      <w:lang w:val="en-US" w:eastAsia="zh-CN" w:bidi="ar"/>
                    </w:rPr>
                    <w:t>）</w:t>
                  </w:r>
                  <w:r>
                    <w:rPr>
                      <w:rFonts w:hint="default" w:ascii="Times New Roman" w:hAnsi="Times New Roman" w:eastAsia="宋体" w:cs="宋体"/>
                      <w:color w:val="auto"/>
                      <w:szCs w:val="24"/>
                      <w:highlight w:val="none"/>
                      <w:lang w:val="en-US" w:eastAsia="zh-CN" w:bidi="ar"/>
                    </w:rPr>
                    <w:t>、石墨、燃煤火电、化学药品原料药制造、化学药品制剂制造、兽用药品制造以及与主导产业存在明显制约的项目。</w:t>
                  </w:r>
                </w:p>
              </w:tc>
              <w:tc>
                <w:tcPr>
                  <w:tcW w:w="1837"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本项目不涉及。</w:t>
                  </w:r>
                </w:p>
              </w:tc>
              <w:tc>
                <w:tcPr>
                  <w:tcW w:w="477" w:type="pct"/>
                  <w:noWrap w:val="0"/>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noWrap w:val="0"/>
                  <w:vAlign w:val="center"/>
                </w:tcPr>
                <w:p>
                  <w:pPr>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6</w:t>
                  </w:r>
                </w:p>
              </w:tc>
              <w:tc>
                <w:tcPr>
                  <w:tcW w:w="2212" w:type="pct"/>
                  <w:noWrap w:val="0"/>
                  <w:vAlign w:val="center"/>
                </w:tcPr>
                <w:p>
                  <w:pPr>
                    <w:adjustRightInd w:val="0"/>
                    <w:snapToGrid w:val="0"/>
                    <w:jc w:val="center"/>
                    <w:rPr>
                      <w:rFonts w:hint="eastAsia"/>
                      <w:color w:val="auto"/>
                      <w:kern w:val="0"/>
                      <w:szCs w:val="21"/>
                      <w:highlight w:val="none"/>
                    </w:rPr>
                  </w:pPr>
                  <w:r>
                    <w:rPr>
                      <w:rFonts w:hint="default" w:ascii="Times New Roman" w:hAnsi="Times New Roman" w:eastAsia="宋体" w:cs="宋体"/>
                      <w:color w:val="auto"/>
                      <w:szCs w:val="24"/>
                      <w:highlight w:val="none"/>
                      <w:lang w:val="en-US" w:eastAsia="zh-CN" w:bidi="ar"/>
                    </w:rPr>
                    <w:t>禁止引入有毒有害、危险品的仓储、物流配送项目。</w:t>
                  </w:r>
                </w:p>
              </w:tc>
              <w:tc>
                <w:tcPr>
                  <w:tcW w:w="1837" w:type="pct"/>
                  <w:noWrap w:val="0"/>
                  <w:vAlign w:val="center"/>
                </w:tcPr>
                <w:p>
                  <w:pPr>
                    <w:adjustRightInd w:val="0"/>
                    <w:snapToGrid w:val="0"/>
                    <w:jc w:val="center"/>
                    <w:rPr>
                      <w:rFonts w:hint="eastAsia"/>
                      <w:color w:val="auto"/>
                      <w:kern w:val="0"/>
                      <w:szCs w:val="21"/>
                      <w:highlight w:val="none"/>
                    </w:rPr>
                  </w:pPr>
                  <w:r>
                    <w:rPr>
                      <w:rFonts w:hint="eastAsia"/>
                      <w:color w:val="auto"/>
                      <w:kern w:val="0"/>
                      <w:szCs w:val="21"/>
                      <w:highlight w:val="none"/>
                      <w:lang w:val="en-US" w:eastAsia="zh-CN"/>
                    </w:rPr>
                    <w:t>本项目不涉及。</w:t>
                  </w:r>
                </w:p>
              </w:tc>
              <w:tc>
                <w:tcPr>
                  <w:tcW w:w="477" w:type="pct"/>
                  <w:noWrap w:val="0"/>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noWrap w:val="0"/>
                  <w:vAlign w:val="center"/>
                </w:tcPr>
                <w:p>
                  <w:pPr>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7</w:t>
                  </w:r>
                </w:p>
              </w:tc>
              <w:tc>
                <w:tcPr>
                  <w:tcW w:w="2212" w:type="pct"/>
                  <w:noWrap w:val="0"/>
                  <w:vAlign w:val="center"/>
                </w:tcPr>
                <w:p>
                  <w:pPr>
                    <w:adjustRightInd w:val="0"/>
                    <w:snapToGrid w:val="0"/>
                    <w:jc w:val="center"/>
                    <w:rPr>
                      <w:rFonts w:hint="eastAsia"/>
                      <w:color w:val="auto"/>
                      <w:kern w:val="0"/>
                      <w:szCs w:val="21"/>
                      <w:highlight w:val="none"/>
                    </w:rPr>
                  </w:pPr>
                  <w:r>
                    <w:rPr>
                      <w:rFonts w:hint="default" w:ascii="Times New Roman" w:hAnsi="Times New Roman" w:eastAsia="宋体" w:cs="宋体"/>
                      <w:color w:val="auto"/>
                      <w:szCs w:val="24"/>
                      <w:highlight w:val="none"/>
                      <w:lang w:val="en-US" w:eastAsia="zh-CN" w:bidi="ar"/>
                    </w:rPr>
                    <w:t>禁止引入涉及被列入《环境保护综合名录》中高污染产品及生产工艺的项目。</w:t>
                  </w:r>
                </w:p>
              </w:tc>
              <w:tc>
                <w:tcPr>
                  <w:tcW w:w="1837" w:type="pct"/>
                  <w:noWrap w:val="0"/>
                  <w:vAlign w:val="center"/>
                </w:tcPr>
                <w:p>
                  <w:pPr>
                    <w:adjustRightInd w:val="0"/>
                    <w:snapToGrid w:val="0"/>
                    <w:jc w:val="center"/>
                    <w:rPr>
                      <w:rFonts w:hint="eastAsia"/>
                      <w:color w:val="auto"/>
                      <w:kern w:val="0"/>
                      <w:szCs w:val="21"/>
                      <w:highlight w:val="none"/>
                    </w:rPr>
                  </w:pPr>
                  <w:r>
                    <w:rPr>
                      <w:rFonts w:hint="eastAsia"/>
                      <w:color w:val="auto"/>
                      <w:kern w:val="0"/>
                      <w:szCs w:val="21"/>
                      <w:highlight w:val="none"/>
                      <w:lang w:val="en-US" w:eastAsia="zh-CN"/>
                    </w:rPr>
                    <w:t>本项目不涉及。</w:t>
                  </w:r>
                </w:p>
              </w:tc>
              <w:tc>
                <w:tcPr>
                  <w:tcW w:w="477" w:type="pct"/>
                  <w:noWrap w:val="0"/>
                  <w:vAlign w:val="center"/>
                </w:tcPr>
                <w:p>
                  <w:pPr>
                    <w:adjustRightInd w:val="0"/>
                    <w:snapToGrid w:val="0"/>
                    <w:jc w:val="center"/>
                    <w:rPr>
                      <w:rFonts w:hint="eastAsia"/>
                      <w:color w:val="auto"/>
                      <w:kern w:val="0"/>
                      <w:szCs w:val="21"/>
                      <w:highlight w:val="none"/>
                    </w:rPr>
                  </w:pPr>
                  <w:r>
                    <w:rPr>
                      <w:rFonts w:hint="eastAsia"/>
                      <w:color w:val="auto"/>
                      <w:kern w:val="0"/>
                      <w:szCs w:val="21"/>
                      <w:highlight w:val="none"/>
                    </w:rPr>
                    <w:t>符合</w:t>
                  </w:r>
                </w:p>
              </w:tc>
            </w:tr>
          </w:tbl>
          <w:p>
            <w:pPr>
              <w:pStyle w:val="51"/>
              <w:snapToGrid w:val="0"/>
              <w:spacing w:line="360" w:lineRule="auto"/>
              <w:ind w:left="0" w:right="0" w:firstLine="480" w:firstLineChars="200"/>
              <w:jc w:val="both"/>
              <w:rPr>
                <w:rFonts w:hint="default" w:ascii="Times New Roman" w:hAnsi="Times New Roman" w:eastAsia="宋体" w:cs="Times New Roman"/>
                <w:b/>
                <w:bCs/>
                <w:color w:val="auto"/>
                <w:kern w:val="0"/>
                <w:sz w:val="24"/>
                <w:highlight w:val="none"/>
                <w:lang w:val="en-US" w:eastAsia="zh-CN"/>
              </w:rPr>
            </w:pPr>
            <w:r>
              <w:rPr>
                <w:rFonts w:hint="eastAsia" w:ascii="Times New Roman" w:hAnsi="Times New Roman" w:eastAsia="宋体" w:cs="宋体"/>
                <w:color w:val="auto"/>
                <w:szCs w:val="24"/>
                <w:highlight w:val="none"/>
                <w:lang w:val="en-US" w:eastAsia="zh-CN" w:bidi="ar"/>
              </w:rPr>
              <w:t>综上，本项目为豆制品制造项目，属于园区主导产业，不属于规划环评中生态环境准入负面清单中禁止的行业，</w:t>
            </w:r>
            <w:r>
              <w:rPr>
                <w:color w:val="auto"/>
                <w:sz w:val="24"/>
                <w:highlight w:val="none"/>
              </w:rPr>
              <w:t>因此，</w:t>
            </w:r>
            <w:r>
              <w:rPr>
                <w:rFonts w:hint="eastAsia"/>
                <w:color w:val="auto"/>
                <w:sz w:val="24"/>
                <w:highlight w:val="none"/>
                <w:lang w:val="en-US" w:eastAsia="zh-CN"/>
              </w:rPr>
              <w:t>本</w:t>
            </w:r>
            <w:r>
              <w:rPr>
                <w:color w:val="auto"/>
                <w:sz w:val="24"/>
                <w:highlight w:val="none"/>
              </w:rPr>
              <w:t>项目符合</w:t>
            </w:r>
            <w:r>
              <w:rPr>
                <w:rFonts w:hint="eastAsia" w:ascii="Times New Roman" w:hAnsi="Times New Roman" w:eastAsia="宋体" w:cs="宋体"/>
                <w:color w:val="auto"/>
                <w:szCs w:val="24"/>
                <w:highlight w:val="none"/>
                <w:lang w:val="en-US" w:eastAsia="zh-CN" w:bidi="ar"/>
              </w:rPr>
              <w:t>巴中市恩阳食品工业园（北部片区）</w:t>
            </w:r>
            <w:r>
              <w:rPr>
                <w:color w:val="auto"/>
                <w:sz w:val="24"/>
                <w:highlight w:val="none"/>
              </w:rPr>
              <w:t>生态环境准入要求。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21" w:type="dxa"/>
            <w:noWrap w:val="0"/>
            <w:vAlign w:val="center"/>
          </w:tcPr>
          <w:p>
            <w:pPr>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br w:type="page"/>
            </w:r>
            <w:r>
              <w:rPr>
                <w:rFonts w:hint="eastAsia" w:ascii="宋体" w:hAnsi="宋体" w:cs="宋体"/>
                <w:color w:val="auto"/>
                <w:kern w:val="0"/>
                <w:szCs w:val="21"/>
                <w:highlight w:val="none"/>
              </w:rPr>
              <w:t>其他符合性分析</w:t>
            </w:r>
          </w:p>
        </w:tc>
        <w:tc>
          <w:tcPr>
            <w:tcW w:w="7449" w:type="dxa"/>
            <w:gridSpan w:val="3"/>
            <w:noWrap w:val="0"/>
            <w:vAlign w:val="center"/>
          </w:tcPr>
          <w:p>
            <w:pPr>
              <w:autoSpaceDE w:val="0"/>
              <w:autoSpaceDN w:val="0"/>
              <w:adjustRightInd w:val="0"/>
              <w:snapToGrid w:val="0"/>
              <w:spacing w:line="360" w:lineRule="auto"/>
              <w:rPr>
                <w:b/>
                <w:bCs/>
                <w:color w:val="auto"/>
                <w:kern w:val="0"/>
                <w:sz w:val="24"/>
                <w:highlight w:val="none"/>
              </w:rPr>
            </w:pPr>
            <w:r>
              <w:rPr>
                <w:b/>
                <w:bCs/>
                <w:color w:val="auto"/>
                <w:kern w:val="0"/>
                <w:sz w:val="24"/>
                <w:highlight w:val="none"/>
              </w:rPr>
              <w:t>1、产业政策符合性分析</w:t>
            </w:r>
          </w:p>
          <w:p>
            <w:pPr>
              <w:adjustRightInd w:val="0"/>
              <w:snapToGrid w:val="0"/>
              <w:spacing w:line="360" w:lineRule="auto"/>
              <w:ind w:firstLine="480"/>
              <w:rPr>
                <w:color w:val="auto"/>
                <w:sz w:val="24"/>
                <w:highlight w:val="none"/>
              </w:rPr>
            </w:pPr>
            <w:r>
              <w:rPr>
                <w:rFonts w:hint="eastAsia"/>
                <w:color w:val="auto"/>
                <w:sz w:val="24"/>
                <w:highlight w:val="none"/>
              </w:rPr>
              <w:t>根据《国民经济行业分类》（GB/T4754-2017）及</w:t>
            </w:r>
            <w:r>
              <w:rPr>
                <w:rFonts w:hint="eastAsia"/>
                <w:color w:val="auto"/>
                <w:sz w:val="24"/>
                <w:highlight w:val="none"/>
                <w:lang w:val="en-US" w:eastAsia="zh-CN"/>
              </w:rPr>
              <w:t>第</w:t>
            </w:r>
            <w:r>
              <w:rPr>
                <w:rFonts w:hint="eastAsia"/>
                <w:color w:val="auto"/>
                <w:sz w:val="24"/>
                <w:highlight w:val="none"/>
              </w:rPr>
              <w:t>1号修改单，</w:t>
            </w:r>
            <w:r>
              <w:rPr>
                <w:rFonts w:hint="eastAsia"/>
                <w:color w:val="auto"/>
                <w:sz w:val="24"/>
                <w:highlight w:val="none"/>
                <w:lang w:val="en-US" w:eastAsia="zh-CN"/>
              </w:rPr>
              <w:t>本项目属于C1392豆制品制造，</w:t>
            </w:r>
            <w:r>
              <w:rPr>
                <w:color w:val="auto"/>
                <w:sz w:val="24"/>
                <w:highlight w:val="none"/>
              </w:rPr>
              <w:t>根据《产业结构调整指导目录（20</w:t>
            </w:r>
            <w:r>
              <w:rPr>
                <w:rFonts w:hint="eastAsia"/>
                <w:color w:val="auto"/>
                <w:sz w:val="24"/>
                <w:highlight w:val="none"/>
                <w:lang w:val="en-US" w:eastAsia="zh-CN"/>
              </w:rPr>
              <w:t>21修订</w:t>
            </w:r>
            <w:r>
              <w:rPr>
                <w:color w:val="auto"/>
                <w:sz w:val="24"/>
                <w:highlight w:val="none"/>
              </w:rPr>
              <w:t>本）》，本项目不属于其中的鼓励类、限制类及淘汰类项目；根据国务院《促进产业结构调整暂行规定》（国发</w:t>
            </w:r>
            <w:r>
              <w:rPr>
                <w:rFonts w:hint="eastAsia" w:ascii="宋体" w:hAnsi="宋体" w:eastAsia="宋体" w:cs="宋体"/>
                <w:color w:val="auto"/>
                <w:sz w:val="24"/>
                <w:highlight w:val="none"/>
              </w:rPr>
              <w:t>﹝</w:t>
            </w:r>
            <w:r>
              <w:rPr>
                <w:color w:val="auto"/>
                <w:sz w:val="24"/>
                <w:highlight w:val="none"/>
              </w:rPr>
              <w:t>2005</w:t>
            </w:r>
            <w:r>
              <w:rPr>
                <w:rFonts w:hint="eastAsia" w:ascii="宋体" w:hAnsi="宋体" w:eastAsia="宋体" w:cs="宋体"/>
                <w:color w:val="auto"/>
                <w:sz w:val="24"/>
                <w:highlight w:val="none"/>
              </w:rPr>
              <w:t>﹞</w:t>
            </w:r>
            <w:r>
              <w:rPr>
                <w:color w:val="auto"/>
                <w:sz w:val="24"/>
                <w:highlight w:val="none"/>
              </w:rPr>
              <w:t>40号）第十三条：</w:t>
            </w:r>
            <w:r>
              <w:rPr>
                <w:rFonts w:hint="eastAsia" w:ascii="宋体" w:hAnsi="宋体" w:cs="宋体"/>
                <w:color w:val="auto"/>
                <w:sz w:val="24"/>
                <w:highlight w:val="none"/>
              </w:rPr>
              <w:t>“</w:t>
            </w:r>
            <w:r>
              <w:rPr>
                <w:color w:val="auto"/>
                <w:sz w:val="24"/>
                <w:highlight w:val="none"/>
              </w:rPr>
              <w:t>《产业结构调整指导目录》由鼓励、限制和淘汰三类目录组成，不属于鼓励类、限制类和淘汰类，且符合国家相关法律、法规和政策规定的，为允许类</w:t>
            </w:r>
            <w:r>
              <w:rPr>
                <w:rFonts w:hint="eastAsia" w:ascii="宋体" w:hAnsi="宋体" w:cs="宋体"/>
                <w:color w:val="auto"/>
                <w:sz w:val="24"/>
                <w:highlight w:val="none"/>
              </w:rPr>
              <w:t>”</w:t>
            </w:r>
            <w:r>
              <w:rPr>
                <w:color w:val="auto"/>
                <w:sz w:val="24"/>
                <w:highlight w:val="none"/>
              </w:rPr>
              <w:t>。因此本项目</w:t>
            </w:r>
            <w:r>
              <w:rPr>
                <w:rFonts w:hint="eastAsia" w:ascii="宋体" w:hAnsi="宋体" w:cs="宋体"/>
                <w:color w:val="auto"/>
                <w:sz w:val="24"/>
                <w:highlight w:val="none"/>
              </w:rPr>
              <w:t>属于“允许类”。</w:t>
            </w:r>
          </w:p>
          <w:p>
            <w:pPr>
              <w:pStyle w:val="51"/>
              <w:snapToGrid w:val="0"/>
              <w:spacing w:line="360" w:lineRule="auto"/>
              <w:ind w:left="0" w:right="0" w:firstLine="480" w:firstLineChars="200"/>
              <w:jc w:val="both"/>
              <w:rPr>
                <w:rFonts w:hint="eastAsia"/>
                <w:color w:val="auto"/>
                <w:highlight w:val="none"/>
              </w:rPr>
            </w:pPr>
            <w:r>
              <w:rPr>
                <w:color w:val="auto"/>
                <w:szCs w:val="21"/>
                <w:highlight w:val="none"/>
              </w:rPr>
              <w:t>同时，本项目已在全国投资项目在线审批监管平台（四川）进行备案，备案号：</w:t>
            </w:r>
            <w:r>
              <w:rPr>
                <w:rFonts w:hint="eastAsia"/>
                <w:color w:val="auto"/>
                <w:szCs w:val="21"/>
                <w:highlight w:val="none"/>
              </w:rPr>
              <w:t>川投资备【2109-511903-07-02-384576】JXQB-0173号。</w:t>
            </w:r>
          </w:p>
          <w:p>
            <w:pPr>
              <w:adjustRightInd w:val="0"/>
              <w:snapToGrid w:val="0"/>
              <w:spacing w:line="360" w:lineRule="auto"/>
              <w:ind w:firstLine="480"/>
              <w:jc w:val="left"/>
              <w:rPr>
                <w:b/>
                <w:bCs/>
                <w:color w:val="auto"/>
                <w:sz w:val="24"/>
                <w:highlight w:val="none"/>
              </w:rPr>
            </w:pPr>
            <w:r>
              <w:rPr>
                <w:b/>
                <w:bCs/>
                <w:color w:val="auto"/>
                <w:sz w:val="24"/>
                <w:highlight w:val="none"/>
              </w:rPr>
              <w:t>因此，本项目的建设符合国家现行产业政策。</w:t>
            </w:r>
          </w:p>
          <w:p>
            <w:pPr>
              <w:adjustRightInd w:val="0"/>
              <w:snapToGrid w:val="0"/>
              <w:spacing w:line="360" w:lineRule="auto"/>
              <w:jc w:val="left"/>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2、用地符合性分析</w:t>
            </w:r>
          </w:p>
          <w:p>
            <w:pPr>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本项目位于四川省巴中市恩阳食品工业园，四川省胡婆婆食品有限责任公司已与巴中市自然资源和规划局恩阳分局签订</w:t>
            </w:r>
            <w:r>
              <w:rPr>
                <w:color w:val="auto"/>
                <w:sz w:val="24"/>
                <w:highlight w:val="none"/>
              </w:rPr>
              <w:t>《国有建设用地使用权出让合同》（合同编号：</w:t>
            </w:r>
            <w:r>
              <w:rPr>
                <w:rFonts w:hint="eastAsia"/>
                <w:color w:val="auto"/>
                <w:sz w:val="24"/>
                <w:highlight w:val="none"/>
                <w:lang w:val="en-US" w:eastAsia="zh-CN"/>
              </w:rPr>
              <w:t>511903C2022006</w:t>
            </w:r>
            <w:r>
              <w:rPr>
                <w:color w:val="auto"/>
                <w:sz w:val="24"/>
                <w:highlight w:val="none"/>
              </w:rPr>
              <w:t>），</w:t>
            </w:r>
            <w:r>
              <w:rPr>
                <w:rFonts w:hint="eastAsia"/>
                <w:color w:val="auto"/>
                <w:sz w:val="24"/>
                <w:highlight w:val="none"/>
                <w:lang w:val="en-US" w:eastAsia="zh-CN"/>
              </w:rPr>
              <w:t>宗地编号为G-2022-6，出让宗地面积为32785.11m</w:t>
            </w:r>
            <w:r>
              <w:rPr>
                <w:rFonts w:hint="eastAsia"/>
                <w:color w:val="auto"/>
                <w:sz w:val="24"/>
                <w:highlight w:val="none"/>
                <w:vertAlign w:val="superscript"/>
                <w:lang w:val="en-US" w:eastAsia="zh-CN"/>
              </w:rPr>
              <w:t>2</w:t>
            </w:r>
            <w:r>
              <w:rPr>
                <w:rFonts w:hint="eastAsia"/>
                <w:color w:val="auto"/>
                <w:sz w:val="24"/>
                <w:highlight w:val="none"/>
                <w:vertAlign w:val="baseline"/>
                <w:lang w:val="en-US" w:eastAsia="zh-CN"/>
              </w:rPr>
              <w:t>。同时，已取得</w:t>
            </w:r>
            <w:r>
              <w:rPr>
                <w:color w:val="auto"/>
                <w:sz w:val="24"/>
                <w:highlight w:val="none"/>
              </w:rPr>
              <w:t>巴中市自然资源和规划局</w:t>
            </w:r>
            <w:r>
              <w:rPr>
                <w:rFonts w:hint="eastAsia"/>
                <w:color w:val="auto"/>
                <w:sz w:val="24"/>
                <w:highlight w:val="none"/>
                <w:lang w:val="en-US" w:eastAsia="zh-CN"/>
              </w:rPr>
              <w:t>出具的《建设用地规划许可证》（地字第511903202300001号）</w:t>
            </w:r>
            <w:r>
              <w:rPr>
                <w:rFonts w:hint="eastAsia"/>
                <w:color w:val="auto"/>
                <w:sz w:val="24"/>
                <w:highlight w:val="none"/>
                <w:vertAlign w:val="baseline"/>
                <w:lang w:val="en-US" w:eastAsia="zh-CN"/>
              </w:rPr>
              <w:t>，土地用途为工业用地。</w:t>
            </w:r>
          </w:p>
          <w:p>
            <w:pPr>
              <w:spacing w:line="360" w:lineRule="auto"/>
              <w:ind w:firstLine="480"/>
              <w:rPr>
                <w:color w:val="auto"/>
                <w:sz w:val="24"/>
                <w:highlight w:val="none"/>
              </w:rPr>
            </w:pPr>
            <w:r>
              <w:rPr>
                <w:color w:val="auto"/>
                <w:sz w:val="24"/>
                <w:highlight w:val="none"/>
              </w:rPr>
              <w:t>因此，本项目符合当地土地利用规划。</w:t>
            </w:r>
          </w:p>
          <w:p>
            <w:pPr>
              <w:adjustRightInd w:val="0"/>
              <w:snapToGrid w:val="0"/>
              <w:spacing w:line="360" w:lineRule="auto"/>
              <w:jc w:val="both"/>
              <w:rPr>
                <w:rFonts w:hint="default" w:ascii="Times New Roman" w:hAnsi="Times New Roman" w:eastAsia="宋体" w:cs="宋体"/>
                <w:b/>
                <w:bCs/>
                <w:color w:val="auto"/>
                <w:kern w:val="0"/>
                <w:sz w:val="24"/>
                <w:szCs w:val="24"/>
                <w:highlight w:val="none"/>
                <w:lang w:val="en-US" w:eastAsia="zh-CN" w:bidi="ar"/>
              </w:rPr>
            </w:pPr>
            <w:r>
              <w:rPr>
                <w:rFonts w:hint="eastAsia" w:ascii="Times New Roman" w:hAnsi="Times New Roman" w:eastAsia="宋体" w:cs="宋体"/>
                <w:b/>
                <w:bCs/>
                <w:color w:val="auto"/>
                <w:kern w:val="0"/>
                <w:sz w:val="24"/>
                <w:szCs w:val="24"/>
                <w:highlight w:val="none"/>
                <w:lang w:val="en-US" w:eastAsia="zh-CN" w:bidi="ar"/>
              </w:rPr>
              <w:t>3、“三线一单”符合性分析</w:t>
            </w:r>
          </w:p>
          <w:p>
            <w:pPr>
              <w:spacing w:line="360" w:lineRule="auto"/>
              <w:ind w:firstLine="480" w:firstLineChars="200"/>
              <w:rPr>
                <w:color w:val="auto"/>
                <w:sz w:val="24"/>
                <w:highlight w:val="none"/>
              </w:rPr>
            </w:pPr>
            <w:r>
              <w:rPr>
                <w:rFonts w:hint="eastAsia"/>
                <w:bCs/>
                <w:color w:val="auto"/>
                <w:sz w:val="24"/>
                <w:highlight w:val="none"/>
              </w:rPr>
              <w:t>根据四川省生态环境厅办公室《关于印发&lt;产业园区规划环评“三线一单”符合性分析技术要点（试行）&gt;和&lt;项目环评“三线一单”符合性分析技术要点（试行）&gt;的通知》（川环办函</w:t>
            </w:r>
            <w:r>
              <w:rPr>
                <w:rFonts w:hint="eastAsia" w:ascii="宋体" w:hAnsi="宋体" w:eastAsia="宋体" w:cs="宋体"/>
                <w:bCs/>
                <w:color w:val="auto"/>
                <w:sz w:val="24"/>
                <w:highlight w:val="none"/>
              </w:rPr>
              <w:t>﹝</w:t>
            </w:r>
            <w:r>
              <w:rPr>
                <w:rFonts w:hint="eastAsia"/>
                <w:bCs/>
                <w:color w:val="auto"/>
                <w:sz w:val="24"/>
                <w:highlight w:val="none"/>
              </w:rPr>
              <w:t>2021</w:t>
            </w:r>
            <w:r>
              <w:rPr>
                <w:rFonts w:hint="eastAsia" w:ascii="宋体" w:hAnsi="宋体" w:eastAsia="宋体" w:cs="宋体"/>
                <w:bCs/>
                <w:color w:val="auto"/>
                <w:sz w:val="24"/>
                <w:highlight w:val="none"/>
              </w:rPr>
              <w:t>﹞</w:t>
            </w:r>
            <w:r>
              <w:rPr>
                <w:rFonts w:hint="eastAsia"/>
                <w:bCs/>
                <w:color w:val="auto"/>
                <w:sz w:val="24"/>
                <w:highlight w:val="none"/>
              </w:rPr>
              <w:t>469号），</w:t>
            </w:r>
            <w:r>
              <w:rPr>
                <w:rFonts w:hint="eastAsia"/>
                <w:color w:val="auto"/>
                <w:sz w:val="24"/>
                <w:highlight w:val="none"/>
              </w:rPr>
              <w:t>本项目进行空间符合性分析和管控要求符合性分析。</w:t>
            </w:r>
          </w:p>
          <w:p>
            <w:pPr>
              <w:spacing w:line="360" w:lineRule="auto"/>
              <w:ind w:firstLine="482" w:firstLineChars="200"/>
              <w:rPr>
                <w:b/>
                <w:color w:val="auto"/>
                <w:sz w:val="24"/>
                <w:highlight w:val="none"/>
              </w:rPr>
            </w:pPr>
            <w:r>
              <w:rPr>
                <w:rFonts w:hint="eastAsia"/>
                <w:b/>
                <w:color w:val="auto"/>
                <w:sz w:val="24"/>
                <w:highlight w:val="none"/>
              </w:rPr>
              <w:t>（</w:t>
            </w:r>
            <w:r>
              <w:rPr>
                <w:rFonts w:hint="eastAsia"/>
                <w:b/>
                <w:color w:val="auto"/>
                <w:sz w:val="24"/>
                <w:highlight w:val="none"/>
                <w:lang w:val="en-US" w:eastAsia="zh-CN"/>
              </w:rPr>
              <w:t>1</w:t>
            </w:r>
            <w:r>
              <w:rPr>
                <w:rFonts w:hint="eastAsia"/>
                <w:b/>
                <w:color w:val="auto"/>
                <w:sz w:val="24"/>
                <w:highlight w:val="none"/>
              </w:rPr>
              <w:t>）空间符合性分析</w:t>
            </w:r>
          </w:p>
          <w:p>
            <w:pPr>
              <w:spacing w:line="360" w:lineRule="auto"/>
              <w:ind w:firstLine="482" w:firstLineChars="200"/>
              <w:rPr>
                <w:bCs/>
                <w:color w:val="auto"/>
                <w:sz w:val="24"/>
                <w:highlight w:val="none"/>
              </w:rPr>
            </w:pPr>
            <w:r>
              <w:rPr>
                <w:rFonts w:hint="eastAsia"/>
                <w:b/>
                <w:color w:val="auto"/>
                <w:sz w:val="24"/>
                <w:highlight w:val="none"/>
              </w:rPr>
              <w:t>①</w:t>
            </w:r>
            <w:r>
              <w:rPr>
                <w:b/>
                <w:color w:val="auto"/>
                <w:sz w:val="24"/>
                <w:highlight w:val="none"/>
              </w:rPr>
              <w:t>生态保护红线符合性分析</w:t>
            </w:r>
          </w:p>
          <w:p>
            <w:pPr>
              <w:autoSpaceDE w:val="0"/>
              <w:autoSpaceDN w:val="0"/>
              <w:adjustRightInd w:val="0"/>
              <w:snapToGrid w:val="0"/>
              <w:jc w:val="center"/>
              <w:rPr>
                <w:rFonts w:ascii="宋体" w:hAnsi="宋体" w:cs="宋体"/>
                <w:color w:val="auto"/>
                <w:kern w:val="0"/>
                <w:szCs w:val="21"/>
                <w:highlight w:val="none"/>
              </w:rPr>
            </w:pPr>
            <w:r>
              <w:rPr>
                <w:rFonts w:ascii="宋体" w:hAnsi="宋体" w:cs="宋体"/>
                <w:color w:val="auto"/>
                <w:kern w:val="0"/>
                <w:szCs w:val="21"/>
                <w:highlight w:val="none"/>
              </w:rPr>
              <w:object>
                <v:shape id="_x0000_i1025" o:spt="75" type="#_x0000_t75" style="height:228.05pt;width:349.25pt;" o:ole="t" filled="f" o:preferrelative="t" stroked="f" coordsize="21600,21600">
                  <v:path/>
                  <v:fill on="f" focussize="0,0"/>
                  <v:stroke on="f"/>
                  <v:imagedata r:id="rId9" o:title=""/>
                  <o:lock v:ext="edit" aspectratio="f"/>
                  <w10:wrap type="none"/>
                  <w10:anchorlock/>
                </v:shape>
                <o:OLEObject Type="Embed" ProgID="Visio.Drawing.15" ShapeID="_x0000_i1025" DrawAspect="Content" ObjectID="_1468075725" r:id="rId8">
                  <o:LockedField>false</o:LockedField>
                </o:OLEObject>
              </w:object>
            </w:r>
          </w:p>
          <w:p>
            <w:pPr>
              <w:pStyle w:val="41"/>
              <w:bidi w:val="0"/>
              <w:rPr>
                <w:rFonts w:hint="eastAsia"/>
                <w:color w:val="auto"/>
                <w:highlight w:val="none"/>
              </w:rPr>
            </w:pPr>
            <w:r>
              <w:rPr>
                <w:rFonts w:hint="eastAsia"/>
                <w:color w:val="auto"/>
                <w:highlight w:val="none"/>
              </w:rPr>
              <w:t>图1-1  巴中市生态保护红线图</w:t>
            </w:r>
          </w:p>
          <w:p>
            <w:pPr>
              <w:spacing w:line="360" w:lineRule="auto"/>
              <w:ind w:firstLine="480"/>
              <w:rPr>
                <w:color w:val="auto"/>
                <w:sz w:val="24"/>
                <w:highlight w:val="none"/>
              </w:rPr>
            </w:pPr>
            <w:r>
              <w:rPr>
                <w:color w:val="auto"/>
                <w:kern w:val="0"/>
                <w:sz w:val="24"/>
                <w:highlight w:val="none"/>
                <w:lang w:bidi="ar"/>
              </w:rPr>
              <w:t>根据《长江经济带战略环境评价四川省巴中市</w:t>
            </w:r>
            <w:r>
              <w:rPr>
                <w:rFonts w:hint="eastAsia" w:ascii="宋体" w:hAnsi="宋体" w:cs="宋体"/>
                <w:color w:val="auto"/>
                <w:kern w:val="0"/>
                <w:sz w:val="24"/>
                <w:highlight w:val="none"/>
                <w:lang w:bidi="ar"/>
              </w:rPr>
              <w:t>“三线一单”生</w:t>
            </w:r>
            <w:r>
              <w:rPr>
                <w:color w:val="auto"/>
                <w:kern w:val="0"/>
                <w:sz w:val="24"/>
                <w:highlight w:val="none"/>
                <w:lang w:bidi="ar"/>
              </w:rPr>
              <w:t>态环境分区管控优化完善研究报告》</w:t>
            </w:r>
            <w:r>
              <w:rPr>
                <w:color w:val="auto"/>
                <w:sz w:val="24"/>
                <w:highlight w:val="none"/>
              </w:rPr>
              <w:t>，本项目位于</w:t>
            </w:r>
            <w:r>
              <w:rPr>
                <w:rFonts w:hint="eastAsia"/>
                <w:color w:val="auto"/>
                <w:sz w:val="24"/>
                <w:highlight w:val="none"/>
                <w:lang w:val="en-US" w:eastAsia="zh-CN"/>
              </w:rPr>
              <w:t>巴中市恩阳食品工业园</w:t>
            </w:r>
            <w:r>
              <w:rPr>
                <w:color w:val="auto"/>
                <w:sz w:val="24"/>
                <w:highlight w:val="none"/>
              </w:rPr>
              <w:t>，不涉及生态保护红线。</w:t>
            </w:r>
          </w:p>
          <w:p>
            <w:pPr>
              <w:spacing w:line="360" w:lineRule="auto"/>
              <w:ind w:firstLine="482" w:firstLineChars="200"/>
              <w:rPr>
                <w:b/>
                <w:color w:val="auto"/>
                <w:sz w:val="24"/>
                <w:highlight w:val="none"/>
              </w:rPr>
            </w:pPr>
            <w:r>
              <w:rPr>
                <w:rFonts w:hint="eastAsia"/>
                <w:b/>
                <w:color w:val="auto"/>
                <w:sz w:val="24"/>
                <w:highlight w:val="none"/>
              </w:rPr>
              <w:t>②环境管控单元</w:t>
            </w:r>
            <w:r>
              <w:rPr>
                <w:b/>
                <w:color w:val="auto"/>
                <w:sz w:val="24"/>
                <w:highlight w:val="none"/>
              </w:rPr>
              <w:t>符合性分析</w:t>
            </w:r>
          </w:p>
          <w:p>
            <w:pPr>
              <w:autoSpaceDE w:val="0"/>
              <w:autoSpaceDN w:val="0"/>
              <w:adjustRightInd w:val="0"/>
              <w:snapToGrid w:val="0"/>
              <w:jc w:val="center"/>
              <w:rPr>
                <w:rFonts w:ascii="宋体" w:hAnsi="宋体" w:cs="宋体"/>
                <w:color w:val="auto"/>
                <w:kern w:val="0"/>
                <w:szCs w:val="21"/>
                <w:highlight w:val="none"/>
              </w:rPr>
            </w:pPr>
            <w:r>
              <w:rPr>
                <w:rFonts w:ascii="宋体" w:hAnsi="宋体" w:cs="宋体"/>
                <w:color w:val="auto"/>
                <w:kern w:val="0"/>
                <w:szCs w:val="21"/>
                <w:highlight w:val="none"/>
              </w:rPr>
              <w:object>
                <v:shape id="_x0000_i1026" o:spt="75" type="#_x0000_t75" style="height:247.8pt;width:349.2pt;" o:ole="t" filled="f" o:preferrelative="t" stroked="f" coordsize="21600,21600">
                  <v:path/>
                  <v:fill on="f" focussize="0,0"/>
                  <v:stroke on="f"/>
                  <v:imagedata r:id="rId11" o:title=""/>
                  <o:lock v:ext="edit" aspectratio="f"/>
                  <w10:wrap type="none"/>
                  <w10:anchorlock/>
                </v:shape>
                <o:OLEObject Type="Embed" ProgID="Visio.Drawing.15" ShapeID="_x0000_i1026" DrawAspect="Content" ObjectID="_1468075726" r:id="rId10">
                  <o:LockedField>false</o:LockedField>
                </o:OLEObject>
              </w:object>
            </w:r>
          </w:p>
          <w:p>
            <w:pPr>
              <w:pStyle w:val="41"/>
              <w:bidi w:val="0"/>
              <w:rPr>
                <w:rFonts w:hint="eastAsia"/>
                <w:color w:val="auto"/>
                <w:highlight w:val="none"/>
              </w:rPr>
            </w:pPr>
            <w:r>
              <w:rPr>
                <w:rFonts w:hint="eastAsia"/>
                <w:color w:val="auto"/>
                <w:highlight w:val="none"/>
              </w:rPr>
              <w:t>图1-2  巴中市环境管控单元图</w:t>
            </w:r>
          </w:p>
          <w:p>
            <w:pPr>
              <w:pStyle w:val="51"/>
              <w:snapToGrid w:val="0"/>
              <w:spacing w:line="360" w:lineRule="auto"/>
              <w:ind w:left="0" w:right="0" w:firstLine="480" w:firstLineChars="200"/>
              <w:jc w:val="both"/>
              <w:rPr>
                <w:color w:val="auto"/>
                <w:highlight w:val="none"/>
              </w:rPr>
            </w:pPr>
            <w:r>
              <w:rPr>
                <w:rFonts w:hint="eastAsia" w:cs="宋体"/>
                <w:color w:val="auto"/>
                <w:szCs w:val="24"/>
                <w:highlight w:val="none"/>
                <w:lang w:bidi="ar"/>
              </w:rPr>
              <w:t>根据</w:t>
            </w:r>
            <w:r>
              <w:rPr>
                <w:rFonts w:hint="eastAsia"/>
                <w:color w:val="auto"/>
                <w:highlight w:val="none"/>
              </w:rPr>
              <w:t>《巴中市人民政府关于实施“三线一单”生态环境分区管控的通知》（巴府发〔2021〕5号），</w:t>
            </w:r>
            <w:r>
              <w:rPr>
                <w:rFonts w:hint="eastAsia" w:cs="宋体"/>
                <w:color w:val="auto"/>
                <w:szCs w:val="24"/>
                <w:highlight w:val="none"/>
                <w:lang w:bidi="ar"/>
              </w:rPr>
              <w:t>本项目位于环境综合管控单元工业重点管控单元。</w:t>
            </w:r>
          </w:p>
          <w:p>
            <w:pPr>
              <w:pStyle w:val="51"/>
              <w:snapToGrid w:val="0"/>
              <w:spacing w:line="360" w:lineRule="auto"/>
              <w:ind w:left="0" w:right="0" w:firstLine="480" w:firstLineChars="200"/>
              <w:jc w:val="both"/>
              <w:rPr>
                <w:rFonts w:cs="宋体"/>
                <w:color w:val="auto"/>
                <w:szCs w:val="24"/>
                <w:highlight w:val="none"/>
                <w:lang w:bidi="ar"/>
              </w:rPr>
            </w:pPr>
            <w:r>
              <w:rPr>
                <w:rFonts w:cs="宋体"/>
                <w:color w:val="auto"/>
                <w:szCs w:val="24"/>
                <w:highlight w:val="none"/>
                <w:lang w:bidi="ar"/>
              </w:rPr>
              <w:t>同时，根据四川省政务服务网的</w:t>
            </w:r>
            <w:r>
              <w:rPr>
                <w:rFonts w:hint="eastAsia" w:ascii="宋体" w:hAnsi="宋体" w:cs="宋体"/>
                <w:color w:val="auto"/>
                <w:szCs w:val="24"/>
                <w:highlight w:val="none"/>
                <w:lang w:bidi="ar"/>
              </w:rPr>
              <w:t>“三线一单”</w:t>
            </w:r>
            <w:r>
              <w:rPr>
                <w:rFonts w:cs="宋体"/>
                <w:color w:val="auto"/>
                <w:szCs w:val="24"/>
                <w:highlight w:val="none"/>
                <w:lang w:bidi="ar"/>
              </w:rPr>
              <w:t>符合性分析模块（http://www.sczwfw.gov.cn，四川政务服务网—直通部门—生态环境厅—</w:t>
            </w:r>
            <w:r>
              <w:rPr>
                <w:rFonts w:hint="eastAsia" w:ascii="宋体" w:hAnsi="宋体" w:cs="宋体"/>
                <w:color w:val="auto"/>
                <w:szCs w:val="24"/>
                <w:highlight w:val="none"/>
                <w:lang w:bidi="ar"/>
              </w:rPr>
              <w:t>“三线一单”符</w:t>
            </w:r>
            <w:r>
              <w:rPr>
                <w:rFonts w:cs="宋体"/>
                <w:color w:val="auto"/>
                <w:szCs w:val="24"/>
                <w:highlight w:val="none"/>
                <w:lang w:bidi="ar"/>
              </w:rPr>
              <w:t>合性分析）查询，本项目所在的环境管控单元和要素管控分区如下。</w:t>
            </w:r>
          </w:p>
          <w:p>
            <w:pPr>
              <w:pStyle w:val="4"/>
              <w:widowControl/>
              <w:numPr>
                <w:ilvl w:val="2"/>
                <w:numId w:val="0"/>
              </w:numPr>
              <w:tabs>
                <w:tab w:val="left" w:pos="352"/>
              </w:tabs>
              <w:adjustRightInd w:val="0"/>
              <w:spacing w:before="80" w:after="80"/>
              <w:ind w:firstLine="0"/>
              <w:jc w:val="center"/>
              <w:textAlignment w:val="baseline"/>
              <w:rPr>
                <w:rFonts w:hint="eastAsia" w:ascii="Times New Roman" w:hAnsi="Times New Roman" w:eastAsia="宋体" w:cs="Times New Roman"/>
                <w:bCs/>
                <w:color w:val="auto"/>
                <w:sz w:val="21"/>
                <w:szCs w:val="24"/>
                <w:highlight w:val="none"/>
                <w:lang w:val="en-US" w:eastAsia="zh-CN"/>
              </w:rPr>
            </w:pPr>
            <w:r>
              <w:rPr>
                <w:rFonts w:hint="eastAsia" w:ascii="Times New Roman" w:hAnsi="Times New Roman" w:eastAsia="宋体" w:cs="Times New Roman"/>
                <w:bCs/>
                <w:color w:val="auto"/>
                <w:sz w:val="21"/>
                <w:szCs w:val="24"/>
                <w:highlight w:val="none"/>
                <w:lang w:val="en-US" w:eastAsia="zh-CN"/>
              </w:rPr>
              <w:t>表</w:t>
            </w:r>
            <w:r>
              <w:rPr>
                <w:rFonts w:hint="eastAsia" w:ascii="Times New Roman" w:hAnsi="Times New Roman" w:eastAsia="宋体" w:cs="Times New Roman"/>
                <w:bCs/>
                <w:color w:val="auto"/>
                <w:sz w:val="21"/>
                <w:szCs w:val="24"/>
                <w:highlight w:val="none"/>
              </w:rPr>
              <w:t>1-</w:t>
            </w:r>
            <w:r>
              <w:rPr>
                <w:rFonts w:hint="eastAsia" w:ascii="Times New Roman" w:hAnsi="Times New Roman" w:eastAsia="宋体" w:cs="Times New Roman"/>
                <w:bCs/>
                <w:color w:val="auto"/>
                <w:sz w:val="21"/>
                <w:szCs w:val="24"/>
                <w:highlight w:val="none"/>
                <w:lang w:val="en-US" w:eastAsia="zh-CN"/>
              </w:rPr>
              <w:t>2</w:t>
            </w:r>
            <w:r>
              <w:rPr>
                <w:rFonts w:hint="eastAsia" w:ascii="Times New Roman" w:hAnsi="Times New Roman" w:eastAsia="宋体" w:cs="Times New Roman"/>
                <w:bCs/>
                <w:color w:val="auto"/>
                <w:sz w:val="21"/>
                <w:szCs w:val="24"/>
                <w:highlight w:val="none"/>
              </w:rPr>
              <w:t xml:space="preserve">  </w:t>
            </w:r>
            <w:r>
              <w:rPr>
                <w:rFonts w:hint="eastAsia" w:ascii="Times New Roman" w:hAnsi="Times New Roman" w:eastAsia="宋体" w:cs="Times New Roman"/>
                <w:bCs/>
                <w:color w:val="auto"/>
                <w:sz w:val="21"/>
                <w:szCs w:val="24"/>
                <w:highlight w:val="none"/>
                <w:lang w:val="en-US" w:eastAsia="zh-CN"/>
              </w:rPr>
              <w:t>本项目涉及的</w:t>
            </w:r>
            <w:r>
              <w:rPr>
                <w:rFonts w:hint="eastAsia" w:ascii="Times New Roman" w:hAnsi="Times New Roman" w:eastAsia="宋体" w:cs="Times New Roman"/>
                <w:bCs/>
                <w:color w:val="auto"/>
                <w:sz w:val="21"/>
                <w:szCs w:val="24"/>
                <w:highlight w:val="none"/>
              </w:rPr>
              <w:t>环境管控单元</w:t>
            </w:r>
            <w:r>
              <w:rPr>
                <w:rFonts w:hint="eastAsia" w:ascii="Times New Roman" w:hAnsi="Times New Roman" w:eastAsia="宋体" w:cs="Times New Roman"/>
                <w:bCs/>
                <w:color w:val="auto"/>
                <w:sz w:val="21"/>
                <w:szCs w:val="24"/>
                <w:highlight w:val="none"/>
                <w:lang w:val="en-US" w:eastAsia="zh-CN"/>
              </w:rPr>
              <w:t>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1718"/>
              <w:gridCol w:w="849"/>
              <w:gridCol w:w="548"/>
              <w:gridCol w:w="1114"/>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898" w:type="pct"/>
                  <w:noWrap w:val="0"/>
                  <w:vAlign w:val="center"/>
                </w:tcPr>
                <w:p>
                  <w:pPr>
                    <w:adjustRightInd w:val="0"/>
                    <w:snapToGrid w:val="0"/>
                    <w:jc w:val="center"/>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环境管控单元编码</w:t>
                  </w:r>
                </w:p>
              </w:tc>
              <w:tc>
                <w:tcPr>
                  <w:tcW w:w="1252" w:type="pct"/>
                  <w:noWrap w:val="0"/>
                  <w:vAlign w:val="center"/>
                </w:tcPr>
                <w:p>
                  <w:pPr>
                    <w:adjustRightInd w:val="0"/>
                    <w:snapToGrid w:val="0"/>
                    <w:jc w:val="center"/>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环境管控单元名称</w:t>
                  </w:r>
                </w:p>
              </w:tc>
              <w:tc>
                <w:tcPr>
                  <w:tcW w:w="639" w:type="pct"/>
                  <w:noWrap w:val="0"/>
                  <w:vAlign w:val="center"/>
                </w:tcPr>
                <w:p>
                  <w:pPr>
                    <w:adjustRightInd w:val="0"/>
                    <w:snapToGrid w:val="0"/>
                    <w:jc w:val="center"/>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所属市（州）</w:t>
                  </w:r>
                </w:p>
              </w:tc>
              <w:tc>
                <w:tcPr>
                  <w:tcW w:w="466" w:type="pct"/>
                  <w:noWrap w:val="0"/>
                  <w:vAlign w:val="center"/>
                </w:tcPr>
                <w:p>
                  <w:pPr>
                    <w:adjustRightInd w:val="0"/>
                    <w:snapToGrid w:val="0"/>
                    <w:jc w:val="center"/>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所属区县</w:t>
                  </w:r>
                </w:p>
              </w:tc>
              <w:tc>
                <w:tcPr>
                  <w:tcW w:w="837" w:type="pct"/>
                  <w:noWrap w:val="0"/>
                  <w:vAlign w:val="center"/>
                </w:tcPr>
                <w:p>
                  <w:pPr>
                    <w:adjustRightInd w:val="0"/>
                    <w:snapToGrid w:val="0"/>
                    <w:jc w:val="center"/>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准入清单类型</w:t>
                  </w:r>
                </w:p>
              </w:tc>
              <w:tc>
                <w:tcPr>
                  <w:tcW w:w="905" w:type="pct"/>
                  <w:noWrap w:val="0"/>
                  <w:vAlign w:val="center"/>
                </w:tcPr>
                <w:p>
                  <w:pPr>
                    <w:adjustRightInd w:val="0"/>
                    <w:snapToGrid w:val="0"/>
                    <w:jc w:val="center"/>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898"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ZH51190320002</w:t>
                  </w:r>
                </w:p>
              </w:tc>
              <w:tc>
                <w:tcPr>
                  <w:tcW w:w="1252"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巴中市恩阳食品工业园</w:t>
                  </w:r>
                </w:p>
              </w:tc>
              <w:tc>
                <w:tcPr>
                  <w:tcW w:w="639"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巴中市</w:t>
                  </w:r>
                </w:p>
              </w:tc>
              <w:tc>
                <w:tcPr>
                  <w:tcW w:w="466"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恩阳区</w:t>
                  </w:r>
                </w:p>
              </w:tc>
              <w:tc>
                <w:tcPr>
                  <w:tcW w:w="837"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环境</w:t>
                  </w:r>
                  <w:r>
                    <w:rPr>
                      <w:rFonts w:hint="eastAsia" w:cs="Times New Roman"/>
                      <w:bCs/>
                      <w:color w:val="auto"/>
                      <w:szCs w:val="21"/>
                      <w:highlight w:val="none"/>
                      <w:lang w:val="en-US" w:eastAsia="zh-CN"/>
                    </w:rPr>
                    <w:t>综合</w:t>
                  </w:r>
                </w:p>
              </w:tc>
              <w:tc>
                <w:tcPr>
                  <w:tcW w:w="905"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环境综合管控单元工业重点管控单元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898"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YS5119032210001</w:t>
                  </w:r>
                </w:p>
              </w:tc>
              <w:tc>
                <w:tcPr>
                  <w:tcW w:w="1252"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大坝河-恩阳区-巴中市恩阳食品工业园-控制单元</w:t>
                  </w:r>
                </w:p>
              </w:tc>
              <w:tc>
                <w:tcPr>
                  <w:tcW w:w="639"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巴中市</w:t>
                  </w:r>
                </w:p>
              </w:tc>
              <w:tc>
                <w:tcPr>
                  <w:tcW w:w="466"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恩阳区</w:t>
                  </w:r>
                </w:p>
              </w:tc>
              <w:tc>
                <w:tcPr>
                  <w:tcW w:w="837"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水环境分区</w:t>
                  </w:r>
                </w:p>
              </w:tc>
              <w:tc>
                <w:tcPr>
                  <w:tcW w:w="905"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水环境工业污染重点管控区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898"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YS5119032310002</w:t>
                  </w:r>
                </w:p>
              </w:tc>
              <w:tc>
                <w:tcPr>
                  <w:tcW w:w="1252"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巴中市恩阳食品工业园</w:t>
                  </w:r>
                </w:p>
              </w:tc>
              <w:tc>
                <w:tcPr>
                  <w:tcW w:w="639"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巴中市</w:t>
                  </w:r>
                </w:p>
              </w:tc>
              <w:tc>
                <w:tcPr>
                  <w:tcW w:w="466"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恩阳区</w:t>
                  </w:r>
                </w:p>
              </w:tc>
              <w:tc>
                <w:tcPr>
                  <w:tcW w:w="837"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大气环境分区</w:t>
                  </w:r>
                </w:p>
              </w:tc>
              <w:tc>
                <w:tcPr>
                  <w:tcW w:w="905" w:type="pc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大气环境高排放重点管控区</w:t>
                  </w:r>
                </w:p>
              </w:tc>
            </w:tr>
          </w:tbl>
          <w:p>
            <w:pPr>
              <w:autoSpaceDE w:val="0"/>
              <w:autoSpaceDN w:val="0"/>
              <w:adjustRightInd w:val="0"/>
              <w:snapToGrid w:val="0"/>
              <w:jc w:val="center"/>
              <w:rPr>
                <w:rFonts w:ascii="宋体" w:hAnsi="宋体" w:cs="宋体"/>
                <w:color w:val="auto"/>
                <w:kern w:val="0"/>
                <w:szCs w:val="21"/>
                <w:highlight w:val="none"/>
              </w:rPr>
            </w:pPr>
          </w:p>
          <w:p>
            <w:pPr>
              <w:autoSpaceDE w:val="0"/>
              <w:autoSpaceDN w:val="0"/>
              <w:adjustRightInd w:val="0"/>
              <w:snapToGrid w:val="0"/>
              <w:jc w:val="center"/>
              <w:rPr>
                <w:rFonts w:ascii="宋体" w:hAnsi="宋体" w:cs="宋体"/>
                <w:color w:val="auto"/>
                <w:kern w:val="0"/>
                <w:szCs w:val="21"/>
                <w:highlight w:val="none"/>
              </w:rPr>
            </w:pPr>
            <w:r>
              <w:rPr>
                <w:color w:val="auto"/>
                <w:highlight w:val="none"/>
              </w:rPr>
              <w:drawing>
                <wp:inline distT="0" distB="0" distL="114300" distR="114300">
                  <wp:extent cx="4432935" cy="3147060"/>
                  <wp:effectExtent l="0" t="0" r="5715" b="1524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2"/>
                          <a:stretch>
                            <a:fillRect/>
                          </a:stretch>
                        </pic:blipFill>
                        <pic:spPr>
                          <a:xfrm>
                            <a:off x="0" y="0"/>
                            <a:ext cx="4432935" cy="3147060"/>
                          </a:xfrm>
                          <a:prstGeom prst="rect">
                            <a:avLst/>
                          </a:prstGeom>
                          <a:noFill/>
                          <a:ln>
                            <a:noFill/>
                          </a:ln>
                        </pic:spPr>
                      </pic:pic>
                    </a:graphicData>
                  </a:graphic>
                </wp:inline>
              </w:drawing>
            </w:r>
          </w:p>
          <w:p>
            <w:pPr>
              <w:pStyle w:val="41"/>
              <w:bidi w:val="0"/>
              <w:rPr>
                <w:color w:val="auto"/>
                <w:highlight w:val="none"/>
              </w:rPr>
            </w:pPr>
            <w:r>
              <w:rPr>
                <w:color w:val="auto"/>
                <w:highlight w:val="none"/>
              </w:rPr>
              <w:t>图1-</w:t>
            </w:r>
            <w:r>
              <w:rPr>
                <w:rFonts w:hint="eastAsia"/>
                <w:color w:val="auto"/>
                <w:highlight w:val="none"/>
              </w:rPr>
              <w:t>3</w:t>
            </w:r>
            <w:r>
              <w:rPr>
                <w:color w:val="auto"/>
                <w:highlight w:val="none"/>
              </w:rPr>
              <w:t xml:space="preserve">  项目所在的环境管控单元和要素管控分区查询结果</w:t>
            </w:r>
          </w:p>
          <w:p>
            <w:pPr>
              <w:autoSpaceDE w:val="0"/>
              <w:autoSpaceDN w:val="0"/>
              <w:adjustRightInd w:val="0"/>
              <w:snapToGrid w:val="0"/>
              <w:spacing w:line="360" w:lineRule="auto"/>
              <w:ind w:firstLine="480" w:firstLineChars="200"/>
              <w:rPr>
                <w:color w:val="auto"/>
                <w:sz w:val="24"/>
                <w:highlight w:val="none"/>
              </w:rPr>
            </w:pPr>
            <w:r>
              <w:rPr>
                <w:color w:val="auto"/>
                <w:sz w:val="24"/>
                <w:highlight w:val="none"/>
              </w:rPr>
              <w:t>根据查询，项目及周边的环境管控单元图如下。</w:t>
            </w:r>
          </w:p>
          <w:p>
            <w:pPr>
              <w:autoSpaceDE w:val="0"/>
              <w:autoSpaceDN w:val="0"/>
              <w:adjustRightInd w:val="0"/>
              <w:snapToGrid w:val="0"/>
              <w:jc w:val="center"/>
              <w:rPr>
                <w:b/>
                <w:bCs/>
                <w:color w:val="auto"/>
                <w:highlight w:val="none"/>
              </w:rPr>
            </w:pPr>
            <w:r>
              <w:rPr>
                <w:rFonts w:hint="default" w:ascii="Helvetica" w:hAnsi="Helvetica" w:eastAsia="Helvetica"/>
                <w:color w:val="auto"/>
                <w:sz w:val="28"/>
                <w:szCs w:val="24"/>
                <w:highlight w:val="none"/>
              </w:rPr>
              <w:drawing>
                <wp:inline distT="0" distB="0" distL="114300" distR="114300">
                  <wp:extent cx="4435475" cy="2661920"/>
                  <wp:effectExtent l="0" t="0" r="3175" b="508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3"/>
                          <a:stretch>
                            <a:fillRect/>
                          </a:stretch>
                        </pic:blipFill>
                        <pic:spPr>
                          <a:xfrm>
                            <a:off x="0" y="0"/>
                            <a:ext cx="4435475" cy="2661920"/>
                          </a:xfrm>
                          <a:prstGeom prst="rect">
                            <a:avLst/>
                          </a:prstGeom>
                          <a:noFill/>
                          <a:ln>
                            <a:noFill/>
                          </a:ln>
                        </pic:spPr>
                      </pic:pic>
                    </a:graphicData>
                  </a:graphic>
                </wp:inline>
              </w:drawing>
            </w:r>
          </w:p>
          <w:p>
            <w:pPr>
              <w:pStyle w:val="41"/>
              <w:bidi w:val="0"/>
              <w:rPr>
                <w:color w:val="auto"/>
                <w:highlight w:val="none"/>
              </w:rPr>
            </w:pPr>
            <w:r>
              <w:rPr>
                <w:color w:val="auto"/>
                <w:highlight w:val="none"/>
              </w:rPr>
              <w:t>图1-</w:t>
            </w:r>
            <w:r>
              <w:rPr>
                <w:rFonts w:hint="eastAsia"/>
                <w:color w:val="auto"/>
                <w:highlight w:val="none"/>
                <w:lang w:val="en-US" w:eastAsia="zh-CN"/>
              </w:rPr>
              <w:t>4</w:t>
            </w:r>
            <w:r>
              <w:rPr>
                <w:color w:val="auto"/>
                <w:highlight w:val="none"/>
              </w:rPr>
              <w:t xml:space="preserve">  项目及周边的环境管控单元图</w:t>
            </w:r>
          </w:p>
          <w:p>
            <w:pPr>
              <w:pStyle w:val="51"/>
              <w:snapToGrid w:val="0"/>
              <w:spacing w:line="360" w:lineRule="auto"/>
              <w:ind w:left="0" w:right="0" w:firstLineChars="200"/>
              <w:jc w:val="both"/>
              <w:rPr>
                <w:b/>
                <w:bCs/>
                <w:color w:val="auto"/>
                <w:highlight w:val="none"/>
              </w:rPr>
            </w:pPr>
            <w:r>
              <w:rPr>
                <w:rFonts w:hint="eastAsia"/>
                <w:b/>
                <w:bCs/>
                <w:color w:val="auto"/>
                <w:highlight w:val="none"/>
              </w:rPr>
              <w:t>（3）管控要求符合性分析</w:t>
            </w:r>
          </w:p>
          <w:p>
            <w:pPr>
              <w:pStyle w:val="51"/>
              <w:snapToGrid w:val="0"/>
              <w:spacing w:line="360" w:lineRule="auto"/>
              <w:ind w:left="0" w:right="0" w:firstLine="480" w:firstLineChars="200"/>
              <w:jc w:val="both"/>
              <w:rPr>
                <w:color w:val="auto"/>
                <w:highlight w:val="none"/>
              </w:rPr>
            </w:pPr>
            <w:r>
              <w:rPr>
                <w:bCs/>
                <w:color w:val="auto"/>
                <w:highlight w:val="none"/>
              </w:rPr>
              <w:t>本项目与所在地所属环境管控单元的生态环境准入清单符合性分析如下表。</w:t>
            </w:r>
          </w:p>
          <w:p>
            <w:pPr>
              <w:autoSpaceDE w:val="0"/>
              <w:autoSpaceDN w:val="0"/>
              <w:adjustRightInd w:val="0"/>
              <w:snapToGrid w:val="0"/>
              <w:rPr>
                <w:rFonts w:ascii="宋体" w:hAnsi="宋体" w:cs="宋体"/>
                <w:color w:val="auto"/>
                <w:kern w:val="0"/>
                <w:szCs w:val="21"/>
                <w:highlight w:val="none"/>
              </w:rPr>
            </w:pPr>
          </w:p>
        </w:tc>
      </w:tr>
    </w:tbl>
    <w:p>
      <w:pPr>
        <w:autoSpaceDE w:val="0"/>
        <w:autoSpaceDN w:val="0"/>
        <w:adjustRightInd w:val="0"/>
        <w:snapToGrid w:val="0"/>
        <w:jc w:val="both"/>
        <w:rPr>
          <w:rFonts w:hint="eastAsia" w:ascii="宋体" w:hAnsi="宋体" w:cs="宋体"/>
          <w:color w:val="auto"/>
          <w:kern w:val="0"/>
          <w:szCs w:val="21"/>
          <w:highlight w:val="none"/>
        </w:rPr>
        <w:sectPr>
          <w:footerReference r:id="rId5" w:type="default"/>
          <w:pgSz w:w="11906" w:h="16838"/>
          <w:pgMar w:top="1701" w:right="1531" w:bottom="1701" w:left="1531" w:header="851" w:footer="1077" w:gutter="0"/>
          <w:pgNumType w:start="1"/>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2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7" w:type="dxa"/>
            <w:noWrap w:val="0"/>
            <w:vAlign w:val="top"/>
          </w:tcPr>
          <w:p>
            <w:pPr>
              <w:autoSpaceDE w:val="0"/>
              <w:autoSpaceDN w:val="0"/>
              <w:adjustRightInd w:val="0"/>
              <w:snapToGrid w:val="0"/>
              <w:jc w:val="both"/>
              <w:rPr>
                <w:rFonts w:hint="eastAsia" w:ascii="宋体" w:hAnsi="宋体" w:cs="宋体"/>
                <w:color w:val="auto"/>
                <w:kern w:val="0"/>
                <w:szCs w:val="21"/>
                <w:highlight w:val="none"/>
                <w:vertAlign w:val="baseline"/>
              </w:rPr>
            </w:pPr>
          </w:p>
        </w:tc>
        <w:tc>
          <w:tcPr>
            <w:tcW w:w="12585" w:type="dxa"/>
            <w:noWrap w:val="0"/>
            <w:vAlign w:val="top"/>
          </w:tcPr>
          <w:p>
            <w:pPr>
              <w:pStyle w:val="41"/>
              <w:bidi w:val="0"/>
              <w:rPr>
                <w:color w:val="auto"/>
                <w:highlight w:val="none"/>
              </w:rPr>
            </w:pPr>
            <w:r>
              <w:rPr>
                <w:rFonts w:hint="eastAsia"/>
                <w:color w:val="auto"/>
                <w:highlight w:val="none"/>
              </w:rPr>
              <w:t>表1-</w:t>
            </w:r>
            <w:r>
              <w:rPr>
                <w:rFonts w:hint="eastAsia"/>
                <w:color w:val="auto"/>
                <w:highlight w:val="none"/>
                <w:lang w:val="en-US" w:eastAsia="zh-CN"/>
              </w:rPr>
              <w:t>3</w:t>
            </w:r>
            <w:r>
              <w:rPr>
                <w:rFonts w:hint="eastAsia"/>
                <w:color w:val="auto"/>
                <w:highlight w:val="none"/>
              </w:rPr>
              <w:t xml:space="preserve">  </w:t>
            </w:r>
            <w:r>
              <w:rPr>
                <w:rFonts w:hint="eastAsia"/>
                <w:color w:val="auto"/>
                <w:highlight w:val="none"/>
                <w:lang w:val="en-US" w:eastAsia="zh-CN"/>
              </w:rPr>
              <w:t>本项目</w:t>
            </w:r>
            <w:r>
              <w:rPr>
                <w:rFonts w:hint="eastAsia"/>
                <w:color w:val="auto"/>
                <w:highlight w:val="none"/>
              </w:rPr>
              <w:t>与生态环境准入清单符合性分析</w:t>
            </w:r>
          </w:p>
          <w:tbl>
            <w:tblPr>
              <w:tblStyle w:val="22"/>
              <w:tblW w:w="49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42" w:type="dxa"/>
                <w:bottom w:w="0" w:type="dxa"/>
                <w:right w:w="142" w:type="dxa"/>
              </w:tblCellMar>
            </w:tblPr>
            <w:tblGrid>
              <w:gridCol w:w="755"/>
              <w:gridCol w:w="507"/>
              <w:gridCol w:w="765"/>
              <w:gridCol w:w="6132"/>
              <w:gridCol w:w="3584"/>
              <w:gridCol w:w="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8" w:type="pct"/>
                  <w:gridSpan w:val="3"/>
                  <w:noWrap w:val="0"/>
                  <w:vAlign w:val="center"/>
                </w:tcPr>
                <w:p>
                  <w:pPr>
                    <w:jc w:val="center"/>
                    <w:rPr>
                      <w:bCs/>
                      <w:color w:val="auto"/>
                      <w:highlight w:val="none"/>
                    </w:rPr>
                  </w:pPr>
                  <w:r>
                    <w:rPr>
                      <w:b/>
                      <w:bCs/>
                      <w:color w:val="auto"/>
                      <w:szCs w:val="21"/>
                      <w:highlight w:val="none"/>
                    </w:rPr>
                    <w:t>类别</w:t>
                  </w:r>
                </w:p>
              </w:tc>
              <w:tc>
                <w:tcPr>
                  <w:tcW w:w="2505" w:type="pct"/>
                  <w:noWrap w:val="0"/>
                  <w:vAlign w:val="center"/>
                </w:tcPr>
                <w:p>
                  <w:pPr>
                    <w:jc w:val="center"/>
                    <w:rPr>
                      <w:bCs/>
                      <w:color w:val="auto"/>
                      <w:highlight w:val="none"/>
                    </w:rPr>
                  </w:pPr>
                  <w:r>
                    <w:rPr>
                      <w:b/>
                      <w:bCs/>
                      <w:color w:val="auto"/>
                      <w:szCs w:val="21"/>
                      <w:highlight w:val="none"/>
                    </w:rPr>
                    <w:t>对应管控要求</w:t>
                  </w:r>
                </w:p>
              </w:tc>
              <w:tc>
                <w:tcPr>
                  <w:tcW w:w="1464" w:type="pct"/>
                  <w:noWrap w:val="0"/>
                  <w:vAlign w:val="center"/>
                </w:tcPr>
                <w:p>
                  <w:pPr>
                    <w:jc w:val="center"/>
                    <w:rPr>
                      <w:bCs/>
                      <w:color w:val="auto"/>
                      <w:highlight w:val="none"/>
                    </w:rPr>
                  </w:pPr>
                  <w:r>
                    <w:rPr>
                      <w:rFonts w:hint="eastAsia"/>
                      <w:b/>
                      <w:bCs/>
                      <w:color w:val="auto"/>
                      <w:kern w:val="0"/>
                      <w:szCs w:val="21"/>
                      <w:highlight w:val="none"/>
                    </w:rPr>
                    <w:t>项目对应情况介绍</w:t>
                  </w:r>
                </w:p>
              </w:tc>
              <w:tc>
                <w:tcPr>
                  <w:tcW w:w="202" w:type="pct"/>
                  <w:noWrap w:val="0"/>
                  <w:vAlign w:val="center"/>
                </w:tcPr>
                <w:p>
                  <w:pPr>
                    <w:jc w:val="center"/>
                    <w:rPr>
                      <w:bCs/>
                      <w:color w:val="auto"/>
                      <w:highlight w:val="none"/>
                    </w:rPr>
                  </w:pPr>
                  <w:r>
                    <w:rPr>
                      <w:rFonts w:hint="eastAsia"/>
                      <w:b/>
                      <w:bCs/>
                      <w:color w:val="auto"/>
                      <w:kern w:val="0"/>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trHeight w:val="216" w:hRule="atLeast"/>
                <w:jc w:val="center"/>
              </w:trPr>
              <w:tc>
                <w:tcPr>
                  <w:tcW w:w="308" w:type="pct"/>
                  <w:vMerge w:val="restart"/>
                  <w:noWrap w:val="0"/>
                  <w:vAlign w:val="center"/>
                </w:tcPr>
                <w:p>
                  <w:pPr>
                    <w:jc w:val="center"/>
                    <w:rPr>
                      <w:rFonts w:hint="eastAsia"/>
                      <w:bCs/>
                      <w:color w:val="auto"/>
                      <w:highlight w:val="none"/>
                    </w:rPr>
                  </w:pPr>
                  <w:r>
                    <w:rPr>
                      <w:rFonts w:hint="eastAsia"/>
                      <w:bCs/>
                      <w:color w:val="auto"/>
                      <w:highlight w:val="none"/>
                    </w:rPr>
                    <w:t>环境综合管控单元工业重点管控单元ZH51190320002巴中市恩阳食品工业园</w:t>
                  </w:r>
                </w:p>
              </w:tc>
              <w:tc>
                <w:tcPr>
                  <w:tcW w:w="207" w:type="pct"/>
                  <w:vMerge w:val="restart"/>
                  <w:noWrap w:val="0"/>
                  <w:vAlign w:val="center"/>
                </w:tcPr>
                <w:p>
                  <w:pPr>
                    <w:jc w:val="center"/>
                    <w:rPr>
                      <w:rFonts w:hint="default" w:eastAsia="宋体"/>
                      <w:bCs/>
                      <w:color w:val="auto"/>
                      <w:highlight w:val="none"/>
                      <w:lang w:val="en-US" w:eastAsia="zh-CN"/>
                    </w:rPr>
                  </w:pPr>
                  <w:r>
                    <w:rPr>
                      <w:rFonts w:hint="eastAsia"/>
                      <w:bCs/>
                      <w:color w:val="auto"/>
                      <w:highlight w:val="none"/>
                    </w:rPr>
                    <w:t>普适性清单</w:t>
                  </w:r>
                  <w:r>
                    <w:rPr>
                      <w:rFonts w:hint="eastAsia"/>
                      <w:bCs/>
                      <w:color w:val="auto"/>
                      <w:highlight w:val="none"/>
                      <w:lang w:val="en-US" w:eastAsia="zh-CN"/>
                    </w:rPr>
                    <w:t>管控要求</w:t>
                  </w:r>
                </w:p>
              </w:tc>
              <w:tc>
                <w:tcPr>
                  <w:tcW w:w="312" w:type="pct"/>
                  <w:noWrap w:val="0"/>
                  <w:vAlign w:val="center"/>
                </w:tcPr>
                <w:p>
                  <w:pPr>
                    <w:jc w:val="center"/>
                    <w:rPr>
                      <w:bCs/>
                      <w:color w:val="auto"/>
                      <w:highlight w:val="none"/>
                    </w:rPr>
                  </w:pPr>
                  <w:r>
                    <w:rPr>
                      <w:rFonts w:hint="eastAsia" w:ascii="宋体" w:hAnsi="宋体" w:cs="宋体"/>
                      <w:color w:val="auto"/>
                      <w:kern w:val="0"/>
                      <w:szCs w:val="21"/>
                      <w:highlight w:val="none"/>
                    </w:rPr>
                    <w:t>空间布局约束</w:t>
                  </w:r>
                </w:p>
              </w:tc>
              <w:tc>
                <w:tcPr>
                  <w:tcW w:w="2505" w:type="pct"/>
                  <w:noWrap w:val="0"/>
                  <w:vAlign w:val="center"/>
                </w:tcPr>
                <w:p>
                  <w:pPr>
                    <w:rPr>
                      <w:rFonts w:hint="eastAsia"/>
                      <w:bCs/>
                      <w:color w:val="auto"/>
                      <w:highlight w:val="none"/>
                    </w:rPr>
                  </w:pPr>
                  <w:r>
                    <w:rPr>
                      <w:rFonts w:hint="eastAsia"/>
                      <w:bCs/>
                      <w:color w:val="auto"/>
                      <w:highlight w:val="none"/>
                    </w:rPr>
                    <w:t>禁止开发建设活动的要求</w:t>
                  </w:r>
                </w:p>
                <w:p>
                  <w:pPr>
                    <w:rPr>
                      <w:rFonts w:hint="eastAsia"/>
                      <w:bCs/>
                      <w:color w:val="auto"/>
                      <w:highlight w:val="none"/>
                    </w:rPr>
                  </w:pPr>
                  <w:r>
                    <w:rPr>
                      <w:rFonts w:hint="eastAsia"/>
                      <w:bCs/>
                      <w:color w:val="auto"/>
                      <w:highlight w:val="none"/>
                    </w:rPr>
                    <w:t>-禁止在长江干支流岸线一公里范围内新建、扩建化工园区和化工项目；禁止在长江干流岸线三公里范围内和重要支流岸线一公里范围内新建、改建、扩建尾矿库（以提升安全、生态环境保护水平为目的的改建除外）。</w:t>
                  </w:r>
                </w:p>
                <w:p>
                  <w:pPr>
                    <w:rPr>
                      <w:rFonts w:hint="eastAsia"/>
                      <w:bCs/>
                      <w:color w:val="auto"/>
                      <w:highlight w:val="none"/>
                    </w:rPr>
                  </w:pPr>
                  <w:r>
                    <w:rPr>
                      <w:rFonts w:hint="eastAsia"/>
                      <w:bCs/>
                      <w:color w:val="auto"/>
                      <w:highlight w:val="none"/>
                    </w:rPr>
                    <w:t>-禁止在长江流域河湖管理范围内倾倒、填埋、堆放、弃置、处理固体废物。</w:t>
                  </w:r>
                </w:p>
                <w:p>
                  <w:pPr>
                    <w:rPr>
                      <w:rFonts w:hint="eastAsia"/>
                      <w:bCs/>
                      <w:color w:val="auto"/>
                      <w:highlight w:val="none"/>
                    </w:rPr>
                  </w:pPr>
                  <w:r>
                    <w:rPr>
                      <w:rFonts w:hint="eastAsia"/>
                      <w:bCs/>
                      <w:color w:val="auto"/>
                      <w:highlight w:val="none"/>
                    </w:rPr>
                    <w:t>-在禁燃区内禁止销售、燃用高污染燃料。禁燃区内禁止新建、扩建燃用高污染燃料的设施。</w:t>
                  </w:r>
                </w:p>
                <w:p>
                  <w:pPr>
                    <w:rPr>
                      <w:rFonts w:hint="eastAsia"/>
                      <w:bCs/>
                      <w:color w:val="auto"/>
                      <w:highlight w:val="none"/>
                    </w:rPr>
                  </w:pPr>
                  <w:r>
                    <w:rPr>
                      <w:rFonts w:hint="eastAsia"/>
                      <w:bCs/>
                      <w:color w:val="auto"/>
                      <w:highlight w:val="none"/>
                    </w:rPr>
                    <w:t>限制开发建设活动的要求</w:t>
                  </w:r>
                </w:p>
                <w:p>
                  <w:pPr>
                    <w:rPr>
                      <w:rFonts w:hint="eastAsia"/>
                      <w:bCs/>
                      <w:color w:val="auto"/>
                      <w:highlight w:val="none"/>
                    </w:rPr>
                  </w:pPr>
                  <w:r>
                    <w:rPr>
                      <w:rFonts w:hint="eastAsia"/>
                      <w:bCs/>
                      <w:color w:val="auto"/>
                      <w:highlight w:val="none"/>
                    </w:rPr>
                    <w:t>-继续化解过剩产能，严禁钢铁、水泥、电解铝、平板玻璃等行业新增产能，对确有必要新建的必须实施等量或减量置换。</w:t>
                  </w:r>
                </w:p>
                <w:p>
                  <w:pPr>
                    <w:rPr>
                      <w:rFonts w:hint="eastAsia"/>
                      <w:bCs/>
                      <w:color w:val="auto"/>
                      <w:highlight w:val="none"/>
                    </w:rPr>
                  </w:pPr>
                  <w:r>
                    <w:rPr>
                      <w:rFonts w:hint="eastAsia"/>
                      <w:bCs/>
                      <w:color w:val="auto"/>
                      <w:highlight w:val="none"/>
                    </w:rPr>
                    <w:t>-严格执行《矿产资源开采管理办法》的相关规定。</w:t>
                  </w:r>
                </w:p>
                <w:p>
                  <w:pPr>
                    <w:rPr>
                      <w:rFonts w:hint="eastAsia"/>
                      <w:bCs/>
                      <w:color w:val="auto"/>
                      <w:highlight w:val="none"/>
                    </w:rPr>
                  </w:pPr>
                  <w:r>
                    <w:rPr>
                      <w:rFonts w:hint="eastAsia"/>
                      <w:bCs/>
                      <w:color w:val="auto"/>
                      <w:highlight w:val="none"/>
                    </w:rPr>
                    <w:t>不符合空间布局要求活动的退出要求</w:t>
                  </w:r>
                </w:p>
                <w:p>
                  <w:pPr>
                    <w:rPr>
                      <w:rFonts w:hint="eastAsia"/>
                      <w:bCs/>
                      <w:color w:val="auto"/>
                      <w:highlight w:val="none"/>
                    </w:rPr>
                  </w:pPr>
                  <w:r>
                    <w:rPr>
                      <w:rFonts w:hint="eastAsia"/>
                      <w:bCs/>
                      <w:color w:val="auto"/>
                      <w:highlight w:val="none"/>
                    </w:rPr>
                    <w:t>-现有属于园区禁止引入产业门类的企业，原则上限制发展，污染物排放只降不增，允许以提升安全、生态环境保护水平为目的的改建，引导企业结合产业升级等适时搬迁。</w:t>
                  </w:r>
                </w:p>
                <w:p>
                  <w:pPr>
                    <w:rPr>
                      <w:rFonts w:hint="eastAsia"/>
                      <w:bCs/>
                      <w:color w:val="auto"/>
                      <w:highlight w:val="none"/>
                    </w:rPr>
                  </w:pPr>
                  <w:r>
                    <w:rPr>
                      <w:rFonts w:hint="eastAsia"/>
                      <w:bCs/>
                      <w:color w:val="auto"/>
                      <w:highlight w:val="none"/>
                    </w:rPr>
                    <w:t>其他空间布局约束要求</w:t>
                  </w:r>
                </w:p>
                <w:p>
                  <w:pPr>
                    <w:rPr>
                      <w:bCs/>
                      <w:color w:val="auto"/>
                      <w:highlight w:val="none"/>
                    </w:rPr>
                  </w:pPr>
                  <w:r>
                    <w:rPr>
                      <w:rFonts w:hint="eastAsia"/>
                      <w:bCs/>
                      <w:color w:val="auto"/>
                      <w:highlight w:val="none"/>
                    </w:rPr>
                    <w:t>暂无</w:t>
                  </w:r>
                </w:p>
              </w:tc>
              <w:tc>
                <w:tcPr>
                  <w:tcW w:w="1464" w:type="pct"/>
                  <w:noWrap w:val="0"/>
                  <w:vAlign w:val="center"/>
                </w:tcPr>
                <w:p>
                  <w:pPr>
                    <w:rPr>
                      <w:rFonts w:hint="eastAsia"/>
                      <w:bCs/>
                      <w:color w:val="auto"/>
                      <w:highlight w:val="none"/>
                      <w:lang w:eastAsia="zh-CN"/>
                    </w:rPr>
                  </w:pPr>
                  <w:r>
                    <w:rPr>
                      <w:rFonts w:hint="eastAsia"/>
                      <w:color w:val="auto"/>
                      <w:highlight w:val="none"/>
                      <w:lang w:val="en-US" w:eastAsia="zh-CN"/>
                    </w:rPr>
                    <w:t>本项目不属于</w:t>
                  </w:r>
                  <w:r>
                    <w:rPr>
                      <w:rFonts w:hint="eastAsia"/>
                      <w:bCs/>
                      <w:color w:val="auto"/>
                      <w:highlight w:val="none"/>
                    </w:rPr>
                    <w:t>化工园区</w:t>
                  </w:r>
                  <w:r>
                    <w:rPr>
                      <w:rFonts w:hint="eastAsia"/>
                      <w:bCs/>
                      <w:color w:val="auto"/>
                      <w:highlight w:val="none"/>
                      <w:lang w:eastAsia="zh-CN"/>
                    </w:rPr>
                    <w:t>、</w:t>
                  </w:r>
                  <w:r>
                    <w:rPr>
                      <w:rFonts w:hint="eastAsia"/>
                      <w:bCs/>
                      <w:color w:val="auto"/>
                      <w:highlight w:val="none"/>
                    </w:rPr>
                    <w:t>化工项目</w:t>
                  </w:r>
                  <w:r>
                    <w:rPr>
                      <w:rFonts w:hint="eastAsia"/>
                      <w:bCs/>
                      <w:color w:val="auto"/>
                      <w:highlight w:val="none"/>
                      <w:lang w:eastAsia="zh-CN"/>
                    </w:rPr>
                    <w:t>、</w:t>
                  </w:r>
                  <w:r>
                    <w:rPr>
                      <w:rFonts w:hint="eastAsia"/>
                      <w:bCs/>
                      <w:color w:val="auto"/>
                      <w:highlight w:val="none"/>
                    </w:rPr>
                    <w:t>尾矿库</w:t>
                  </w:r>
                  <w:r>
                    <w:rPr>
                      <w:rFonts w:hint="eastAsia"/>
                      <w:bCs/>
                      <w:color w:val="auto"/>
                      <w:highlight w:val="none"/>
                      <w:lang w:eastAsia="zh-CN"/>
                    </w:rPr>
                    <w:t>。</w:t>
                  </w:r>
                </w:p>
                <w:p>
                  <w:pPr>
                    <w:rPr>
                      <w:rFonts w:hint="default" w:eastAsia="宋体"/>
                      <w:bCs/>
                      <w:color w:val="auto"/>
                      <w:highlight w:val="none"/>
                      <w:lang w:val="en-US" w:eastAsia="zh-CN"/>
                    </w:rPr>
                  </w:pPr>
                  <w:r>
                    <w:rPr>
                      <w:rFonts w:hint="eastAsia"/>
                      <w:bCs/>
                      <w:color w:val="auto"/>
                      <w:highlight w:val="none"/>
                      <w:lang w:val="en-US" w:eastAsia="zh-CN"/>
                    </w:rPr>
                    <w:t>本项目固体废物生活垃圾、不合格品、废油纸、栅渣、废离子交换树脂由环卫部门清运处理，废包装材料外售，餐厨垃圾、隔油池废油、废植物油由</w:t>
                  </w:r>
                  <w:r>
                    <w:rPr>
                      <w:rFonts w:hint="eastAsia"/>
                      <w:color w:val="auto"/>
                      <w:szCs w:val="21"/>
                      <w:highlight w:val="none"/>
                    </w:rPr>
                    <w:t>柳林镇垃圾处理站（光辉发电厂）清运处理</w:t>
                  </w:r>
                  <w:r>
                    <w:rPr>
                      <w:rFonts w:hint="eastAsia"/>
                      <w:color w:val="auto"/>
                      <w:szCs w:val="21"/>
                      <w:highlight w:val="none"/>
                      <w:lang w:eastAsia="zh-CN"/>
                    </w:rPr>
                    <w:t>，</w:t>
                  </w:r>
                  <w:r>
                    <w:rPr>
                      <w:rFonts w:hint="eastAsia"/>
                      <w:color w:val="auto"/>
                      <w:szCs w:val="21"/>
                      <w:highlight w:val="none"/>
                      <w:lang w:val="en-US" w:eastAsia="zh-CN"/>
                    </w:rPr>
                    <w:t>污泥由</w:t>
                  </w:r>
                  <w:r>
                    <w:rPr>
                      <w:rFonts w:hint="eastAsia"/>
                      <w:color w:val="auto"/>
                      <w:szCs w:val="21"/>
                      <w:highlight w:val="none"/>
                    </w:rPr>
                    <w:t>环卫部门清运处理</w:t>
                  </w:r>
                  <w:r>
                    <w:rPr>
                      <w:rFonts w:hint="eastAsia"/>
                      <w:color w:val="auto"/>
                      <w:szCs w:val="21"/>
                      <w:highlight w:val="none"/>
                      <w:lang w:eastAsia="zh-CN"/>
                    </w:rPr>
                    <w:t>，</w:t>
                  </w:r>
                  <w:r>
                    <w:rPr>
                      <w:rFonts w:hint="eastAsia"/>
                      <w:color w:val="auto"/>
                      <w:szCs w:val="21"/>
                      <w:highlight w:val="none"/>
                      <w:lang w:val="en-US" w:eastAsia="zh-CN"/>
                    </w:rPr>
                    <w:t>危险废物交由有资质的单位处理。固体废物均能妥善处置，不会随意倾倒、填埋、堆放、弃置、处理固体废物。</w:t>
                  </w:r>
                </w:p>
                <w:p>
                  <w:pPr>
                    <w:rPr>
                      <w:rFonts w:hint="eastAsia"/>
                      <w:bCs/>
                      <w:color w:val="auto"/>
                      <w:highlight w:val="none"/>
                      <w:lang w:eastAsia="zh-CN"/>
                    </w:rPr>
                  </w:pPr>
                  <w:r>
                    <w:rPr>
                      <w:rFonts w:hint="eastAsia"/>
                      <w:bCs/>
                      <w:color w:val="auto"/>
                      <w:highlight w:val="none"/>
                      <w:lang w:val="en-US" w:eastAsia="zh-CN"/>
                    </w:rPr>
                    <w:t>本项目不使用</w:t>
                  </w:r>
                  <w:r>
                    <w:rPr>
                      <w:rFonts w:hint="eastAsia"/>
                      <w:bCs/>
                      <w:color w:val="auto"/>
                      <w:highlight w:val="none"/>
                    </w:rPr>
                    <w:t>高污染燃料</w:t>
                  </w:r>
                  <w:r>
                    <w:rPr>
                      <w:rFonts w:hint="eastAsia"/>
                      <w:bCs/>
                      <w:color w:val="auto"/>
                      <w:highlight w:val="none"/>
                      <w:lang w:eastAsia="zh-CN"/>
                    </w:rPr>
                    <w:t>，</w:t>
                  </w:r>
                  <w:r>
                    <w:rPr>
                      <w:rFonts w:hint="eastAsia"/>
                      <w:bCs/>
                      <w:color w:val="auto"/>
                      <w:highlight w:val="none"/>
                      <w:lang w:val="en-US" w:eastAsia="zh-CN"/>
                    </w:rPr>
                    <w:t>不建设</w:t>
                  </w:r>
                  <w:r>
                    <w:rPr>
                      <w:rFonts w:hint="eastAsia"/>
                      <w:bCs/>
                      <w:color w:val="auto"/>
                      <w:highlight w:val="none"/>
                    </w:rPr>
                    <w:t>用高污染燃料的设施</w:t>
                  </w:r>
                  <w:r>
                    <w:rPr>
                      <w:rFonts w:hint="eastAsia"/>
                      <w:bCs/>
                      <w:color w:val="auto"/>
                      <w:highlight w:val="none"/>
                      <w:lang w:eastAsia="zh-CN"/>
                    </w:rPr>
                    <w:t>。</w:t>
                  </w:r>
                </w:p>
                <w:p>
                  <w:pPr>
                    <w:rPr>
                      <w:rFonts w:hint="eastAsia"/>
                      <w:bCs/>
                      <w:color w:val="auto"/>
                      <w:highlight w:val="none"/>
                      <w:lang w:eastAsia="zh-CN"/>
                    </w:rPr>
                  </w:pPr>
                  <w:r>
                    <w:rPr>
                      <w:rFonts w:hint="eastAsia"/>
                      <w:bCs/>
                      <w:color w:val="auto"/>
                      <w:highlight w:val="none"/>
                      <w:lang w:val="en-US" w:eastAsia="zh-CN"/>
                    </w:rPr>
                    <w:t>本项目不属于</w:t>
                  </w:r>
                  <w:r>
                    <w:rPr>
                      <w:rFonts w:hint="eastAsia"/>
                      <w:bCs/>
                      <w:color w:val="auto"/>
                      <w:highlight w:val="none"/>
                    </w:rPr>
                    <w:t>钢铁、水泥、电解铝、平板玻璃等</w:t>
                  </w:r>
                  <w:r>
                    <w:rPr>
                      <w:rFonts w:hint="eastAsia"/>
                      <w:bCs/>
                      <w:color w:val="auto"/>
                      <w:highlight w:val="none"/>
                      <w:lang w:val="en-US" w:eastAsia="zh-CN"/>
                    </w:rPr>
                    <w:t>产能过剩</w:t>
                  </w:r>
                  <w:r>
                    <w:rPr>
                      <w:rFonts w:hint="eastAsia"/>
                      <w:bCs/>
                      <w:color w:val="auto"/>
                      <w:highlight w:val="none"/>
                    </w:rPr>
                    <w:t>行业</w:t>
                  </w:r>
                  <w:r>
                    <w:rPr>
                      <w:rFonts w:hint="eastAsia"/>
                      <w:bCs/>
                      <w:color w:val="auto"/>
                      <w:highlight w:val="none"/>
                      <w:lang w:eastAsia="zh-CN"/>
                    </w:rPr>
                    <w:t>。</w:t>
                  </w:r>
                </w:p>
                <w:p>
                  <w:pPr>
                    <w:rPr>
                      <w:rFonts w:hint="default"/>
                      <w:bCs/>
                      <w:color w:val="auto"/>
                      <w:highlight w:val="none"/>
                      <w:lang w:val="en-US" w:eastAsia="zh-CN"/>
                    </w:rPr>
                  </w:pPr>
                  <w:r>
                    <w:rPr>
                      <w:rFonts w:hint="eastAsia"/>
                      <w:bCs/>
                      <w:color w:val="auto"/>
                      <w:highlight w:val="none"/>
                      <w:lang w:val="en-US" w:eastAsia="zh-CN"/>
                    </w:rPr>
                    <w:t>本项目为食品行业，园区产业以食品饮料、生物药品加工为主，因此本项目不属于园区禁止或限制入园的行业。</w:t>
                  </w:r>
                </w:p>
              </w:tc>
              <w:tc>
                <w:tcPr>
                  <w:tcW w:w="202" w:type="pct"/>
                  <w:noWrap w:val="0"/>
                  <w:vAlign w:val="center"/>
                </w:tcPr>
                <w:p>
                  <w:pPr>
                    <w:jc w:val="center"/>
                    <w:rPr>
                      <w:bCs/>
                      <w:color w:val="auto"/>
                      <w:highlight w:val="none"/>
                    </w:rPr>
                  </w:pPr>
                  <w:r>
                    <w:rPr>
                      <w:rFonts w:hint="eastAsia"/>
                      <w:bCs/>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bCs/>
                      <w:color w:val="auto"/>
                      <w:highlight w:val="none"/>
                    </w:rPr>
                  </w:pPr>
                </w:p>
              </w:tc>
              <w:tc>
                <w:tcPr>
                  <w:tcW w:w="207" w:type="pct"/>
                  <w:vMerge w:val="continue"/>
                  <w:noWrap w:val="0"/>
                  <w:vAlign w:val="center"/>
                </w:tcPr>
                <w:p>
                  <w:pPr>
                    <w:jc w:val="center"/>
                    <w:rPr>
                      <w:bCs/>
                      <w:color w:val="auto"/>
                      <w:highlight w:val="none"/>
                    </w:rPr>
                  </w:pPr>
                </w:p>
              </w:tc>
              <w:tc>
                <w:tcPr>
                  <w:tcW w:w="312" w:type="pct"/>
                  <w:noWrap w:val="0"/>
                  <w:vAlign w:val="center"/>
                </w:tcPr>
                <w:p>
                  <w:pPr>
                    <w:jc w:val="center"/>
                    <w:rPr>
                      <w:bCs/>
                      <w:color w:val="auto"/>
                      <w:highlight w:val="none"/>
                    </w:rPr>
                  </w:pPr>
                  <w:r>
                    <w:rPr>
                      <w:rFonts w:hint="eastAsia"/>
                      <w:bCs/>
                      <w:color w:val="auto"/>
                      <w:highlight w:val="none"/>
                    </w:rPr>
                    <w:t>污染物排放管控</w:t>
                  </w:r>
                </w:p>
              </w:tc>
              <w:tc>
                <w:tcPr>
                  <w:tcW w:w="2505" w:type="pct"/>
                  <w:noWrap w:val="0"/>
                  <w:vAlign w:val="center"/>
                </w:tcPr>
                <w:p>
                  <w:pPr>
                    <w:rPr>
                      <w:rFonts w:hint="eastAsia"/>
                      <w:bCs/>
                      <w:color w:val="auto"/>
                      <w:highlight w:val="none"/>
                    </w:rPr>
                  </w:pPr>
                  <w:r>
                    <w:rPr>
                      <w:rFonts w:hint="eastAsia"/>
                      <w:bCs/>
                      <w:color w:val="auto"/>
                      <w:highlight w:val="none"/>
                    </w:rPr>
                    <w:t>允许排放量要求</w:t>
                  </w:r>
                </w:p>
                <w:p>
                  <w:pPr>
                    <w:rPr>
                      <w:rFonts w:hint="eastAsia"/>
                      <w:bCs/>
                      <w:color w:val="auto"/>
                      <w:highlight w:val="none"/>
                    </w:rPr>
                  </w:pPr>
                  <w:r>
                    <w:rPr>
                      <w:rFonts w:hint="eastAsia"/>
                      <w:bCs/>
                      <w:color w:val="auto"/>
                      <w:highlight w:val="none"/>
                    </w:rPr>
                    <w:t>（1）为达2025年及2035年环境空气质量目标，14个工业重点管控单元大气污染物允许排放量2025年为：PM</w:t>
                  </w:r>
                  <w:r>
                    <w:rPr>
                      <w:rFonts w:hint="eastAsia"/>
                      <w:bCs/>
                      <w:color w:val="auto"/>
                      <w:highlight w:val="none"/>
                      <w:vertAlign w:val="subscript"/>
                    </w:rPr>
                    <w:t>2.5</w:t>
                  </w:r>
                  <w:r>
                    <w:rPr>
                      <w:rFonts w:hint="eastAsia"/>
                      <w:bCs/>
                      <w:color w:val="auto"/>
                      <w:highlight w:val="none"/>
                    </w:rPr>
                    <w:t>允许排放量4950吨、SO</w:t>
                  </w:r>
                  <w:r>
                    <w:rPr>
                      <w:rFonts w:hint="eastAsia"/>
                      <w:bCs/>
                      <w:color w:val="auto"/>
                      <w:highlight w:val="none"/>
                      <w:vertAlign w:val="subscript"/>
                    </w:rPr>
                    <w:t>2</w:t>
                  </w:r>
                  <w:r>
                    <w:rPr>
                      <w:rFonts w:hint="eastAsia"/>
                      <w:bCs/>
                      <w:color w:val="auto"/>
                      <w:highlight w:val="none"/>
                    </w:rPr>
                    <w:t>允许排放量3502吨、NOx允许排放量8906吨、VOCs允许排放量12506吨，2035年为：PM</w:t>
                  </w:r>
                  <w:r>
                    <w:rPr>
                      <w:rFonts w:hint="eastAsia"/>
                      <w:bCs/>
                      <w:color w:val="auto"/>
                      <w:highlight w:val="none"/>
                      <w:vertAlign w:val="subscript"/>
                    </w:rPr>
                    <w:t>2.5</w:t>
                  </w:r>
                  <w:r>
                    <w:rPr>
                      <w:rFonts w:hint="eastAsia"/>
                      <w:bCs/>
                      <w:color w:val="auto"/>
                      <w:highlight w:val="none"/>
                    </w:rPr>
                    <w:t>允许排放量4595吨、SO</w:t>
                  </w:r>
                  <w:r>
                    <w:rPr>
                      <w:rFonts w:hint="eastAsia"/>
                      <w:bCs/>
                      <w:color w:val="auto"/>
                      <w:highlight w:val="none"/>
                      <w:vertAlign w:val="subscript"/>
                    </w:rPr>
                    <w:t>2</w:t>
                  </w:r>
                  <w:r>
                    <w:rPr>
                      <w:rFonts w:hint="eastAsia"/>
                      <w:bCs/>
                      <w:color w:val="auto"/>
                      <w:highlight w:val="none"/>
                    </w:rPr>
                    <w:t>允许排放量3133吨、NOx允许排放量8656吨、VOCs允许排放量12098吨。（2）为保证2025、2035年区域地表水控制断面达标，15个工业重点管控单元COD、氨氮、总磷允许排放量2025年控制在233465.09吨、2863.81吨、409.92吨以下，2035年控制在24638.35吨、3007.02吨、430.41吨以下。</w:t>
                  </w:r>
                </w:p>
                <w:p>
                  <w:pPr>
                    <w:rPr>
                      <w:rFonts w:hint="eastAsia"/>
                      <w:bCs/>
                      <w:color w:val="auto"/>
                      <w:highlight w:val="none"/>
                    </w:rPr>
                  </w:pPr>
                  <w:r>
                    <w:rPr>
                      <w:rFonts w:hint="eastAsia"/>
                      <w:bCs/>
                      <w:color w:val="auto"/>
                      <w:highlight w:val="none"/>
                    </w:rPr>
                    <w:t>现有源提标升级改造</w:t>
                  </w:r>
                </w:p>
                <w:p>
                  <w:pPr>
                    <w:rPr>
                      <w:rFonts w:hint="eastAsia"/>
                      <w:bCs/>
                      <w:color w:val="auto"/>
                      <w:highlight w:val="none"/>
                    </w:rPr>
                  </w:pPr>
                  <w:r>
                    <w:rPr>
                      <w:rFonts w:hint="eastAsia"/>
                      <w:bCs/>
                      <w:color w:val="auto"/>
                      <w:highlight w:val="none"/>
                    </w:rPr>
                    <w:t>-污水收集处理率达100%。</w:t>
                  </w:r>
                </w:p>
                <w:p>
                  <w:pPr>
                    <w:rPr>
                      <w:rFonts w:hint="eastAsia"/>
                      <w:bCs/>
                      <w:color w:val="auto"/>
                      <w:highlight w:val="none"/>
                    </w:rPr>
                  </w:pPr>
                  <w:r>
                    <w:rPr>
                      <w:rFonts w:hint="eastAsia"/>
                      <w:bCs/>
                      <w:color w:val="auto"/>
                      <w:highlight w:val="none"/>
                    </w:rPr>
                    <w:t>-推进工业园区污水处理设施建设，确保园区工业废水达标排放。</w:t>
                  </w:r>
                </w:p>
                <w:p>
                  <w:pPr>
                    <w:rPr>
                      <w:rFonts w:hint="eastAsia"/>
                      <w:bCs/>
                      <w:color w:val="auto"/>
                      <w:highlight w:val="none"/>
                    </w:rPr>
                  </w:pPr>
                  <w:r>
                    <w:rPr>
                      <w:rFonts w:hint="eastAsia"/>
                      <w:bCs/>
                      <w:color w:val="auto"/>
                      <w:highlight w:val="none"/>
                    </w:rPr>
                    <w:t>其他污染物排放管控要求</w:t>
                  </w:r>
                </w:p>
                <w:p>
                  <w:pPr>
                    <w:rPr>
                      <w:rFonts w:hint="eastAsia"/>
                      <w:bCs/>
                      <w:color w:val="auto"/>
                      <w:highlight w:val="none"/>
                    </w:rPr>
                  </w:pPr>
                  <w:r>
                    <w:rPr>
                      <w:rFonts w:hint="eastAsia"/>
                      <w:bCs/>
                      <w:color w:val="auto"/>
                      <w:highlight w:val="none"/>
                    </w:rPr>
                    <w:t>污染物排放绩效水平准入要求：</w:t>
                  </w:r>
                </w:p>
                <w:p>
                  <w:pPr>
                    <w:rPr>
                      <w:rFonts w:hint="eastAsia"/>
                      <w:bCs/>
                      <w:color w:val="auto"/>
                      <w:highlight w:val="none"/>
                    </w:rPr>
                  </w:pPr>
                  <w:r>
                    <w:rPr>
                      <w:rFonts w:hint="eastAsia"/>
                      <w:bCs/>
                      <w:color w:val="auto"/>
                      <w:highlight w:val="none"/>
                    </w:rPr>
                    <w:t>-新、改、扩建涉及VOCs排放项目，从原辅材料和工艺过程大力推广使用低（无）VOCs含量的涂料、有机溶剂、胶黏剂、油墨等原辅材料，配套改进生产工艺。</w:t>
                  </w:r>
                </w:p>
                <w:p>
                  <w:pPr>
                    <w:rPr>
                      <w:rFonts w:hint="eastAsia"/>
                      <w:bCs/>
                      <w:color w:val="auto"/>
                      <w:highlight w:val="none"/>
                    </w:rPr>
                  </w:pPr>
                  <w:r>
                    <w:rPr>
                      <w:rFonts w:hint="eastAsia"/>
                      <w:bCs/>
                      <w:color w:val="auto"/>
                      <w:highlight w:val="none"/>
                    </w:rPr>
                    <w:t>-重点对工业涂装、包装印刷、制鞋、电子信息、木材加工、化纤等重点行业实施源头替代。推进木质家具制造行业水性、紫外光固化等低挥发性涂料替代比例达到60%以上、水性胶粘剂替代比例达到100%，钢结构制造行业高固体分涂料替代比例达到50%以上，包装印刷企业低VOCs含量绿色原辅材料替代比例达到60%以上。</w:t>
                  </w:r>
                </w:p>
                <w:p>
                  <w:pPr>
                    <w:rPr>
                      <w:bCs/>
                      <w:color w:val="auto"/>
                      <w:highlight w:val="none"/>
                    </w:rPr>
                  </w:pPr>
                  <w:r>
                    <w:rPr>
                      <w:rFonts w:hint="eastAsia"/>
                      <w:bCs/>
                      <w:color w:val="auto"/>
                      <w:highlight w:val="none"/>
                    </w:rPr>
                    <w:t>-到2030年巴中中心城区污水处理率达到100%，工业废水排放达标率100%。</w:t>
                  </w:r>
                </w:p>
              </w:tc>
              <w:tc>
                <w:tcPr>
                  <w:tcW w:w="1464" w:type="pct"/>
                  <w:noWrap w:val="0"/>
                  <w:vAlign w:val="center"/>
                </w:tcPr>
                <w:p>
                  <w:pPr>
                    <w:rPr>
                      <w:rFonts w:hint="eastAsia" w:ascii="Times New Roman" w:hAnsi="Times New Roman" w:eastAsia="宋体" w:cs="Times New Roman"/>
                      <w:bCs/>
                      <w:color w:val="auto"/>
                      <w:highlight w:val="none"/>
                      <w:lang w:val="en-US" w:eastAsia="zh-CN"/>
                    </w:rPr>
                  </w:pPr>
                  <w:r>
                    <w:rPr>
                      <w:rFonts w:hint="eastAsia"/>
                      <w:color w:val="auto"/>
                      <w:highlight w:val="none"/>
                      <w:lang w:val="en-US" w:eastAsia="zh-CN"/>
                    </w:rPr>
                    <w:t>本项目新增污染物排放量较小，新增</w:t>
                  </w:r>
                  <w:r>
                    <w:rPr>
                      <w:rFonts w:hint="eastAsia"/>
                      <w:color w:val="auto"/>
                      <w:highlight w:val="none"/>
                    </w:rPr>
                    <w:t>SO</w:t>
                  </w:r>
                  <w:r>
                    <w:rPr>
                      <w:rFonts w:hint="eastAsia"/>
                      <w:color w:val="auto"/>
                      <w:highlight w:val="none"/>
                      <w:vertAlign w:val="subscript"/>
                    </w:rPr>
                    <w:t>2</w:t>
                  </w:r>
                  <w:r>
                    <w:rPr>
                      <w:rFonts w:hint="eastAsia"/>
                      <w:color w:val="auto"/>
                      <w:highlight w:val="none"/>
                      <w:lang w:val="en-US" w:eastAsia="zh-CN"/>
                    </w:rPr>
                    <w:t>0.2t/a、</w:t>
                  </w:r>
                  <w:r>
                    <w:rPr>
                      <w:rFonts w:hint="eastAsia"/>
                      <w:color w:val="auto"/>
                      <w:highlight w:val="none"/>
                    </w:rPr>
                    <w:t>NOx</w:t>
                  </w:r>
                  <w:r>
                    <w:rPr>
                      <w:rFonts w:hint="eastAsia"/>
                      <w:color w:val="auto"/>
                      <w:highlight w:val="none"/>
                      <w:lang w:val="en-US" w:eastAsia="zh-CN"/>
                    </w:rPr>
                    <w:t>0.7949t/a，污水处理厂近期新增</w:t>
                  </w:r>
                  <w:r>
                    <w:rPr>
                      <w:rFonts w:hint="eastAsia" w:ascii="Times New Roman" w:hAnsi="Times New Roman" w:eastAsia="宋体" w:cs="Times New Roman"/>
                      <w:bCs/>
                      <w:color w:val="auto"/>
                      <w:highlight w:val="none"/>
                      <w:lang w:val="en-US" w:eastAsia="zh-CN"/>
                    </w:rPr>
                    <w:t>COD</w:t>
                  </w:r>
                  <w:r>
                    <w:rPr>
                      <w:rFonts w:hint="eastAsia" w:cs="Times New Roman"/>
                      <w:bCs/>
                      <w:color w:val="auto"/>
                      <w:highlight w:val="none"/>
                      <w:lang w:val="en-US" w:eastAsia="zh-CN"/>
                    </w:rPr>
                    <w:t>1.3861</w:t>
                  </w:r>
                  <w:r>
                    <w:rPr>
                      <w:rFonts w:hint="eastAsia" w:ascii="Times New Roman" w:hAnsi="Times New Roman" w:eastAsia="宋体" w:cs="Times New Roman"/>
                      <w:bCs/>
                      <w:color w:val="auto"/>
                      <w:highlight w:val="none"/>
                      <w:lang w:val="en-US" w:eastAsia="zh-CN"/>
                    </w:rPr>
                    <w:t>t/a、</w:t>
                  </w:r>
                  <w:r>
                    <w:rPr>
                      <w:rFonts w:hint="eastAsia" w:ascii="Times New Roman" w:hAnsi="Times New Roman" w:eastAsia="宋体" w:cs="Times New Roman"/>
                      <w:bCs/>
                      <w:color w:val="auto"/>
                      <w:highlight w:val="none"/>
                    </w:rPr>
                    <w:t>氨氮</w:t>
                  </w:r>
                  <w:r>
                    <w:rPr>
                      <w:rFonts w:hint="eastAsia" w:cs="Times New Roman"/>
                      <w:bCs/>
                      <w:color w:val="auto"/>
                      <w:highlight w:val="none"/>
                      <w:lang w:val="en-US" w:eastAsia="zh-CN"/>
                    </w:rPr>
                    <w:t>0.1386</w:t>
                  </w:r>
                  <w:r>
                    <w:rPr>
                      <w:rFonts w:hint="eastAsia" w:ascii="Times New Roman" w:hAnsi="Times New Roman" w:eastAsia="宋体" w:cs="Times New Roman"/>
                      <w:bCs/>
                      <w:color w:val="auto"/>
                      <w:highlight w:val="none"/>
                      <w:lang w:val="en-US" w:eastAsia="zh-CN"/>
                    </w:rPr>
                    <w:t>t/a、总磷0.013</w:t>
                  </w:r>
                  <w:r>
                    <w:rPr>
                      <w:rFonts w:hint="eastAsia" w:cs="Times New Roman"/>
                      <w:bCs/>
                      <w:color w:val="auto"/>
                      <w:highlight w:val="none"/>
                      <w:lang w:val="en-US" w:eastAsia="zh-CN"/>
                    </w:rPr>
                    <w:t>9</w:t>
                  </w:r>
                  <w:r>
                    <w:rPr>
                      <w:rFonts w:hint="eastAsia" w:ascii="Times New Roman" w:hAnsi="Times New Roman" w:eastAsia="宋体" w:cs="Times New Roman"/>
                      <w:bCs/>
                      <w:color w:val="auto"/>
                      <w:highlight w:val="none"/>
                      <w:lang w:val="en-US" w:eastAsia="zh-CN"/>
                    </w:rPr>
                    <w:t>t/a，对环境空气质量和地表水环境质量影响较小。</w:t>
                  </w:r>
                </w:p>
                <w:p>
                  <w:pPr>
                    <w:rPr>
                      <w:rFonts w:hint="default"/>
                      <w:color w:val="auto"/>
                      <w:highlight w:val="none"/>
                      <w:lang w:val="en-US" w:eastAsia="zh-CN"/>
                    </w:rPr>
                  </w:pPr>
                  <w:r>
                    <w:rPr>
                      <w:rFonts w:hint="eastAsia" w:ascii="Times New Roman" w:hAnsi="Times New Roman" w:eastAsia="宋体" w:cs="Times New Roman"/>
                      <w:bCs/>
                      <w:color w:val="auto"/>
                      <w:highlight w:val="none"/>
                      <w:lang w:val="en-US" w:eastAsia="zh-CN"/>
                    </w:rPr>
                    <w:t>本项目污水收集处理率为100%，废水经厂区</w:t>
                  </w:r>
                  <w:r>
                    <w:rPr>
                      <w:rFonts w:hint="eastAsia" w:cs="Times New Roman"/>
                      <w:bCs/>
                      <w:color w:val="auto"/>
                      <w:highlight w:val="none"/>
                      <w:lang w:val="en-US" w:eastAsia="zh-CN"/>
                    </w:rPr>
                    <w:t>预处理池、隔油池、</w:t>
                  </w:r>
                  <w:r>
                    <w:rPr>
                      <w:rFonts w:hint="eastAsia" w:ascii="Times New Roman" w:hAnsi="Times New Roman" w:eastAsia="宋体" w:cs="Times New Roman"/>
                      <w:bCs/>
                      <w:color w:val="auto"/>
                      <w:highlight w:val="none"/>
                      <w:lang w:val="en-US" w:eastAsia="zh-CN"/>
                    </w:rPr>
                    <w:t>污水处理站处理后，排入园区污水处理厂处理达标后排入大坝河。</w:t>
                  </w:r>
                </w:p>
              </w:tc>
              <w:tc>
                <w:tcPr>
                  <w:tcW w:w="202" w:type="pct"/>
                  <w:noWrap w:val="0"/>
                  <w:vAlign w:val="center"/>
                </w:tcPr>
                <w:p>
                  <w:pPr>
                    <w:jc w:val="center"/>
                    <w:rPr>
                      <w:bCs/>
                      <w:color w:val="auto"/>
                      <w:highlight w:val="none"/>
                    </w:rPr>
                  </w:pPr>
                  <w:r>
                    <w:rPr>
                      <w:rFonts w:hint="eastAsia"/>
                      <w:bCs/>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bCs/>
                      <w:color w:val="auto"/>
                      <w:highlight w:val="none"/>
                    </w:rPr>
                  </w:pPr>
                </w:p>
              </w:tc>
              <w:tc>
                <w:tcPr>
                  <w:tcW w:w="207" w:type="pct"/>
                  <w:vMerge w:val="continue"/>
                  <w:noWrap w:val="0"/>
                  <w:vAlign w:val="center"/>
                </w:tcPr>
                <w:p>
                  <w:pPr>
                    <w:jc w:val="center"/>
                    <w:rPr>
                      <w:bCs/>
                      <w:color w:val="auto"/>
                      <w:highlight w:val="none"/>
                    </w:rPr>
                  </w:pPr>
                </w:p>
              </w:tc>
              <w:tc>
                <w:tcPr>
                  <w:tcW w:w="312" w:type="pct"/>
                  <w:noWrap w:val="0"/>
                  <w:vAlign w:val="center"/>
                </w:tcPr>
                <w:p>
                  <w:pPr>
                    <w:jc w:val="center"/>
                    <w:rPr>
                      <w:bCs/>
                      <w:color w:val="auto"/>
                      <w:highlight w:val="none"/>
                    </w:rPr>
                  </w:pPr>
                  <w:r>
                    <w:rPr>
                      <w:rFonts w:hint="eastAsia"/>
                      <w:bCs/>
                      <w:color w:val="auto"/>
                      <w:highlight w:val="none"/>
                    </w:rPr>
                    <w:t>环境风险防控</w:t>
                  </w:r>
                </w:p>
              </w:tc>
              <w:tc>
                <w:tcPr>
                  <w:tcW w:w="2505" w:type="pct"/>
                  <w:noWrap w:val="0"/>
                  <w:vAlign w:val="center"/>
                </w:tcPr>
                <w:p>
                  <w:pPr>
                    <w:rPr>
                      <w:rFonts w:hint="eastAsia"/>
                      <w:bCs/>
                      <w:color w:val="auto"/>
                      <w:highlight w:val="none"/>
                    </w:rPr>
                  </w:pPr>
                  <w:r>
                    <w:rPr>
                      <w:rFonts w:hint="eastAsia"/>
                      <w:bCs/>
                      <w:color w:val="auto"/>
                      <w:highlight w:val="none"/>
                    </w:rPr>
                    <w:t>联防联控要求</w:t>
                  </w:r>
                </w:p>
                <w:p>
                  <w:pPr>
                    <w:rPr>
                      <w:rFonts w:hint="eastAsia"/>
                      <w:bCs/>
                      <w:color w:val="auto"/>
                      <w:highlight w:val="none"/>
                    </w:rPr>
                  </w:pPr>
                  <w:r>
                    <w:rPr>
                      <w:rFonts w:hint="eastAsia"/>
                      <w:bCs/>
                      <w:color w:val="auto"/>
                      <w:highlight w:val="none"/>
                    </w:rPr>
                    <w:t>强化大气污染区域联防联控措施，实施重污染天气应急管控。修订重污染天气应急预案，动态更新污染源排放清单，落实重点企业错峰生产、压产限产、工地停工等强制性措施，有效减缓重污染天气影响。</w:t>
                  </w:r>
                </w:p>
                <w:p>
                  <w:pPr>
                    <w:rPr>
                      <w:rFonts w:hint="eastAsia"/>
                      <w:bCs/>
                      <w:color w:val="auto"/>
                      <w:highlight w:val="none"/>
                    </w:rPr>
                  </w:pPr>
                  <w:r>
                    <w:rPr>
                      <w:rFonts w:hint="eastAsia"/>
                      <w:bCs/>
                      <w:color w:val="auto"/>
                      <w:highlight w:val="none"/>
                    </w:rPr>
                    <w:t>其他环境风险防控要求</w:t>
                  </w:r>
                </w:p>
                <w:p>
                  <w:pPr>
                    <w:rPr>
                      <w:rFonts w:hint="eastAsia"/>
                      <w:bCs/>
                      <w:color w:val="auto"/>
                      <w:highlight w:val="none"/>
                    </w:rPr>
                  </w:pPr>
                  <w:r>
                    <w:rPr>
                      <w:rFonts w:hint="eastAsia"/>
                      <w:bCs/>
                      <w:color w:val="auto"/>
                      <w:highlight w:val="none"/>
                    </w:rPr>
                    <w:t>-涉及有毒有害、易燃易爆物质新建、改扩建项目，严控准入要求。</w:t>
                  </w:r>
                </w:p>
                <w:p>
                  <w:pPr>
                    <w:rPr>
                      <w:rFonts w:hint="eastAsia"/>
                      <w:bCs/>
                      <w:color w:val="auto"/>
                      <w:highlight w:val="none"/>
                    </w:rPr>
                  </w:pPr>
                  <w:r>
                    <w:rPr>
                      <w:rFonts w:hint="eastAsia"/>
                      <w:bCs/>
                      <w:color w:val="auto"/>
                      <w:highlight w:val="none"/>
                    </w:rPr>
                    <w:t>-园区风险防控体系要求：构建三级环境风险防控体系，强化危化品泄漏应急处置措施，确保风险可控。针对化工园区进一步强化风险防控。</w:t>
                  </w:r>
                </w:p>
                <w:p>
                  <w:pPr>
                    <w:rPr>
                      <w:rFonts w:hint="eastAsia"/>
                      <w:bCs/>
                      <w:color w:val="auto"/>
                      <w:highlight w:val="none"/>
                    </w:rPr>
                  </w:pPr>
                  <w:r>
                    <w:rPr>
                      <w:rFonts w:hint="eastAsia"/>
                      <w:bCs/>
                      <w:color w:val="auto"/>
                      <w:highlight w:val="none"/>
                    </w:rPr>
                    <w:t>-有色金属冶炼、石油加工、化工、焦化、电镀、制革等行业企业拆除生产设施设备、构筑物和污染治理设施，要事先制定残留污染物清理和安全处置方案，要严格按照有关规定实施安全处理处置，防范拆除活动污染土壤。</w:t>
                  </w:r>
                </w:p>
                <w:p>
                  <w:pPr>
                    <w:rPr>
                      <w:bCs/>
                      <w:color w:val="auto"/>
                      <w:highlight w:val="none"/>
                    </w:rPr>
                  </w:pPr>
                  <w:r>
                    <w:rPr>
                      <w:rFonts w:hint="eastAsia"/>
                      <w:bCs/>
                      <w:color w:val="auto"/>
                      <w:highlight w:val="none"/>
                    </w:rPr>
                    <w:t>-已污染地块，应当依法开展土壤污染状况调查、治理与修复，符合相关环境质量要求后，方可进入用地程序。</w:t>
                  </w:r>
                </w:p>
              </w:tc>
              <w:tc>
                <w:tcPr>
                  <w:tcW w:w="1464" w:type="pct"/>
                  <w:noWrap w:val="0"/>
                  <w:vAlign w:val="center"/>
                </w:tcPr>
                <w:p>
                  <w:pPr>
                    <w:rPr>
                      <w:rFonts w:hint="eastAsia"/>
                      <w:bCs/>
                      <w:color w:val="auto"/>
                      <w:highlight w:val="none"/>
                      <w:lang w:val="en-US" w:eastAsia="zh-CN"/>
                    </w:rPr>
                  </w:pPr>
                  <w:r>
                    <w:rPr>
                      <w:rFonts w:hint="eastAsia"/>
                      <w:bCs/>
                      <w:color w:val="auto"/>
                      <w:highlight w:val="none"/>
                      <w:lang w:val="en-US" w:eastAsia="zh-CN"/>
                    </w:rPr>
                    <w:t>本项目涉及的有毒有害、易燃易爆物质主要有机油、硫酸、盐酸、铬酸钾、天然气等，厂内存在量均较小，采取风险防范措施后，风险可控。</w:t>
                  </w:r>
                </w:p>
                <w:p>
                  <w:pPr>
                    <w:rPr>
                      <w:rFonts w:hint="eastAsia"/>
                      <w:bCs/>
                      <w:color w:val="auto"/>
                      <w:highlight w:val="none"/>
                      <w:lang w:eastAsia="zh-CN"/>
                    </w:rPr>
                  </w:pPr>
                  <w:r>
                    <w:rPr>
                      <w:rFonts w:hint="eastAsia"/>
                      <w:bCs/>
                      <w:color w:val="auto"/>
                      <w:highlight w:val="none"/>
                      <w:lang w:val="en-US" w:eastAsia="zh-CN"/>
                    </w:rPr>
                    <w:t>本项目为豆制品制造，不属于</w:t>
                  </w:r>
                  <w:r>
                    <w:rPr>
                      <w:rFonts w:hint="eastAsia"/>
                      <w:bCs/>
                      <w:color w:val="auto"/>
                      <w:highlight w:val="none"/>
                    </w:rPr>
                    <w:t>有色金属冶炼、石油加工、化工、焦化、电镀、制革等行业</w:t>
                  </w:r>
                  <w:r>
                    <w:rPr>
                      <w:rFonts w:hint="eastAsia"/>
                      <w:bCs/>
                      <w:color w:val="auto"/>
                      <w:highlight w:val="none"/>
                      <w:lang w:eastAsia="zh-CN"/>
                    </w:rPr>
                    <w:t>。</w:t>
                  </w:r>
                </w:p>
                <w:p>
                  <w:pPr>
                    <w:rPr>
                      <w:rFonts w:hint="eastAsia" w:eastAsia="宋体"/>
                      <w:bCs/>
                      <w:color w:val="auto"/>
                      <w:highlight w:val="none"/>
                      <w:lang w:val="en-US" w:eastAsia="zh-CN"/>
                    </w:rPr>
                  </w:pPr>
                  <w:r>
                    <w:rPr>
                      <w:rFonts w:hint="eastAsia"/>
                      <w:bCs/>
                      <w:color w:val="auto"/>
                      <w:highlight w:val="none"/>
                      <w:lang w:val="en-US" w:eastAsia="zh-CN"/>
                    </w:rPr>
                    <w:t>本项目用地现状目前为空地，无企业入驻，不属于</w:t>
                  </w:r>
                  <w:r>
                    <w:rPr>
                      <w:rFonts w:hint="eastAsia"/>
                      <w:bCs/>
                      <w:color w:val="auto"/>
                      <w:highlight w:val="none"/>
                    </w:rPr>
                    <w:t>已污染地块</w:t>
                  </w:r>
                  <w:r>
                    <w:rPr>
                      <w:rFonts w:hint="eastAsia"/>
                      <w:bCs/>
                      <w:color w:val="auto"/>
                      <w:highlight w:val="none"/>
                      <w:lang w:eastAsia="zh-CN"/>
                    </w:rPr>
                    <w:t>。</w:t>
                  </w:r>
                </w:p>
              </w:tc>
              <w:tc>
                <w:tcPr>
                  <w:tcW w:w="202" w:type="pct"/>
                  <w:noWrap w:val="0"/>
                  <w:vAlign w:val="center"/>
                </w:tcPr>
                <w:p>
                  <w:pPr>
                    <w:jc w:val="center"/>
                    <w:rPr>
                      <w:bCs/>
                      <w:color w:val="auto"/>
                      <w:highlight w:val="none"/>
                    </w:rPr>
                  </w:pPr>
                  <w:r>
                    <w:rPr>
                      <w:rFonts w:hint="eastAsia"/>
                      <w:bCs/>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bCs/>
                      <w:color w:val="auto"/>
                      <w:highlight w:val="none"/>
                    </w:rPr>
                  </w:pPr>
                </w:p>
              </w:tc>
              <w:tc>
                <w:tcPr>
                  <w:tcW w:w="207" w:type="pct"/>
                  <w:vMerge w:val="continue"/>
                  <w:noWrap w:val="0"/>
                  <w:vAlign w:val="center"/>
                </w:tcPr>
                <w:p>
                  <w:pPr>
                    <w:jc w:val="center"/>
                    <w:rPr>
                      <w:bCs/>
                      <w:color w:val="auto"/>
                      <w:highlight w:val="none"/>
                    </w:rPr>
                  </w:pPr>
                </w:p>
              </w:tc>
              <w:tc>
                <w:tcPr>
                  <w:tcW w:w="312" w:type="pct"/>
                  <w:noWrap w:val="0"/>
                  <w:vAlign w:val="center"/>
                </w:tcPr>
                <w:p>
                  <w:pPr>
                    <w:jc w:val="center"/>
                    <w:rPr>
                      <w:bCs/>
                      <w:color w:val="auto"/>
                      <w:highlight w:val="none"/>
                    </w:rPr>
                  </w:pPr>
                  <w:r>
                    <w:rPr>
                      <w:rFonts w:hint="eastAsia"/>
                      <w:bCs/>
                      <w:color w:val="auto"/>
                      <w:highlight w:val="none"/>
                    </w:rPr>
                    <w:t>资源开发利用效率要求</w:t>
                  </w:r>
                </w:p>
              </w:tc>
              <w:tc>
                <w:tcPr>
                  <w:tcW w:w="2505" w:type="pct"/>
                  <w:noWrap w:val="0"/>
                  <w:vAlign w:val="center"/>
                </w:tcPr>
                <w:p>
                  <w:pPr>
                    <w:rPr>
                      <w:rFonts w:hint="eastAsia"/>
                      <w:bCs/>
                      <w:color w:val="auto"/>
                      <w:highlight w:val="none"/>
                    </w:rPr>
                  </w:pPr>
                  <w:r>
                    <w:rPr>
                      <w:rFonts w:hint="eastAsia"/>
                      <w:bCs/>
                      <w:color w:val="auto"/>
                      <w:highlight w:val="none"/>
                    </w:rPr>
                    <w:t>水资源利用总量要求</w:t>
                  </w:r>
                </w:p>
                <w:p>
                  <w:pPr>
                    <w:rPr>
                      <w:rFonts w:hint="eastAsia"/>
                      <w:bCs/>
                      <w:color w:val="auto"/>
                      <w:highlight w:val="none"/>
                    </w:rPr>
                  </w:pPr>
                  <w:r>
                    <w:rPr>
                      <w:rFonts w:hint="eastAsia"/>
                      <w:bCs/>
                      <w:color w:val="auto"/>
                      <w:highlight w:val="none"/>
                    </w:rPr>
                    <w:t>-到2022年，万元国内生产总值用水量、万元工业增加值用水量较2015年分别降低30%和28%。</w:t>
                  </w:r>
                </w:p>
                <w:p>
                  <w:pPr>
                    <w:rPr>
                      <w:rFonts w:hint="eastAsia"/>
                      <w:bCs/>
                      <w:color w:val="auto"/>
                      <w:highlight w:val="none"/>
                    </w:rPr>
                  </w:pPr>
                  <w:r>
                    <w:rPr>
                      <w:rFonts w:hint="eastAsia"/>
                      <w:bCs/>
                      <w:color w:val="auto"/>
                      <w:highlight w:val="none"/>
                    </w:rPr>
                    <w:t>地下水开采要求</w:t>
                  </w:r>
                </w:p>
                <w:p>
                  <w:pPr>
                    <w:rPr>
                      <w:rFonts w:hint="eastAsia"/>
                      <w:bCs/>
                      <w:color w:val="auto"/>
                      <w:highlight w:val="none"/>
                    </w:rPr>
                  </w:pPr>
                  <w:r>
                    <w:rPr>
                      <w:rFonts w:hint="eastAsia"/>
                      <w:bCs/>
                      <w:color w:val="auto"/>
                      <w:highlight w:val="none"/>
                    </w:rPr>
                    <w:t>-巴中市2025年地下水开采控制控制量保持在1400万m</w:t>
                  </w:r>
                  <w:r>
                    <w:rPr>
                      <w:rFonts w:hint="eastAsia"/>
                      <w:bCs/>
                      <w:color w:val="auto"/>
                      <w:highlight w:val="none"/>
                      <w:vertAlign w:val="superscript"/>
                    </w:rPr>
                    <w:t>3</w:t>
                  </w:r>
                  <w:r>
                    <w:rPr>
                      <w:rFonts w:hint="eastAsia"/>
                      <w:bCs/>
                      <w:color w:val="auto"/>
                      <w:highlight w:val="none"/>
                    </w:rPr>
                    <w:t>以内。</w:t>
                  </w:r>
                </w:p>
                <w:p>
                  <w:pPr>
                    <w:rPr>
                      <w:rFonts w:hint="eastAsia"/>
                      <w:bCs/>
                      <w:color w:val="auto"/>
                      <w:highlight w:val="none"/>
                    </w:rPr>
                  </w:pPr>
                  <w:r>
                    <w:rPr>
                      <w:rFonts w:hint="eastAsia"/>
                      <w:bCs/>
                      <w:color w:val="auto"/>
                      <w:highlight w:val="none"/>
                    </w:rPr>
                    <w:t>-地下水开采量控制在可开采量的允许范围内，抑制用水过度增长。</w:t>
                  </w:r>
                </w:p>
                <w:p>
                  <w:pPr>
                    <w:rPr>
                      <w:rFonts w:hint="eastAsia"/>
                      <w:bCs/>
                      <w:color w:val="auto"/>
                      <w:highlight w:val="none"/>
                    </w:rPr>
                  </w:pPr>
                  <w:r>
                    <w:rPr>
                      <w:rFonts w:hint="eastAsia"/>
                      <w:bCs/>
                      <w:color w:val="auto"/>
                      <w:highlight w:val="none"/>
                    </w:rPr>
                    <w:t>能源利用总量及效率要求</w:t>
                  </w:r>
                </w:p>
                <w:p>
                  <w:pPr>
                    <w:rPr>
                      <w:rFonts w:hint="eastAsia"/>
                      <w:bCs/>
                      <w:color w:val="auto"/>
                      <w:highlight w:val="none"/>
                    </w:rPr>
                  </w:pPr>
                  <w:r>
                    <w:rPr>
                      <w:rFonts w:hint="eastAsia"/>
                      <w:bCs/>
                      <w:color w:val="auto"/>
                      <w:highlight w:val="none"/>
                    </w:rPr>
                    <w:t>-新、改扩建项目污染能耗指标满足《四川省省级生态工业园区指标》综合类生态工业园区要求。</w:t>
                  </w:r>
                </w:p>
                <w:p>
                  <w:pPr>
                    <w:rPr>
                      <w:rFonts w:hint="eastAsia"/>
                      <w:bCs/>
                      <w:color w:val="auto"/>
                      <w:highlight w:val="none"/>
                    </w:rPr>
                  </w:pPr>
                  <w:r>
                    <w:rPr>
                      <w:rFonts w:hint="eastAsia"/>
                      <w:bCs/>
                      <w:color w:val="auto"/>
                      <w:highlight w:val="none"/>
                    </w:rPr>
                    <w:t>-实施新建项目与煤炭消费总量控制挂钩机制，耗煤建设项目实行煤炭消耗等量减量替代。</w:t>
                  </w:r>
                </w:p>
                <w:p>
                  <w:pPr>
                    <w:rPr>
                      <w:rFonts w:hint="eastAsia"/>
                      <w:bCs/>
                      <w:color w:val="auto"/>
                      <w:highlight w:val="none"/>
                    </w:rPr>
                  </w:pPr>
                  <w:r>
                    <w:rPr>
                      <w:rFonts w:hint="eastAsia"/>
                      <w:bCs/>
                      <w:color w:val="auto"/>
                      <w:highlight w:val="none"/>
                    </w:rPr>
                    <w:t>-提高煤炭利用效率和天然气利用占比，工业领域有序推进“煤改电”和有序推进“煤改气”。</w:t>
                  </w:r>
                </w:p>
                <w:p>
                  <w:pPr>
                    <w:rPr>
                      <w:rFonts w:hint="eastAsia"/>
                      <w:bCs/>
                      <w:color w:val="auto"/>
                      <w:highlight w:val="none"/>
                    </w:rPr>
                  </w:pPr>
                  <w:r>
                    <w:rPr>
                      <w:rFonts w:hint="eastAsia"/>
                      <w:bCs/>
                      <w:color w:val="auto"/>
                      <w:highlight w:val="none"/>
                    </w:rPr>
                    <w:t>-全面淘汰每小时10蒸吨以下的燃煤锅炉；在供气管网覆盖不到的其他地区，改用电、新能源或洁净煤。</w:t>
                  </w:r>
                </w:p>
                <w:p>
                  <w:pPr>
                    <w:rPr>
                      <w:rFonts w:hint="eastAsia"/>
                      <w:bCs/>
                      <w:color w:val="auto"/>
                      <w:highlight w:val="none"/>
                    </w:rPr>
                  </w:pPr>
                  <w:r>
                    <w:rPr>
                      <w:rFonts w:hint="eastAsia"/>
                      <w:bCs/>
                      <w:color w:val="auto"/>
                      <w:highlight w:val="none"/>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rPr>
                      <w:rFonts w:hint="eastAsia"/>
                      <w:bCs/>
                      <w:color w:val="auto"/>
                      <w:highlight w:val="none"/>
                    </w:rPr>
                  </w:pPr>
                  <w:r>
                    <w:rPr>
                      <w:rFonts w:hint="eastAsia"/>
                      <w:bCs/>
                      <w:color w:val="auto"/>
                      <w:highlight w:val="none"/>
                    </w:rPr>
                    <w:t>禁燃区要求</w:t>
                  </w:r>
                </w:p>
                <w:p>
                  <w:pPr>
                    <w:rPr>
                      <w:rFonts w:hint="eastAsia"/>
                      <w:bCs/>
                      <w:color w:val="auto"/>
                      <w:highlight w:val="none"/>
                    </w:rPr>
                  </w:pPr>
                  <w:r>
                    <w:rPr>
                      <w:rFonts w:hint="eastAsia"/>
                      <w:bCs/>
                      <w:color w:val="auto"/>
                      <w:highlight w:val="none"/>
                    </w:rPr>
                    <w:t>在禁燃区内禁止销售、燃用高污染燃料。禁燃区内禁止新建、扩建燃用高污染燃料的设施。已建成的，应当于2021年12月31日前改用天然气、页岩气、液化石油气、电或其他清洁能源。现有燃用高污染燃料燃用设施在拆除或改造前，有关单位（企业）应当采取措施，确保大气污染物排放达到国家规定标准。</w:t>
                  </w:r>
                </w:p>
                <w:p>
                  <w:pPr>
                    <w:rPr>
                      <w:rFonts w:hint="eastAsia"/>
                      <w:bCs/>
                      <w:color w:val="auto"/>
                      <w:highlight w:val="none"/>
                    </w:rPr>
                  </w:pPr>
                  <w:r>
                    <w:rPr>
                      <w:rFonts w:hint="eastAsia"/>
                      <w:bCs/>
                      <w:color w:val="auto"/>
                      <w:highlight w:val="none"/>
                    </w:rPr>
                    <w:t>其他资源利用效率要求</w:t>
                  </w:r>
                </w:p>
                <w:p>
                  <w:pPr>
                    <w:rPr>
                      <w:rFonts w:hint="eastAsia"/>
                      <w:bCs/>
                      <w:color w:val="auto"/>
                      <w:highlight w:val="none"/>
                    </w:rPr>
                  </w:pPr>
                  <w:r>
                    <w:rPr>
                      <w:rFonts w:hint="eastAsia"/>
                      <w:bCs/>
                      <w:color w:val="auto"/>
                      <w:highlight w:val="none"/>
                    </w:rPr>
                    <w:t>到2025年，巴中市万元工业增加值用水降低至22.4m</w:t>
                  </w:r>
                  <w:r>
                    <w:rPr>
                      <w:rFonts w:hint="eastAsia"/>
                      <w:bCs/>
                      <w:color w:val="auto"/>
                      <w:highlight w:val="none"/>
                      <w:vertAlign w:val="superscript"/>
                    </w:rPr>
                    <w:t>3</w:t>
                  </w:r>
                  <w:r>
                    <w:rPr>
                      <w:rFonts w:hint="eastAsia"/>
                      <w:bCs/>
                      <w:color w:val="auto"/>
                      <w:highlight w:val="none"/>
                    </w:rPr>
                    <w:t>，工业用水重复利用率达到75.5%以上；到2030年，巴中市万元工业增加值用水量降低到17.1m</w:t>
                  </w:r>
                  <w:r>
                    <w:rPr>
                      <w:rFonts w:hint="eastAsia"/>
                      <w:bCs/>
                      <w:color w:val="auto"/>
                      <w:highlight w:val="none"/>
                      <w:vertAlign w:val="superscript"/>
                    </w:rPr>
                    <w:t>3</w:t>
                  </w:r>
                  <w:r>
                    <w:rPr>
                      <w:rFonts w:hint="eastAsia"/>
                      <w:bCs/>
                      <w:color w:val="auto"/>
                      <w:highlight w:val="none"/>
                    </w:rPr>
                    <w:t>，工业用水重复利用率达到81.3%以上。</w:t>
                  </w:r>
                </w:p>
                <w:p>
                  <w:pPr>
                    <w:rPr>
                      <w:rFonts w:hint="eastAsia"/>
                      <w:bCs/>
                      <w:color w:val="auto"/>
                      <w:highlight w:val="none"/>
                    </w:rPr>
                  </w:pPr>
                  <w:r>
                    <w:rPr>
                      <w:rFonts w:hint="eastAsia"/>
                      <w:bCs/>
                      <w:color w:val="auto"/>
                      <w:highlight w:val="none"/>
                    </w:rPr>
                    <w:t>-新、改扩建项目污染水耗指标满足《四川省省级生态工业园区指标》综合类生态工业园区要求。</w:t>
                  </w:r>
                </w:p>
                <w:p>
                  <w:pPr>
                    <w:rPr>
                      <w:rFonts w:hint="eastAsia"/>
                      <w:bCs/>
                      <w:color w:val="auto"/>
                      <w:highlight w:val="none"/>
                    </w:rPr>
                  </w:pPr>
                  <w:r>
                    <w:rPr>
                      <w:rFonts w:hint="eastAsia"/>
                      <w:bCs/>
                      <w:color w:val="auto"/>
                      <w:highlight w:val="none"/>
                    </w:rPr>
                    <w:t>-鼓励引导新建、改建、扩建工业园区应当按照有关要求统筹建设工业废水集中处理和回用设施，适时推进企业间串联用水、分质用水、一水多用，实现水循环梯级优化利用和废水集中处理回用，创建节水型工业园区。</w:t>
                  </w:r>
                </w:p>
                <w:p>
                  <w:pPr>
                    <w:rPr>
                      <w:bCs/>
                      <w:color w:val="auto"/>
                      <w:highlight w:val="none"/>
                    </w:rPr>
                  </w:pPr>
                  <w:r>
                    <w:rPr>
                      <w:rFonts w:hint="eastAsia"/>
                      <w:bCs/>
                      <w:color w:val="auto"/>
                      <w:highlight w:val="none"/>
                    </w:rPr>
                    <w:t>-鼓励火力发电、钢铁、纺织、造纸、石化和化工、食品和发酵等高耗水企业对废水进行深度处理回用，降低单位产品耗水量。火电、石化、钢铁、有色、造纸、印染等高耗水行业项目具备使用再生水条件但未有效利用的，要严格控制新增取水许可</w:t>
                  </w:r>
                </w:p>
              </w:tc>
              <w:tc>
                <w:tcPr>
                  <w:tcW w:w="1464" w:type="pct"/>
                  <w:noWrap w:val="0"/>
                  <w:vAlign w:val="center"/>
                </w:tcPr>
                <w:p>
                  <w:pPr>
                    <w:rPr>
                      <w:rFonts w:hint="eastAsia"/>
                      <w:bCs/>
                      <w:color w:val="auto"/>
                      <w:highlight w:val="none"/>
                      <w:vertAlign w:val="baseline"/>
                      <w:lang w:val="en-US" w:eastAsia="zh-CN"/>
                    </w:rPr>
                  </w:pPr>
                  <w:r>
                    <w:rPr>
                      <w:rFonts w:hint="eastAsia"/>
                      <w:bCs/>
                      <w:color w:val="auto"/>
                      <w:highlight w:val="none"/>
                      <w:lang w:val="en-US" w:eastAsia="zh-CN"/>
                    </w:rPr>
                    <w:t>本项目用水量为35591.8m</w:t>
                  </w:r>
                  <w:r>
                    <w:rPr>
                      <w:rFonts w:hint="eastAsia"/>
                      <w:bCs/>
                      <w:color w:val="auto"/>
                      <w:highlight w:val="none"/>
                      <w:vertAlign w:val="superscript"/>
                      <w:lang w:val="en-US" w:eastAsia="zh-CN"/>
                    </w:rPr>
                    <w:t>3</w:t>
                  </w:r>
                  <w:r>
                    <w:rPr>
                      <w:rFonts w:hint="eastAsia"/>
                      <w:bCs/>
                      <w:color w:val="auto"/>
                      <w:highlight w:val="none"/>
                      <w:vertAlign w:val="baseline"/>
                      <w:lang w:val="en-US" w:eastAsia="zh-CN"/>
                    </w:rPr>
                    <w:t>/a，使用自来水，不涉及开采地下水。</w:t>
                  </w:r>
                </w:p>
                <w:p>
                  <w:pPr>
                    <w:rPr>
                      <w:rFonts w:hint="eastAsia"/>
                      <w:bCs/>
                      <w:color w:val="auto"/>
                      <w:highlight w:val="none"/>
                      <w:vertAlign w:val="baseline"/>
                      <w:lang w:val="en-US" w:eastAsia="zh-CN"/>
                    </w:rPr>
                  </w:pPr>
                  <w:r>
                    <w:rPr>
                      <w:rFonts w:hint="eastAsia"/>
                      <w:bCs/>
                      <w:color w:val="auto"/>
                      <w:highlight w:val="none"/>
                      <w:vertAlign w:val="baseline"/>
                      <w:lang w:val="en-US" w:eastAsia="zh-CN"/>
                    </w:rPr>
                    <w:t>本项目使用燃气锅炉，不涉及燃煤锅炉。</w:t>
                  </w:r>
                </w:p>
                <w:p>
                  <w:pPr>
                    <w:rPr>
                      <w:rFonts w:hint="default"/>
                      <w:bCs/>
                      <w:color w:val="auto"/>
                      <w:highlight w:val="none"/>
                      <w:vertAlign w:val="baseline"/>
                      <w:lang w:val="en-US" w:eastAsia="zh-CN"/>
                    </w:rPr>
                  </w:pPr>
                  <w:r>
                    <w:rPr>
                      <w:rFonts w:hint="eastAsia"/>
                      <w:bCs/>
                      <w:color w:val="auto"/>
                      <w:highlight w:val="none"/>
                      <w:vertAlign w:val="baseline"/>
                      <w:lang w:val="en-US" w:eastAsia="zh-CN"/>
                    </w:rPr>
                    <w:t>本项目卤制用水、灭菌用水均为反复使用，水蒸气冷凝后回用，降低用水量。</w:t>
                  </w:r>
                </w:p>
              </w:tc>
              <w:tc>
                <w:tcPr>
                  <w:tcW w:w="202" w:type="pct"/>
                  <w:noWrap w:val="0"/>
                  <w:vAlign w:val="center"/>
                </w:tcPr>
                <w:p>
                  <w:pPr>
                    <w:jc w:val="center"/>
                    <w:rPr>
                      <w:bCs/>
                      <w:color w:val="auto"/>
                      <w:highlight w:val="none"/>
                    </w:rPr>
                  </w:pPr>
                  <w:r>
                    <w:rPr>
                      <w:rFonts w:hint="eastAsia"/>
                      <w:bCs/>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rFonts w:hint="eastAsia"/>
                      <w:bCs/>
                      <w:color w:val="auto"/>
                      <w:highlight w:val="none"/>
                    </w:rPr>
                  </w:pPr>
                </w:p>
              </w:tc>
              <w:tc>
                <w:tcPr>
                  <w:tcW w:w="207" w:type="pct"/>
                  <w:vMerge w:val="restart"/>
                  <w:noWrap w:val="0"/>
                  <w:vAlign w:val="center"/>
                </w:tcPr>
                <w:p>
                  <w:pPr>
                    <w:jc w:val="center"/>
                    <w:rPr>
                      <w:bCs/>
                      <w:color w:val="auto"/>
                      <w:highlight w:val="none"/>
                    </w:rPr>
                  </w:pPr>
                  <w:r>
                    <w:rPr>
                      <w:rFonts w:hint="eastAsia"/>
                      <w:bCs/>
                      <w:color w:val="auto"/>
                      <w:highlight w:val="none"/>
                    </w:rPr>
                    <w:t>单元</w:t>
                  </w:r>
                  <w:r>
                    <w:rPr>
                      <w:rFonts w:hint="eastAsia"/>
                      <w:bCs/>
                      <w:color w:val="auto"/>
                      <w:highlight w:val="none"/>
                      <w:lang w:val="en-US" w:eastAsia="zh-CN"/>
                    </w:rPr>
                    <w:t>级清单</w:t>
                  </w:r>
                  <w:r>
                    <w:rPr>
                      <w:rFonts w:hint="eastAsia"/>
                      <w:bCs/>
                      <w:color w:val="auto"/>
                      <w:highlight w:val="none"/>
                    </w:rPr>
                    <w:t>管控要求</w:t>
                  </w:r>
                </w:p>
              </w:tc>
              <w:tc>
                <w:tcPr>
                  <w:tcW w:w="312" w:type="pct"/>
                  <w:noWrap w:val="0"/>
                  <w:vAlign w:val="center"/>
                </w:tcPr>
                <w:p>
                  <w:pPr>
                    <w:jc w:val="center"/>
                    <w:rPr>
                      <w:bCs/>
                      <w:color w:val="auto"/>
                      <w:highlight w:val="none"/>
                    </w:rPr>
                  </w:pPr>
                  <w:r>
                    <w:rPr>
                      <w:rFonts w:hint="eastAsia"/>
                      <w:bCs/>
                      <w:color w:val="auto"/>
                      <w:highlight w:val="none"/>
                    </w:rPr>
                    <w:t>空间布局约束</w:t>
                  </w:r>
                </w:p>
              </w:tc>
              <w:tc>
                <w:tcPr>
                  <w:tcW w:w="2505" w:type="pct"/>
                  <w:noWrap w:val="0"/>
                  <w:vAlign w:val="center"/>
                </w:tcPr>
                <w:p>
                  <w:pPr>
                    <w:rPr>
                      <w:rFonts w:hint="eastAsia"/>
                      <w:bCs/>
                      <w:color w:val="auto"/>
                      <w:highlight w:val="none"/>
                    </w:rPr>
                  </w:pPr>
                  <w:r>
                    <w:rPr>
                      <w:rFonts w:hint="eastAsia"/>
                      <w:bCs/>
                      <w:color w:val="auto"/>
                      <w:highlight w:val="none"/>
                    </w:rPr>
                    <w:t>禁止开发建设活动的要求</w:t>
                  </w:r>
                </w:p>
                <w:p>
                  <w:pPr>
                    <w:rPr>
                      <w:rFonts w:hint="eastAsia"/>
                      <w:bCs/>
                      <w:color w:val="auto"/>
                      <w:highlight w:val="none"/>
                    </w:rPr>
                  </w:pPr>
                  <w:r>
                    <w:rPr>
                      <w:rFonts w:hint="eastAsia"/>
                      <w:bCs/>
                      <w:color w:val="auto"/>
                      <w:highlight w:val="none"/>
                    </w:rPr>
                    <w:t>（1）禁止引入不符合国家环保法律法规、行业准入条件的项目，列入国家产能过剩的项目，列入产业结构指导目录禁止类项目；（2）禁止引入不符合国家及省、市重金属防治规划要求的项目（3）清洁生产水平不能达到行业清洁生产标准二级标准要求或低于全国同类企业平均清洁生产水平的项目（4）禁止引入印染染整、皮革鞣制、制浆造纸，酿造、化学纤维制造、石化、基础化工（基础化学原料、肥料、农药等）、石墨、燃煤火电、化学药品原料药制造、化学药品制剂制造，兽用药品制造以及主导产业存在明显制约的项目（5）禁止引入有毒有害、危险品的仓储、物流配送项目（6）禁止引入涉及被列入《环境保护综合名录》中高污染产品及生产工艺的项目（7）其他执行工业重点管控单元总体准入要求</w:t>
                  </w:r>
                </w:p>
                <w:p>
                  <w:pPr>
                    <w:rPr>
                      <w:rFonts w:hint="eastAsia"/>
                      <w:bCs/>
                      <w:color w:val="auto"/>
                      <w:highlight w:val="none"/>
                    </w:rPr>
                  </w:pPr>
                  <w:r>
                    <w:rPr>
                      <w:rFonts w:hint="eastAsia"/>
                      <w:bCs/>
                      <w:color w:val="auto"/>
                      <w:highlight w:val="none"/>
                    </w:rPr>
                    <w:t>限制开发建设活动的要求</w:t>
                  </w:r>
                </w:p>
                <w:p>
                  <w:pPr>
                    <w:rPr>
                      <w:rFonts w:hint="eastAsia"/>
                      <w:bCs/>
                      <w:color w:val="auto"/>
                      <w:highlight w:val="none"/>
                    </w:rPr>
                  </w:pPr>
                  <w:r>
                    <w:rPr>
                      <w:rFonts w:hint="eastAsia"/>
                      <w:bCs/>
                      <w:color w:val="auto"/>
                      <w:highlight w:val="none"/>
                    </w:rPr>
                    <w:t>执行工业重点管控单元总体管控要求</w:t>
                  </w:r>
                </w:p>
                <w:p>
                  <w:pPr>
                    <w:rPr>
                      <w:rFonts w:hint="eastAsia"/>
                      <w:bCs/>
                      <w:color w:val="auto"/>
                      <w:highlight w:val="none"/>
                    </w:rPr>
                  </w:pPr>
                  <w:r>
                    <w:rPr>
                      <w:rFonts w:hint="eastAsia"/>
                      <w:bCs/>
                      <w:color w:val="auto"/>
                      <w:highlight w:val="none"/>
                    </w:rPr>
                    <w:t>允许开发建设活动的要求</w:t>
                  </w:r>
                </w:p>
                <w:p>
                  <w:pPr>
                    <w:rPr>
                      <w:rFonts w:hint="eastAsia"/>
                      <w:bCs/>
                      <w:color w:val="auto"/>
                      <w:highlight w:val="none"/>
                    </w:rPr>
                  </w:pPr>
                  <w:r>
                    <w:rPr>
                      <w:rFonts w:hint="eastAsia"/>
                      <w:bCs/>
                      <w:color w:val="auto"/>
                      <w:highlight w:val="none"/>
                    </w:rPr>
                    <w:t>不符合空间布局要求活动的退出要求</w:t>
                  </w:r>
                </w:p>
                <w:p>
                  <w:pPr>
                    <w:rPr>
                      <w:rFonts w:hint="eastAsia"/>
                      <w:bCs/>
                      <w:color w:val="auto"/>
                      <w:highlight w:val="none"/>
                    </w:rPr>
                  </w:pPr>
                  <w:r>
                    <w:rPr>
                      <w:rFonts w:hint="eastAsia"/>
                      <w:bCs/>
                      <w:color w:val="auto"/>
                      <w:highlight w:val="none"/>
                    </w:rPr>
                    <w:t>执行工业重点管控单元总体管控要求</w:t>
                  </w:r>
                </w:p>
                <w:p>
                  <w:pPr>
                    <w:rPr>
                      <w:bCs/>
                      <w:color w:val="auto"/>
                      <w:highlight w:val="none"/>
                    </w:rPr>
                  </w:pPr>
                  <w:r>
                    <w:rPr>
                      <w:rFonts w:hint="eastAsia"/>
                      <w:bCs/>
                      <w:color w:val="auto"/>
                      <w:highlight w:val="none"/>
                    </w:rPr>
                    <w:t>其他空间布局约束要求</w:t>
                  </w:r>
                </w:p>
              </w:tc>
              <w:tc>
                <w:tcPr>
                  <w:tcW w:w="1464" w:type="pct"/>
                  <w:noWrap w:val="0"/>
                  <w:vAlign w:val="center"/>
                </w:tcPr>
                <w:p>
                  <w:pPr>
                    <w:rPr>
                      <w:rFonts w:hint="eastAsia" w:eastAsia="宋体"/>
                      <w:bCs/>
                      <w:color w:val="auto"/>
                      <w:highlight w:val="none"/>
                      <w:lang w:val="en-US" w:eastAsia="zh-CN"/>
                    </w:rPr>
                  </w:pPr>
                  <w:r>
                    <w:rPr>
                      <w:rFonts w:hint="eastAsia"/>
                      <w:bCs/>
                      <w:color w:val="auto"/>
                      <w:highlight w:val="none"/>
                      <w:lang w:val="en-US" w:eastAsia="zh-CN"/>
                    </w:rPr>
                    <w:t>本项目为</w:t>
                  </w:r>
                  <w:r>
                    <w:rPr>
                      <w:rFonts w:hint="eastAsia" w:ascii="Times New Roman" w:hAnsi="Times New Roman" w:cs="Times New Roman"/>
                      <w:color w:val="auto"/>
                      <w:szCs w:val="21"/>
                      <w:highlight w:val="none"/>
                      <w:lang w:val="en-US" w:eastAsia="zh-CN"/>
                    </w:rPr>
                    <w:t>豆制品制造</w:t>
                  </w:r>
                  <w:r>
                    <w:rPr>
                      <w:rFonts w:hint="eastAsia"/>
                      <w:bCs/>
                      <w:color w:val="auto"/>
                      <w:highlight w:val="none"/>
                      <w:lang w:val="en-US" w:eastAsia="zh-CN"/>
                    </w:rPr>
                    <w:t>项目，根据《产业结构调整指导目录（2021修订本）》，属于允许类项目，不属于</w:t>
                  </w:r>
                  <w:r>
                    <w:rPr>
                      <w:rFonts w:hint="eastAsia"/>
                      <w:bCs/>
                      <w:color w:val="auto"/>
                      <w:highlight w:val="none"/>
                    </w:rPr>
                    <w:t>不符合国家环保法律法规、行业准入条件的项目，</w:t>
                  </w:r>
                  <w:r>
                    <w:rPr>
                      <w:rFonts w:hint="eastAsia"/>
                      <w:bCs/>
                      <w:color w:val="auto"/>
                      <w:highlight w:val="none"/>
                      <w:lang w:val="en-US" w:eastAsia="zh-CN"/>
                    </w:rPr>
                    <w:t>不属于</w:t>
                  </w:r>
                  <w:r>
                    <w:rPr>
                      <w:rFonts w:hint="eastAsia"/>
                      <w:bCs/>
                      <w:color w:val="auto"/>
                      <w:highlight w:val="none"/>
                    </w:rPr>
                    <w:t>列入国家产能过剩的项目，</w:t>
                  </w:r>
                  <w:r>
                    <w:rPr>
                      <w:rFonts w:hint="eastAsia"/>
                      <w:bCs/>
                      <w:color w:val="auto"/>
                      <w:highlight w:val="none"/>
                      <w:lang w:val="en-US" w:eastAsia="zh-CN"/>
                    </w:rPr>
                    <w:t>不属于</w:t>
                  </w:r>
                  <w:r>
                    <w:rPr>
                      <w:rFonts w:hint="eastAsia"/>
                      <w:bCs/>
                      <w:color w:val="auto"/>
                      <w:highlight w:val="none"/>
                    </w:rPr>
                    <w:t>列入产业结构指导目录禁止类项目</w:t>
                  </w:r>
                  <w:r>
                    <w:rPr>
                      <w:rFonts w:hint="eastAsia"/>
                      <w:bCs/>
                      <w:color w:val="auto"/>
                      <w:highlight w:val="none"/>
                      <w:lang w:eastAsia="zh-CN"/>
                    </w:rPr>
                    <w:t>；</w:t>
                  </w:r>
                  <w:r>
                    <w:rPr>
                      <w:rFonts w:hint="eastAsia"/>
                      <w:bCs/>
                      <w:color w:val="auto"/>
                      <w:highlight w:val="none"/>
                      <w:lang w:val="en-US" w:eastAsia="zh-CN"/>
                    </w:rPr>
                    <w:t>本项目不涉及重金属，不属于</w:t>
                  </w:r>
                  <w:r>
                    <w:rPr>
                      <w:rFonts w:hint="eastAsia"/>
                      <w:bCs/>
                      <w:color w:val="auto"/>
                      <w:highlight w:val="none"/>
                    </w:rPr>
                    <w:t>印染染整、皮革鞣制、制浆造纸，酿造、化学纤维制造、石化、基础化工、石墨、燃煤火电、化学药品原料药制造、化学药品制剂制造</w:t>
                  </w:r>
                  <w:r>
                    <w:rPr>
                      <w:rFonts w:hint="eastAsia"/>
                      <w:bCs/>
                      <w:color w:val="auto"/>
                      <w:highlight w:val="none"/>
                      <w:lang w:eastAsia="zh-CN"/>
                    </w:rPr>
                    <w:t>、</w:t>
                  </w:r>
                  <w:r>
                    <w:rPr>
                      <w:rFonts w:hint="eastAsia"/>
                      <w:bCs/>
                      <w:color w:val="auto"/>
                      <w:highlight w:val="none"/>
                    </w:rPr>
                    <w:t>兽用药品制造</w:t>
                  </w:r>
                  <w:r>
                    <w:rPr>
                      <w:rFonts w:hint="eastAsia"/>
                      <w:bCs/>
                      <w:color w:val="auto"/>
                      <w:highlight w:val="none"/>
                      <w:lang w:val="en-US" w:eastAsia="zh-CN"/>
                    </w:rPr>
                    <w:t>项目，不属于</w:t>
                  </w:r>
                  <w:r>
                    <w:rPr>
                      <w:rFonts w:hint="eastAsia"/>
                      <w:bCs/>
                      <w:color w:val="auto"/>
                      <w:highlight w:val="none"/>
                    </w:rPr>
                    <w:t>有毒有害、危险品的仓储、物流配送</w:t>
                  </w:r>
                  <w:r>
                    <w:rPr>
                      <w:rFonts w:hint="eastAsia"/>
                      <w:bCs/>
                      <w:color w:val="auto"/>
                      <w:highlight w:val="none"/>
                      <w:lang w:val="en-US" w:eastAsia="zh-CN"/>
                    </w:rPr>
                    <w:t>项目，不</w:t>
                  </w:r>
                  <w:r>
                    <w:rPr>
                      <w:rFonts w:hint="eastAsia"/>
                      <w:bCs/>
                      <w:color w:val="auto"/>
                      <w:highlight w:val="none"/>
                    </w:rPr>
                    <w:t>涉及被列入《环境保护综合名录》中高污染产品及生产工艺的项目</w:t>
                  </w:r>
                  <w:r>
                    <w:rPr>
                      <w:rFonts w:hint="eastAsia"/>
                      <w:bCs/>
                      <w:color w:val="auto"/>
                      <w:highlight w:val="none"/>
                      <w:lang w:eastAsia="zh-CN"/>
                    </w:rPr>
                    <w:t>。</w:t>
                  </w:r>
                </w:p>
              </w:tc>
              <w:tc>
                <w:tcPr>
                  <w:tcW w:w="202" w:type="pct"/>
                  <w:noWrap w:val="0"/>
                  <w:vAlign w:val="center"/>
                </w:tcPr>
                <w:p>
                  <w:pPr>
                    <w:jc w:val="center"/>
                    <w:rPr>
                      <w:bCs/>
                      <w:color w:val="auto"/>
                      <w:highlight w:val="none"/>
                    </w:rPr>
                  </w:pPr>
                  <w:r>
                    <w:rPr>
                      <w:rFonts w:hint="eastAsia"/>
                      <w:bCs/>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bCs/>
                      <w:color w:val="auto"/>
                      <w:highlight w:val="none"/>
                    </w:rPr>
                  </w:pPr>
                </w:p>
              </w:tc>
              <w:tc>
                <w:tcPr>
                  <w:tcW w:w="207" w:type="pct"/>
                  <w:vMerge w:val="continue"/>
                  <w:noWrap w:val="0"/>
                  <w:vAlign w:val="center"/>
                </w:tcPr>
                <w:p>
                  <w:pPr>
                    <w:jc w:val="center"/>
                    <w:rPr>
                      <w:bCs/>
                      <w:color w:val="auto"/>
                      <w:highlight w:val="none"/>
                    </w:rPr>
                  </w:pPr>
                </w:p>
              </w:tc>
              <w:tc>
                <w:tcPr>
                  <w:tcW w:w="312" w:type="pct"/>
                  <w:noWrap w:val="0"/>
                  <w:vAlign w:val="center"/>
                </w:tcPr>
                <w:p>
                  <w:pPr>
                    <w:jc w:val="center"/>
                    <w:rPr>
                      <w:bCs/>
                      <w:color w:val="auto"/>
                      <w:highlight w:val="none"/>
                    </w:rPr>
                  </w:pPr>
                  <w:r>
                    <w:rPr>
                      <w:rFonts w:hint="eastAsia"/>
                      <w:bCs/>
                      <w:color w:val="auto"/>
                      <w:highlight w:val="none"/>
                    </w:rPr>
                    <w:t>污染物排放管控</w:t>
                  </w:r>
                </w:p>
              </w:tc>
              <w:tc>
                <w:tcPr>
                  <w:tcW w:w="2505" w:type="pct"/>
                  <w:noWrap w:val="0"/>
                  <w:vAlign w:val="center"/>
                </w:tcPr>
                <w:p>
                  <w:pPr>
                    <w:rPr>
                      <w:rFonts w:hint="eastAsia"/>
                      <w:bCs/>
                      <w:color w:val="auto"/>
                      <w:highlight w:val="none"/>
                    </w:rPr>
                  </w:pPr>
                  <w:r>
                    <w:rPr>
                      <w:rFonts w:hint="eastAsia"/>
                      <w:bCs/>
                      <w:color w:val="auto"/>
                      <w:highlight w:val="none"/>
                    </w:rPr>
                    <w:t>现有源提标升级改造</w:t>
                  </w:r>
                </w:p>
                <w:p>
                  <w:pPr>
                    <w:rPr>
                      <w:rFonts w:hint="eastAsia"/>
                      <w:bCs/>
                      <w:color w:val="auto"/>
                      <w:highlight w:val="none"/>
                    </w:rPr>
                  </w:pPr>
                  <w:r>
                    <w:rPr>
                      <w:rFonts w:hint="eastAsia"/>
                      <w:bCs/>
                      <w:color w:val="auto"/>
                      <w:highlight w:val="none"/>
                    </w:rPr>
                    <w:t>（1）污水处理厂尚在调试，园区内各企业污水自建污水设施进行处理。有相关行业标准的执行相应的行业排放标准；无行业标准的执行《污水综合排放标准》（GB8978-1996）中表1第一类污染物最高允许排放浓度和表4第二类污染物最高允许排放浓度中的三级排放标准限值；（2）其他执行工业重点管控单元总体准入要求</w:t>
                  </w:r>
                </w:p>
                <w:p>
                  <w:pPr>
                    <w:rPr>
                      <w:rFonts w:hint="eastAsia"/>
                      <w:bCs/>
                      <w:color w:val="auto"/>
                      <w:highlight w:val="none"/>
                    </w:rPr>
                  </w:pPr>
                  <w:r>
                    <w:rPr>
                      <w:rFonts w:hint="eastAsia"/>
                      <w:bCs/>
                      <w:color w:val="auto"/>
                      <w:highlight w:val="none"/>
                    </w:rPr>
                    <w:t>新增源等量或倍量替代</w:t>
                  </w:r>
                </w:p>
                <w:p>
                  <w:pPr>
                    <w:rPr>
                      <w:rFonts w:hint="eastAsia"/>
                      <w:bCs/>
                      <w:color w:val="auto"/>
                      <w:highlight w:val="none"/>
                    </w:rPr>
                  </w:pPr>
                  <w:r>
                    <w:rPr>
                      <w:rFonts w:hint="eastAsia"/>
                      <w:bCs/>
                      <w:color w:val="auto"/>
                      <w:highlight w:val="none"/>
                    </w:rPr>
                    <w:t>执行工业重点管控单元总体准入要求</w:t>
                  </w:r>
                </w:p>
                <w:p>
                  <w:pPr>
                    <w:rPr>
                      <w:rFonts w:hint="eastAsia"/>
                      <w:bCs/>
                      <w:color w:val="auto"/>
                      <w:highlight w:val="none"/>
                    </w:rPr>
                  </w:pPr>
                  <w:r>
                    <w:rPr>
                      <w:rFonts w:hint="eastAsia"/>
                      <w:bCs/>
                      <w:color w:val="auto"/>
                      <w:highlight w:val="none"/>
                    </w:rPr>
                    <w:t>新增源排放标准限值</w:t>
                  </w:r>
                </w:p>
                <w:p>
                  <w:pPr>
                    <w:rPr>
                      <w:rFonts w:hint="eastAsia"/>
                      <w:bCs/>
                      <w:color w:val="auto"/>
                      <w:highlight w:val="none"/>
                    </w:rPr>
                  </w:pPr>
                  <w:r>
                    <w:rPr>
                      <w:rFonts w:hint="eastAsia"/>
                      <w:bCs/>
                      <w:color w:val="auto"/>
                      <w:highlight w:val="none"/>
                    </w:rPr>
                    <w:t>（1）污水处理厂出水执行《城镇污水厂污染物排放标准》（GB18918-2002）一级标准的A标准。（2）其他执行工业重点管控单元总体准入要求。</w:t>
                  </w:r>
                </w:p>
                <w:p>
                  <w:pPr>
                    <w:rPr>
                      <w:rFonts w:hint="eastAsia"/>
                      <w:bCs/>
                      <w:color w:val="auto"/>
                      <w:highlight w:val="none"/>
                    </w:rPr>
                  </w:pPr>
                  <w:r>
                    <w:rPr>
                      <w:rFonts w:hint="eastAsia"/>
                      <w:bCs/>
                      <w:color w:val="auto"/>
                      <w:highlight w:val="none"/>
                    </w:rPr>
                    <w:t>污染物排放绩效水平准入要求</w:t>
                  </w:r>
                </w:p>
                <w:p>
                  <w:pPr>
                    <w:rPr>
                      <w:rFonts w:hint="eastAsia"/>
                      <w:bCs/>
                      <w:color w:val="auto"/>
                      <w:highlight w:val="none"/>
                    </w:rPr>
                  </w:pPr>
                  <w:r>
                    <w:rPr>
                      <w:rFonts w:hint="eastAsia"/>
                      <w:bCs/>
                      <w:color w:val="auto"/>
                      <w:highlight w:val="none"/>
                    </w:rPr>
                    <w:t>（1）食品饮料重点行业项目新建应参考巴中市“三线一单”生态环境分区管控中食品饮料行业环境绩效准入门槛，对食品饮料产业中的白酒行业和肉制品加工行业执行GB27631-2011行业标准和《清洁生产评价指标体系 肉制品加工业》（DB11/T 1405-2017），单位产品废水量≤14m</w:t>
                  </w:r>
                  <w:r>
                    <w:rPr>
                      <w:rFonts w:hint="eastAsia"/>
                      <w:bCs/>
                      <w:color w:val="auto"/>
                      <w:highlight w:val="none"/>
                      <w:vertAlign w:val="superscript"/>
                    </w:rPr>
                    <w:t>3</w:t>
                  </w:r>
                  <w:r>
                    <w:rPr>
                      <w:rFonts w:hint="eastAsia"/>
                      <w:bCs/>
                      <w:color w:val="auto"/>
                      <w:highlight w:val="none"/>
                    </w:rPr>
                    <w:t>/t，单位产品化学需氧量（COD</w:t>
                  </w:r>
                  <w:r>
                    <w:rPr>
                      <w:rFonts w:hint="eastAsia"/>
                      <w:bCs/>
                      <w:color w:val="auto"/>
                      <w:highlight w:val="none"/>
                      <w:vertAlign w:val="subscript"/>
                    </w:rPr>
                    <w:t>Cr</w:t>
                  </w:r>
                  <w:r>
                    <w:rPr>
                      <w:rFonts w:hint="eastAsia"/>
                      <w:bCs/>
                      <w:color w:val="auto"/>
                      <w:highlight w:val="none"/>
                    </w:rPr>
                    <w:t>）产生量≤16.1kg/t、单位产品氨氮（NH</w:t>
                  </w:r>
                  <w:r>
                    <w:rPr>
                      <w:rFonts w:hint="eastAsia"/>
                      <w:bCs/>
                      <w:color w:val="auto"/>
                      <w:highlight w:val="none"/>
                      <w:vertAlign w:val="subscript"/>
                    </w:rPr>
                    <w:t>3</w:t>
                  </w:r>
                  <w:r>
                    <w:rPr>
                      <w:rFonts w:hint="eastAsia"/>
                      <w:bCs/>
                      <w:color w:val="auto"/>
                      <w:highlight w:val="none"/>
                    </w:rPr>
                    <w:t>-N）≤0.65kg/t（2）其他执行工业重点管控单元总体准入要求。</w:t>
                  </w:r>
                </w:p>
                <w:p>
                  <w:pPr>
                    <w:rPr>
                      <w:bCs/>
                      <w:color w:val="auto"/>
                      <w:highlight w:val="none"/>
                    </w:rPr>
                  </w:pPr>
                  <w:r>
                    <w:rPr>
                      <w:rFonts w:hint="eastAsia"/>
                      <w:bCs/>
                      <w:color w:val="auto"/>
                      <w:highlight w:val="none"/>
                    </w:rPr>
                    <w:t>其他污染物排放管控要求</w:t>
                  </w:r>
                </w:p>
              </w:tc>
              <w:tc>
                <w:tcPr>
                  <w:tcW w:w="1464" w:type="pct"/>
                  <w:noWrap w:val="0"/>
                  <w:vAlign w:val="center"/>
                </w:tcPr>
                <w:p>
                  <w:pPr>
                    <w:rPr>
                      <w:rFonts w:hint="default" w:eastAsia="宋体"/>
                      <w:bCs/>
                      <w:color w:val="auto"/>
                      <w:highlight w:val="none"/>
                      <w:lang w:val="en-US" w:eastAsia="zh-CN"/>
                    </w:rPr>
                  </w:pPr>
                  <w:r>
                    <w:rPr>
                      <w:rFonts w:hint="eastAsia"/>
                      <w:bCs/>
                      <w:color w:val="auto"/>
                      <w:highlight w:val="none"/>
                      <w:lang w:val="en-US" w:eastAsia="zh-CN"/>
                    </w:rPr>
                    <w:t>本项目依托已建预处理池、隔油池、污水处理站，废水经预处理池、隔油池、污水处理站处理后达</w:t>
                  </w:r>
                  <w:r>
                    <w:rPr>
                      <w:rFonts w:hint="eastAsia"/>
                      <w:bCs/>
                      <w:color w:val="auto"/>
                      <w:highlight w:val="none"/>
                    </w:rPr>
                    <w:t>《污水综合排放标准》（GB8978-1996）</w:t>
                  </w:r>
                  <w:r>
                    <w:rPr>
                      <w:rFonts w:hint="eastAsia"/>
                      <w:bCs/>
                      <w:color w:val="auto"/>
                      <w:highlight w:val="none"/>
                      <w:lang w:val="en-US" w:eastAsia="zh-CN"/>
                    </w:rPr>
                    <w:t>后排入市政管网，经污水处理厂处理后达</w:t>
                  </w:r>
                  <w:r>
                    <w:rPr>
                      <w:rFonts w:hint="eastAsia"/>
                      <w:bCs/>
                      <w:color w:val="auto"/>
                      <w:highlight w:val="none"/>
                    </w:rPr>
                    <w:t>《城镇污水厂污染物排放标准》（GB18918-2002）一级</w:t>
                  </w:r>
                  <w:r>
                    <w:rPr>
                      <w:rFonts w:hint="eastAsia"/>
                      <w:bCs/>
                      <w:color w:val="auto"/>
                      <w:highlight w:val="none"/>
                      <w:lang w:val="en-US" w:eastAsia="zh-CN"/>
                    </w:rPr>
                    <w:t>A标准（近期）后排入大坝河。</w:t>
                  </w:r>
                </w:p>
              </w:tc>
              <w:tc>
                <w:tcPr>
                  <w:tcW w:w="202" w:type="pct"/>
                  <w:noWrap w:val="0"/>
                  <w:vAlign w:val="center"/>
                </w:tcPr>
                <w:p>
                  <w:pPr>
                    <w:jc w:val="center"/>
                    <w:rPr>
                      <w:bCs/>
                      <w:color w:val="auto"/>
                      <w:highlight w:val="none"/>
                    </w:rPr>
                  </w:pPr>
                  <w:r>
                    <w:rPr>
                      <w:rFonts w:hint="eastAsia"/>
                      <w:bCs/>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bCs/>
                      <w:color w:val="auto"/>
                      <w:highlight w:val="none"/>
                    </w:rPr>
                  </w:pPr>
                </w:p>
              </w:tc>
              <w:tc>
                <w:tcPr>
                  <w:tcW w:w="207" w:type="pct"/>
                  <w:vMerge w:val="continue"/>
                  <w:noWrap w:val="0"/>
                  <w:vAlign w:val="center"/>
                </w:tcPr>
                <w:p>
                  <w:pPr>
                    <w:jc w:val="center"/>
                    <w:rPr>
                      <w:bCs/>
                      <w:color w:val="auto"/>
                      <w:highlight w:val="none"/>
                    </w:rPr>
                  </w:pPr>
                </w:p>
              </w:tc>
              <w:tc>
                <w:tcPr>
                  <w:tcW w:w="312" w:type="pct"/>
                  <w:noWrap w:val="0"/>
                  <w:vAlign w:val="center"/>
                </w:tcPr>
                <w:p>
                  <w:pPr>
                    <w:jc w:val="center"/>
                    <w:rPr>
                      <w:bCs/>
                      <w:color w:val="auto"/>
                      <w:highlight w:val="none"/>
                    </w:rPr>
                  </w:pPr>
                  <w:r>
                    <w:rPr>
                      <w:rFonts w:hint="eastAsia"/>
                      <w:bCs/>
                      <w:color w:val="auto"/>
                      <w:highlight w:val="none"/>
                    </w:rPr>
                    <w:t>环境风险防控</w:t>
                  </w:r>
                </w:p>
              </w:tc>
              <w:tc>
                <w:tcPr>
                  <w:tcW w:w="2505" w:type="pct"/>
                  <w:noWrap w:val="0"/>
                  <w:vAlign w:val="center"/>
                </w:tcPr>
                <w:p>
                  <w:pPr>
                    <w:rPr>
                      <w:bCs/>
                      <w:color w:val="auto"/>
                      <w:highlight w:val="none"/>
                      <w:lang w:val="en-US" w:eastAsia="zh-CN"/>
                    </w:rPr>
                  </w:pPr>
                  <w:r>
                    <w:rPr>
                      <w:rFonts w:hint="eastAsia"/>
                      <w:bCs/>
                      <w:color w:val="auto"/>
                      <w:highlight w:val="none"/>
                      <w:lang w:val="en-US" w:eastAsia="zh-CN"/>
                    </w:rPr>
                    <w:t>严格管控类农用地管控要求</w:t>
                  </w:r>
                </w:p>
                <w:p>
                  <w:pPr>
                    <w:rPr>
                      <w:rFonts w:hint="eastAsia"/>
                      <w:bCs/>
                      <w:color w:val="auto"/>
                      <w:highlight w:val="none"/>
                      <w:lang w:val="en-US" w:eastAsia="zh-CN"/>
                    </w:rPr>
                  </w:pPr>
                  <w:r>
                    <w:rPr>
                      <w:rFonts w:hint="eastAsia"/>
                      <w:bCs/>
                      <w:color w:val="auto"/>
                      <w:highlight w:val="none"/>
                      <w:lang w:val="en-US" w:eastAsia="zh-CN"/>
                    </w:rPr>
                    <w:t>执行工业重点管控单元总体管控要求。</w:t>
                  </w:r>
                </w:p>
                <w:p>
                  <w:pPr>
                    <w:rPr>
                      <w:rFonts w:hint="eastAsia"/>
                      <w:bCs/>
                      <w:color w:val="auto"/>
                      <w:highlight w:val="none"/>
                      <w:lang w:val="en-US" w:eastAsia="zh-CN"/>
                    </w:rPr>
                  </w:pPr>
                  <w:r>
                    <w:rPr>
                      <w:rFonts w:hint="eastAsia"/>
                      <w:bCs/>
                      <w:color w:val="auto"/>
                      <w:highlight w:val="none"/>
                      <w:lang w:val="en-US" w:eastAsia="zh-CN"/>
                    </w:rPr>
                    <w:t>安全利用类农用地管控要求</w:t>
                  </w:r>
                </w:p>
                <w:p>
                  <w:pPr>
                    <w:rPr>
                      <w:rFonts w:hint="eastAsia"/>
                      <w:bCs/>
                      <w:color w:val="auto"/>
                      <w:highlight w:val="none"/>
                      <w:lang w:val="en-US" w:eastAsia="zh-CN"/>
                    </w:rPr>
                  </w:pPr>
                  <w:r>
                    <w:rPr>
                      <w:rFonts w:hint="eastAsia"/>
                      <w:bCs/>
                      <w:color w:val="auto"/>
                      <w:highlight w:val="none"/>
                      <w:lang w:val="en-US" w:eastAsia="zh-CN"/>
                    </w:rPr>
                    <w:t>执行工业重点管控单元总体管控要求。</w:t>
                  </w:r>
                </w:p>
                <w:p>
                  <w:pPr>
                    <w:rPr>
                      <w:rFonts w:hint="eastAsia"/>
                      <w:bCs/>
                      <w:color w:val="auto"/>
                      <w:highlight w:val="none"/>
                      <w:lang w:val="en-US" w:eastAsia="zh-CN"/>
                    </w:rPr>
                  </w:pPr>
                  <w:r>
                    <w:rPr>
                      <w:rFonts w:hint="eastAsia"/>
                      <w:bCs/>
                      <w:color w:val="auto"/>
                      <w:highlight w:val="none"/>
                      <w:lang w:val="en-US" w:eastAsia="zh-CN"/>
                    </w:rPr>
                    <w:t>污染地块管控要求</w:t>
                  </w:r>
                </w:p>
                <w:p>
                  <w:pPr>
                    <w:rPr>
                      <w:rFonts w:hint="eastAsia"/>
                      <w:bCs/>
                      <w:color w:val="auto"/>
                      <w:highlight w:val="none"/>
                      <w:lang w:val="en-US" w:eastAsia="zh-CN"/>
                    </w:rPr>
                  </w:pPr>
                  <w:r>
                    <w:rPr>
                      <w:rFonts w:hint="eastAsia"/>
                      <w:bCs/>
                      <w:color w:val="auto"/>
                      <w:highlight w:val="none"/>
                      <w:lang w:val="en-US" w:eastAsia="zh-CN"/>
                    </w:rPr>
                    <w:t>执行工业重点管控单元总体管控要求。</w:t>
                  </w:r>
                </w:p>
                <w:p>
                  <w:pPr>
                    <w:rPr>
                      <w:rFonts w:hint="eastAsia"/>
                      <w:bCs/>
                      <w:color w:val="auto"/>
                      <w:highlight w:val="none"/>
                      <w:lang w:val="en-US" w:eastAsia="zh-CN"/>
                    </w:rPr>
                  </w:pPr>
                  <w:r>
                    <w:rPr>
                      <w:rFonts w:hint="eastAsia"/>
                      <w:bCs/>
                      <w:color w:val="auto"/>
                      <w:highlight w:val="none"/>
                      <w:lang w:val="en-US" w:eastAsia="zh-CN"/>
                    </w:rPr>
                    <w:t>园区环境风险防控要求</w:t>
                  </w:r>
                </w:p>
                <w:p>
                  <w:pPr>
                    <w:rPr>
                      <w:rFonts w:hint="eastAsia"/>
                      <w:bCs/>
                      <w:color w:val="auto"/>
                      <w:highlight w:val="none"/>
                      <w:lang w:val="en-US" w:eastAsia="zh-CN"/>
                    </w:rPr>
                  </w:pPr>
                  <w:r>
                    <w:rPr>
                      <w:rFonts w:hint="eastAsia"/>
                      <w:bCs/>
                      <w:color w:val="auto"/>
                      <w:highlight w:val="none"/>
                      <w:lang w:val="en-US" w:eastAsia="zh-CN"/>
                    </w:rPr>
                    <w:t>（1）严格限制靠近居民区的企业采用液氮、液氨作制冷剂，鼓励选用臭氧破坏潜势（ODP）为零的环境友好型冷煤。其他执行工业重点管控单元总体准入要求。</w:t>
                  </w:r>
                </w:p>
                <w:p>
                  <w:pPr>
                    <w:rPr>
                      <w:rFonts w:hint="eastAsia"/>
                      <w:bCs/>
                      <w:color w:val="auto"/>
                      <w:highlight w:val="none"/>
                      <w:lang w:val="en-US" w:eastAsia="zh-CN"/>
                    </w:rPr>
                  </w:pPr>
                  <w:r>
                    <w:rPr>
                      <w:rFonts w:hint="eastAsia"/>
                      <w:bCs/>
                      <w:color w:val="auto"/>
                      <w:highlight w:val="none"/>
                      <w:lang w:val="en-US" w:eastAsia="zh-CN"/>
                    </w:rPr>
                    <w:t>企业环境风险防控要求</w:t>
                  </w:r>
                </w:p>
                <w:p>
                  <w:pPr>
                    <w:rPr>
                      <w:rFonts w:hint="eastAsia"/>
                      <w:bCs/>
                      <w:color w:val="auto"/>
                      <w:highlight w:val="none"/>
                      <w:lang w:val="en-US" w:eastAsia="zh-CN"/>
                    </w:rPr>
                  </w:pPr>
                  <w:r>
                    <w:rPr>
                      <w:rFonts w:hint="eastAsia"/>
                      <w:bCs/>
                      <w:color w:val="auto"/>
                      <w:highlight w:val="none"/>
                      <w:lang w:val="en-US" w:eastAsia="zh-CN"/>
                    </w:rPr>
                    <w:t>执行工业重点管控单元总体管控要求。</w:t>
                  </w:r>
                </w:p>
                <w:p>
                  <w:pPr>
                    <w:rPr>
                      <w:bCs/>
                      <w:color w:val="auto"/>
                      <w:highlight w:val="none"/>
                    </w:rPr>
                  </w:pPr>
                  <w:r>
                    <w:rPr>
                      <w:rFonts w:hint="eastAsia"/>
                      <w:bCs/>
                      <w:color w:val="auto"/>
                      <w:highlight w:val="none"/>
                      <w:lang w:val="en-US" w:eastAsia="zh-CN"/>
                    </w:rPr>
                    <w:t>其他环境风险防控要求</w:t>
                  </w:r>
                </w:p>
              </w:tc>
              <w:tc>
                <w:tcPr>
                  <w:tcW w:w="1464" w:type="pct"/>
                  <w:noWrap w:val="0"/>
                  <w:vAlign w:val="center"/>
                </w:tcPr>
                <w:p>
                  <w:pPr>
                    <w:rPr>
                      <w:rFonts w:hint="default" w:eastAsia="宋体"/>
                      <w:bCs/>
                      <w:color w:val="auto"/>
                      <w:highlight w:val="none"/>
                      <w:lang w:val="en-US" w:eastAsia="zh-CN"/>
                    </w:rPr>
                  </w:pPr>
                  <w:r>
                    <w:rPr>
                      <w:rFonts w:hint="eastAsia"/>
                      <w:bCs/>
                      <w:color w:val="auto"/>
                      <w:highlight w:val="none"/>
                      <w:lang w:val="en-US" w:eastAsia="zh-CN"/>
                    </w:rPr>
                    <w:t>本项目使用R22作制冷剂，不使用液氮、液氨，R22使用量较小，对臭氧层的影响较小。</w:t>
                  </w:r>
                </w:p>
              </w:tc>
              <w:tc>
                <w:tcPr>
                  <w:tcW w:w="202" w:type="pct"/>
                  <w:noWrap w:val="0"/>
                  <w:vAlign w:val="center"/>
                </w:tcPr>
                <w:p>
                  <w:pPr>
                    <w:jc w:val="center"/>
                    <w:rPr>
                      <w:bCs/>
                      <w:color w:val="auto"/>
                      <w:highlight w:val="none"/>
                    </w:rPr>
                  </w:pPr>
                  <w:r>
                    <w:rPr>
                      <w:rFonts w:hint="eastAsia"/>
                      <w:bCs/>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bCs/>
                      <w:color w:val="auto"/>
                      <w:highlight w:val="none"/>
                    </w:rPr>
                  </w:pPr>
                </w:p>
              </w:tc>
              <w:tc>
                <w:tcPr>
                  <w:tcW w:w="207" w:type="pct"/>
                  <w:vMerge w:val="continue"/>
                  <w:noWrap w:val="0"/>
                  <w:vAlign w:val="center"/>
                </w:tcPr>
                <w:p>
                  <w:pPr>
                    <w:jc w:val="center"/>
                    <w:rPr>
                      <w:bCs/>
                      <w:color w:val="auto"/>
                      <w:highlight w:val="none"/>
                    </w:rPr>
                  </w:pPr>
                </w:p>
              </w:tc>
              <w:tc>
                <w:tcPr>
                  <w:tcW w:w="312" w:type="pct"/>
                  <w:noWrap w:val="0"/>
                  <w:vAlign w:val="center"/>
                </w:tcPr>
                <w:p>
                  <w:pPr>
                    <w:jc w:val="center"/>
                    <w:rPr>
                      <w:bCs/>
                      <w:color w:val="auto"/>
                      <w:highlight w:val="none"/>
                    </w:rPr>
                  </w:pPr>
                  <w:r>
                    <w:rPr>
                      <w:rFonts w:hint="eastAsia"/>
                      <w:bCs/>
                      <w:color w:val="auto"/>
                      <w:highlight w:val="none"/>
                    </w:rPr>
                    <w:t>资源开发效率要求</w:t>
                  </w:r>
                </w:p>
              </w:tc>
              <w:tc>
                <w:tcPr>
                  <w:tcW w:w="2505" w:type="pct"/>
                  <w:noWrap w:val="0"/>
                  <w:vAlign w:val="center"/>
                </w:tcPr>
                <w:p>
                  <w:pPr>
                    <w:rPr>
                      <w:bCs/>
                      <w:color w:val="auto"/>
                      <w:highlight w:val="none"/>
                      <w:lang w:val="en-US" w:eastAsia="zh-CN"/>
                    </w:rPr>
                  </w:pPr>
                  <w:r>
                    <w:rPr>
                      <w:rFonts w:hint="eastAsia"/>
                      <w:bCs/>
                      <w:color w:val="auto"/>
                      <w:highlight w:val="none"/>
                      <w:lang w:val="en-US" w:eastAsia="zh-CN"/>
                    </w:rPr>
                    <w:t>水资源利用效率要求</w:t>
                  </w:r>
                </w:p>
                <w:p>
                  <w:pPr>
                    <w:rPr>
                      <w:rFonts w:hint="eastAsia"/>
                      <w:bCs/>
                      <w:color w:val="auto"/>
                      <w:highlight w:val="none"/>
                      <w:lang w:val="en-US" w:eastAsia="zh-CN"/>
                    </w:rPr>
                  </w:pPr>
                  <w:r>
                    <w:rPr>
                      <w:rFonts w:hint="eastAsia"/>
                      <w:bCs/>
                      <w:color w:val="auto"/>
                      <w:highlight w:val="none"/>
                      <w:lang w:val="en-US" w:eastAsia="zh-CN"/>
                    </w:rPr>
                    <w:t>执行工业重点管控单元总体管控要求。</w:t>
                  </w:r>
                </w:p>
                <w:p>
                  <w:pPr>
                    <w:rPr>
                      <w:rFonts w:hint="eastAsia"/>
                      <w:bCs/>
                      <w:color w:val="auto"/>
                      <w:highlight w:val="none"/>
                      <w:lang w:val="en-US" w:eastAsia="zh-CN"/>
                    </w:rPr>
                  </w:pPr>
                  <w:r>
                    <w:rPr>
                      <w:rFonts w:hint="eastAsia"/>
                      <w:bCs/>
                      <w:color w:val="auto"/>
                      <w:highlight w:val="none"/>
                      <w:lang w:val="en-US" w:eastAsia="zh-CN"/>
                    </w:rPr>
                    <w:t>地下水开采要求</w:t>
                  </w:r>
                </w:p>
                <w:p>
                  <w:pPr>
                    <w:rPr>
                      <w:rFonts w:hint="eastAsia"/>
                      <w:bCs/>
                      <w:color w:val="auto"/>
                      <w:highlight w:val="none"/>
                      <w:lang w:val="en-US" w:eastAsia="zh-CN"/>
                    </w:rPr>
                  </w:pPr>
                  <w:r>
                    <w:rPr>
                      <w:rFonts w:hint="eastAsia"/>
                      <w:bCs/>
                      <w:color w:val="auto"/>
                      <w:highlight w:val="none"/>
                      <w:lang w:val="en-US" w:eastAsia="zh-CN"/>
                    </w:rPr>
                    <w:t>执行工业重点管控单元总体管控要求。</w:t>
                  </w:r>
                </w:p>
                <w:p>
                  <w:pPr>
                    <w:rPr>
                      <w:rFonts w:hint="eastAsia"/>
                      <w:bCs/>
                      <w:color w:val="auto"/>
                      <w:highlight w:val="none"/>
                      <w:lang w:val="en-US" w:eastAsia="zh-CN"/>
                    </w:rPr>
                  </w:pPr>
                  <w:r>
                    <w:rPr>
                      <w:rFonts w:hint="eastAsia"/>
                      <w:bCs/>
                      <w:color w:val="auto"/>
                      <w:highlight w:val="none"/>
                      <w:lang w:val="en-US" w:eastAsia="zh-CN"/>
                    </w:rPr>
                    <w:t>能源利用效率要求</w:t>
                  </w:r>
                </w:p>
                <w:p>
                  <w:pPr>
                    <w:rPr>
                      <w:rFonts w:hint="eastAsia"/>
                      <w:bCs/>
                      <w:color w:val="auto"/>
                      <w:highlight w:val="none"/>
                      <w:lang w:val="en-US" w:eastAsia="zh-CN"/>
                    </w:rPr>
                  </w:pPr>
                  <w:r>
                    <w:rPr>
                      <w:rFonts w:hint="eastAsia"/>
                      <w:bCs/>
                      <w:color w:val="auto"/>
                      <w:highlight w:val="none"/>
                      <w:lang w:val="en-US" w:eastAsia="zh-CN"/>
                    </w:rPr>
                    <w:t>执行工业重点管控单元总体管控要求。</w:t>
                  </w:r>
                </w:p>
                <w:p>
                  <w:pPr>
                    <w:rPr>
                      <w:bCs/>
                      <w:color w:val="auto"/>
                      <w:highlight w:val="none"/>
                    </w:rPr>
                  </w:pPr>
                  <w:r>
                    <w:rPr>
                      <w:rFonts w:hint="eastAsia"/>
                      <w:bCs/>
                      <w:color w:val="auto"/>
                      <w:highlight w:val="none"/>
                      <w:lang w:val="en-US" w:eastAsia="zh-CN"/>
                    </w:rPr>
                    <w:t>其他资源利用效率要求</w:t>
                  </w:r>
                </w:p>
              </w:tc>
              <w:tc>
                <w:tcPr>
                  <w:tcW w:w="1464" w:type="pct"/>
                  <w:noWrap w:val="0"/>
                  <w:vAlign w:val="center"/>
                </w:tcPr>
                <w:p>
                  <w:pPr>
                    <w:rPr>
                      <w:rFonts w:hint="eastAsia" w:eastAsia="宋体"/>
                      <w:bCs/>
                      <w:color w:val="auto"/>
                      <w:highlight w:val="none"/>
                      <w:lang w:val="en-US" w:eastAsia="zh-CN"/>
                    </w:rPr>
                  </w:pPr>
                  <w:r>
                    <w:rPr>
                      <w:rFonts w:hint="eastAsia"/>
                      <w:bCs/>
                      <w:color w:val="auto"/>
                      <w:highlight w:val="none"/>
                      <w:lang w:val="en-US" w:eastAsia="zh-CN"/>
                    </w:rPr>
                    <w:t>/</w:t>
                  </w:r>
                </w:p>
              </w:tc>
              <w:tc>
                <w:tcPr>
                  <w:tcW w:w="202" w:type="pct"/>
                  <w:noWrap w:val="0"/>
                  <w:vAlign w:val="center"/>
                </w:tcPr>
                <w:p>
                  <w:pPr>
                    <w:jc w:val="center"/>
                    <w:rPr>
                      <w:rFonts w:hint="eastAsia" w:eastAsia="宋体"/>
                      <w:bCs/>
                      <w:color w:val="auto"/>
                      <w:highlight w:val="none"/>
                      <w:lang w:eastAsia="zh-CN"/>
                    </w:rPr>
                  </w:pPr>
                  <w:r>
                    <w:rPr>
                      <w:rFonts w:hint="eastAsia"/>
                      <w:bCs/>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restart"/>
                  <w:noWrap w:val="0"/>
                  <w:vAlign w:val="center"/>
                </w:tcPr>
                <w:p>
                  <w:pPr>
                    <w:jc w:val="center"/>
                    <w:rPr>
                      <w:rFonts w:hint="eastAsia"/>
                      <w:bCs/>
                      <w:color w:val="auto"/>
                      <w:highlight w:val="none"/>
                    </w:rPr>
                  </w:pPr>
                  <w:r>
                    <w:rPr>
                      <w:rFonts w:hint="eastAsia"/>
                      <w:bCs/>
                      <w:color w:val="auto"/>
                      <w:highlight w:val="none"/>
                    </w:rPr>
                    <w:t>水环境工业污染重点管控区YS5119032210001</w:t>
                  </w:r>
                  <w:r>
                    <w:rPr>
                      <w:rFonts w:hint="eastAsia"/>
                      <w:bCs/>
                      <w:color w:val="auto"/>
                      <w:highlight w:val="none"/>
                      <w:lang w:val="en-US" w:eastAsia="zh-CN"/>
                    </w:rPr>
                    <w:t>大坝河-恩阳区-巴中市恩阳食品工业园-控制单元</w:t>
                  </w:r>
                </w:p>
              </w:tc>
              <w:tc>
                <w:tcPr>
                  <w:tcW w:w="207" w:type="pct"/>
                  <w:vMerge w:val="restart"/>
                  <w:noWrap w:val="0"/>
                  <w:vAlign w:val="center"/>
                </w:tcPr>
                <w:p>
                  <w:pPr>
                    <w:jc w:val="center"/>
                    <w:rPr>
                      <w:rFonts w:hint="eastAsia"/>
                      <w:bCs/>
                      <w:color w:val="auto"/>
                      <w:highlight w:val="none"/>
                    </w:rPr>
                  </w:pPr>
                  <w:r>
                    <w:rPr>
                      <w:rFonts w:hint="eastAsia"/>
                      <w:bCs/>
                      <w:color w:val="auto"/>
                      <w:highlight w:val="none"/>
                    </w:rPr>
                    <w:t>普适性清单</w:t>
                  </w:r>
                  <w:r>
                    <w:rPr>
                      <w:rFonts w:hint="eastAsia"/>
                      <w:bCs/>
                      <w:color w:val="auto"/>
                      <w:highlight w:val="none"/>
                      <w:lang w:val="en-US" w:eastAsia="zh-CN"/>
                    </w:rPr>
                    <w:t>管控要求</w:t>
                  </w:r>
                </w:p>
              </w:tc>
              <w:tc>
                <w:tcPr>
                  <w:tcW w:w="312" w:type="pct"/>
                  <w:noWrap w:val="0"/>
                  <w:vAlign w:val="center"/>
                </w:tcPr>
                <w:p>
                  <w:pPr>
                    <w:jc w:val="center"/>
                    <w:rPr>
                      <w:rFonts w:hint="eastAsia" w:ascii="Times New Roman" w:hAnsi="Times New Roman" w:eastAsia="宋体" w:cs="Times New Roman"/>
                      <w:bCs/>
                      <w:color w:val="auto"/>
                      <w:kern w:val="2"/>
                      <w:sz w:val="21"/>
                      <w:szCs w:val="24"/>
                      <w:highlight w:val="none"/>
                      <w:lang w:val="en-US" w:eastAsia="zh-CN" w:bidi="ar-SA"/>
                    </w:rPr>
                  </w:pPr>
                  <w:r>
                    <w:rPr>
                      <w:rFonts w:hint="eastAsia" w:ascii="宋体" w:hAnsi="宋体" w:cs="宋体"/>
                      <w:color w:val="auto"/>
                      <w:kern w:val="0"/>
                      <w:szCs w:val="21"/>
                      <w:highlight w:val="none"/>
                    </w:rPr>
                    <w:t>空间布局约束</w:t>
                  </w:r>
                </w:p>
              </w:tc>
              <w:tc>
                <w:tcPr>
                  <w:tcW w:w="2505" w:type="pct"/>
                  <w:noWrap w:val="0"/>
                  <w:vAlign w:val="center"/>
                </w:tcPr>
                <w:p>
                  <w:pPr>
                    <w:rPr>
                      <w:rFonts w:hint="eastAsia"/>
                      <w:bCs/>
                      <w:color w:val="auto"/>
                      <w:highlight w:val="none"/>
                    </w:rPr>
                  </w:pPr>
                  <w:r>
                    <w:rPr>
                      <w:rFonts w:hint="eastAsia"/>
                      <w:bCs/>
                      <w:color w:val="auto"/>
                      <w:highlight w:val="none"/>
                    </w:rPr>
                    <w:t>禁止开发建设活动的要求</w:t>
                  </w:r>
                </w:p>
                <w:p>
                  <w:pPr>
                    <w:rPr>
                      <w:rFonts w:hint="eastAsia"/>
                      <w:bCs/>
                      <w:color w:val="auto"/>
                      <w:highlight w:val="none"/>
                    </w:rPr>
                  </w:pPr>
                  <w:r>
                    <w:rPr>
                      <w:rFonts w:hint="eastAsia"/>
                      <w:bCs/>
                      <w:color w:val="auto"/>
                      <w:highlight w:val="none"/>
                    </w:rPr>
                    <w:t>暂无</w:t>
                  </w:r>
                </w:p>
                <w:p>
                  <w:pPr>
                    <w:rPr>
                      <w:rFonts w:hint="eastAsia"/>
                      <w:bCs/>
                      <w:color w:val="auto"/>
                      <w:highlight w:val="none"/>
                    </w:rPr>
                  </w:pPr>
                  <w:r>
                    <w:rPr>
                      <w:rFonts w:hint="eastAsia"/>
                      <w:bCs/>
                      <w:color w:val="auto"/>
                      <w:highlight w:val="none"/>
                    </w:rPr>
                    <w:t>限制开发建设活动的要求</w:t>
                  </w:r>
                </w:p>
                <w:p>
                  <w:pPr>
                    <w:rPr>
                      <w:rFonts w:hint="eastAsia"/>
                      <w:bCs/>
                      <w:color w:val="auto"/>
                      <w:highlight w:val="none"/>
                    </w:rPr>
                  </w:pPr>
                  <w:r>
                    <w:rPr>
                      <w:rFonts w:hint="eastAsia"/>
                      <w:bCs/>
                      <w:color w:val="auto"/>
                      <w:highlight w:val="none"/>
                    </w:rPr>
                    <w:t>暂无</w:t>
                  </w:r>
                </w:p>
                <w:p>
                  <w:pPr>
                    <w:rPr>
                      <w:rFonts w:hint="eastAsia"/>
                      <w:bCs/>
                      <w:color w:val="auto"/>
                      <w:highlight w:val="none"/>
                    </w:rPr>
                  </w:pPr>
                  <w:r>
                    <w:rPr>
                      <w:rFonts w:hint="eastAsia"/>
                      <w:bCs/>
                      <w:color w:val="auto"/>
                      <w:highlight w:val="none"/>
                    </w:rPr>
                    <w:t>不符合空间布局要求活动的退出要求</w:t>
                  </w:r>
                </w:p>
                <w:p>
                  <w:pPr>
                    <w:rPr>
                      <w:rFonts w:hint="eastAsia"/>
                      <w:bCs/>
                      <w:color w:val="auto"/>
                      <w:highlight w:val="none"/>
                    </w:rPr>
                  </w:pPr>
                  <w:r>
                    <w:rPr>
                      <w:rFonts w:hint="eastAsia"/>
                      <w:bCs/>
                      <w:color w:val="auto"/>
                      <w:highlight w:val="none"/>
                    </w:rPr>
                    <w:t>暂无</w:t>
                  </w:r>
                </w:p>
                <w:p>
                  <w:pPr>
                    <w:rPr>
                      <w:rFonts w:hint="eastAsia"/>
                      <w:bCs/>
                      <w:color w:val="auto"/>
                      <w:highlight w:val="none"/>
                    </w:rPr>
                  </w:pPr>
                  <w:r>
                    <w:rPr>
                      <w:rFonts w:hint="eastAsia"/>
                      <w:bCs/>
                      <w:color w:val="auto"/>
                      <w:highlight w:val="none"/>
                    </w:rPr>
                    <w:t>其他空间布局约束要求</w:t>
                  </w:r>
                </w:p>
                <w:p>
                  <w:pPr>
                    <w:rPr>
                      <w:rFonts w:hint="eastAsia"/>
                      <w:bCs/>
                      <w:color w:val="auto"/>
                      <w:highlight w:val="none"/>
                    </w:rPr>
                  </w:pPr>
                  <w:r>
                    <w:rPr>
                      <w:rFonts w:hint="eastAsia"/>
                      <w:bCs/>
                      <w:color w:val="auto"/>
                      <w:highlight w:val="none"/>
                    </w:rPr>
                    <w:t>暂无</w:t>
                  </w:r>
                </w:p>
              </w:tc>
              <w:tc>
                <w:tcPr>
                  <w:tcW w:w="1464" w:type="pct"/>
                  <w:noWrap w:val="0"/>
                  <w:vAlign w:val="center"/>
                </w:tcPr>
                <w:p>
                  <w:pPr>
                    <w:rPr>
                      <w:rFonts w:hint="default" w:eastAsia="宋体"/>
                      <w:bCs/>
                      <w:color w:val="auto"/>
                      <w:highlight w:val="none"/>
                      <w:lang w:val="en-US" w:eastAsia="zh-CN"/>
                    </w:rPr>
                  </w:pPr>
                  <w:r>
                    <w:rPr>
                      <w:rFonts w:hint="eastAsia" w:eastAsia="宋体"/>
                      <w:bCs/>
                      <w:color w:val="auto"/>
                      <w:highlight w:val="none"/>
                      <w:lang w:val="en-US" w:eastAsia="zh-CN"/>
                    </w:rPr>
                    <w:t>/</w:t>
                  </w:r>
                </w:p>
              </w:tc>
              <w:tc>
                <w:tcPr>
                  <w:tcW w:w="202" w:type="pct"/>
                  <w:noWrap w:val="0"/>
                  <w:vAlign w:val="center"/>
                </w:tcPr>
                <w:p>
                  <w:pPr>
                    <w:jc w:val="center"/>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Cs/>
                      <w:color w:val="auto"/>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rFonts w:hint="eastAsia"/>
                      <w:bCs/>
                      <w:color w:val="auto"/>
                      <w:highlight w:val="none"/>
                    </w:rPr>
                  </w:pPr>
                </w:p>
              </w:tc>
              <w:tc>
                <w:tcPr>
                  <w:tcW w:w="207" w:type="pct"/>
                  <w:vMerge w:val="continue"/>
                  <w:noWrap w:val="0"/>
                  <w:vAlign w:val="center"/>
                </w:tcPr>
                <w:p>
                  <w:pPr>
                    <w:jc w:val="center"/>
                    <w:rPr>
                      <w:rFonts w:hint="eastAsia"/>
                      <w:bCs/>
                      <w:color w:val="auto"/>
                      <w:highlight w:val="none"/>
                    </w:rPr>
                  </w:pPr>
                </w:p>
              </w:tc>
              <w:tc>
                <w:tcPr>
                  <w:tcW w:w="312" w:type="pct"/>
                  <w:noWrap w:val="0"/>
                  <w:vAlign w:val="center"/>
                </w:tcPr>
                <w:p>
                  <w:pPr>
                    <w:jc w:val="center"/>
                    <w:rPr>
                      <w:rFonts w:hint="eastAsia" w:ascii="Times New Roman" w:hAnsi="Times New Roman" w:eastAsia="宋体" w:cs="Times New Roman"/>
                      <w:bCs/>
                      <w:color w:val="auto"/>
                      <w:kern w:val="2"/>
                      <w:sz w:val="21"/>
                      <w:szCs w:val="24"/>
                      <w:highlight w:val="none"/>
                      <w:lang w:val="en-US" w:eastAsia="zh-CN" w:bidi="ar-SA"/>
                    </w:rPr>
                  </w:pPr>
                  <w:r>
                    <w:rPr>
                      <w:rFonts w:hint="eastAsia"/>
                      <w:bCs/>
                      <w:color w:val="auto"/>
                      <w:highlight w:val="none"/>
                    </w:rPr>
                    <w:t>污染物排放管控</w:t>
                  </w:r>
                </w:p>
              </w:tc>
              <w:tc>
                <w:tcPr>
                  <w:tcW w:w="2505" w:type="pct"/>
                  <w:noWrap w:val="0"/>
                  <w:vAlign w:val="center"/>
                </w:tcPr>
                <w:p>
                  <w:pPr>
                    <w:rPr>
                      <w:rFonts w:hint="eastAsia"/>
                      <w:bCs/>
                      <w:color w:val="auto"/>
                      <w:highlight w:val="none"/>
                    </w:rPr>
                  </w:pPr>
                  <w:r>
                    <w:rPr>
                      <w:rFonts w:hint="eastAsia"/>
                      <w:bCs/>
                      <w:color w:val="auto"/>
                      <w:highlight w:val="none"/>
                    </w:rPr>
                    <w:t>允许排放量要求</w:t>
                  </w:r>
                </w:p>
                <w:p>
                  <w:pPr>
                    <w:rPr>
                      <w:rFonts w:hint="eastAsia"/>
                      <w:bCs/>
                      <w:color w:val="auto"/>
                      <w:highlight w:val="none"/>
                    </w:rPr>
                  </w:pPr>
                  <w:r>
                    <w:rPr>
                      <w:rFonts w:hint="eastAsia"/>
                      <w:bCs/>
                      <w:color w:val="auto"/>
                      <w:highlight w:val="none"/>
                    </w:rPr>
                    <w:t>暂无</w:t>
                  </w:r>
                </w:p>
                <w:p>
                  <w:pPr>
                    <w:rPr>
                      <w:rFonts w:hint="eastAsia"/>
                      <w:bCs/>
                      <w:color w:val="auto"/>
                      <w:highlight w:val="none"/>
                    </w:rPr>
                  </w:pPr>
                  <w:r>
                    <w:rPr>
                      <w:rFonts w:hint="eastAsia"/>
                      <w:bCs/>
                      <w:color w:val="auto"/>
                      <w:highlight w:val="none"/>
                    </w:rPr>
                    <w:t>现有源提标升级改造</w:t>
                  </w:r>
                </w:p>
                <w:p>
                  <w:pPr>
                    <w:rPr>
                      <w:rFonts w:hint="eastAsia"/>
                      <w:bCs/>
                      <w:color w:val="auto"/>
                      <w:highlight w:val="none"/>
                    </w:rPr>
                  </w:pPr>
                  <w:r>
                    <w:rPr>
                      <w:rFonts w:hint="eastAsia"/>
                      <w:bCs/>
                      <w:color w:val="auto"/>
                      <w:highlight w:val="none"/>
                    </w:rPr>
                    <w:t>暂无</w:t>
                  </w:r>
                </w:p>
                <w:p>
                  <w:pPr>
                    <w:rPr>
                      <w:rFonts w:hint="eastAsia"/>
                      <w:bCs/>
                      <w:color w:val="auto"/>
                      <w:highlight w:val="none"/>
                    </w:rPr>
                  </w:pPr>
                  <w:r>
                    <w:rPr>
                      <w:rFonts w:hint="eastAsia"/>
                      <w:bCs/>
                      <w:color w:val="auto"/>
                      <w:highlight w:val="none"/>
                    </w:rPr>
                    <w:t>其他污染物排放管控要求</w:t>
                  </w:r>
                </w:p>
                <w:p>
                  <w:pPr>
                    <w:rPr>
                      <w:rFonts w:hint="eastAsia"/>
                      <w:bCs/>
                      <w:color w:val="auto"/>
                      <w:highlight w:val="none"/>
                    </w:rPr>
                  </w:pPr>
                  <w:r>
                    <w:rPr>
                      <w:rFonts w:hint="eastAsia"/>
                      <w:bCs/>
                      <w:color w:val="auto"/>
                      <w:highlight w:val="none"/>
                    </w:rPr>
                    <w:t>暂无</w:t>
                  </w:r>
                </w:p>
              </w:tc>
              <w:tc>
                <w:tcPr>
                  <w:tcW w:w="1464" w:type="pct"/>
                  <w:noWrap w:val="0"/>
                  <w:vAlign w:val="center"/>
                </w:tcPr>
                <w:p>
                  <w:pPr>
                    <w:rPr>
                      <w:rFonts w:hint="default" w:eastAsia="宋体"/>
                      <w:bCs/>
                      <w:color w:val="auto"/>
                      <w:highlight w:val="none"/>
                      <w:lang w:val="en-US" w:eastAsia="zh-CN"/>
                    </w:rPr>
                  </w:pPr>
                  <w:r>
                    <w:rPr>
                      <w:rFonts w:hint="eastAsia" w:eastAsia="宋体"/>
                      <w:bCs/>
                      <w:color w:val="auto"/>
                      <w:highlight w:val="none"/>
                      <w:lang w:val="en-US" w:eastAsia="zh-CN"/>
                    </w:rPr>
                    <w:t>/</w:t>
                  </w:r>
                </w:p>
              </w:tc>
              <w:tc>
                <w:tcPr>
                  <w:tcW w:w="202" w:type="pct"/>
                  <w:noWrap w:val="0"/>
                  <w:vAlign w:val="center"/>
                </w:tcPr>
                <w:p>
                  <w:pPr>
                    <w:jc w:val="center"/>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Cs/>
                      <w:color w:val="auto"/>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rFonts w:hint="eastAsia"/>
                      <w:bCs/>
                      <w:color w:val="auto"/>
                      <w:highlight w:val="none"/>
                    </w:rPr>
                  </w:pPr>
                </w:p>
              </w:tc>
              <w:tc>
                <w:tcPr>
                  <w:tcW w:w="207" w:type="pct"/>
                  <w:vMerge w:val="continue"/>
                  <w:noWrap w:val="0"/>
                  <w:vAlign w:val="center"/>
                </w:tcPr>
                <w:p>
                  <w:pPr>
                    <w:jc w:val="center"/>
                    <w:rPr>
                      <w:rFonts w:hint="eastAsia"/>
                      <w:bCs/>
                      <w:color w:val="auto"/>
                      <w:highlight w:val="none"/>
                    </w:rPr>
                  </w:pPr>
                </w:p>
              </w:tc>
              <w:tc>
                <w:tcPr>
                  <w:tcW w:w="312" w:type="pct"/>
                  <w:noWrap w:val="0"/>
                  <w:vAlign w:val="center"/>
                </w:tcPr>
                <w:p>
                  <w:pPr>
                    <w:jc w:val="center"/>
                    <w:rPr>
                      <w:rFonts w:hint="eastAsia" w:ascii="Times New Roman" w:hAnsi="Times New Roman" w:eastAsia="宋体" w:cs="Times New Roman"/>
                      <w:bCs/>
                      <w:color w:val="auto"/>
                      <w:kern w:val="2"/>
                      <w:sz w:val="21"/>
                      <w:szCs w:val="24"/>
                      <w:highlight w:val="none"/>
                      <w:lang w:val="en-US" w:eastAsia="zh-CN" w:bidi="ar-SA"/>
                    </w:rPr>
                  </w:pPr>
                  <w:r>
                    <w:rPr>
                      <w:rFonts w:hint="eastAsia"/>
                      <w:bCs/>
                      <w:color w:val="auto"/>
                      <w:highlight w:val="none"/>
                    </w:rPr>
                    <w:t>环境风险防控</w:t>
                  </w:r>
                </w:p>
              </w:tc>
              <w:tc>
                <w:tcPr>
                  <w:tcW w:w="2505" w:type="pct"/>
                  <w:noWrap w:val="0"/>
                  <w:vAlign w:val="center"/>
                </w:tcPr>
                <w:p>
                  <w:pPr>
                    <w:rPr>
                      <w:rFonts w:hint="eastAsia"/>
                      <w:bCs/>
                      <w:color w:val="auto"/>
                      <w:highlight w:val="none"/>
                    </w:rPr>
                  </w:pPr>
                  <w:r>
                    <w:rPr>
                      <w:rFonts w:hint="eastAsia"/>
                      <w:bCs/>
                      <w:color w:val="auto"/>
                      <w:highlight w:val="none"/>
                    </w:rPr>
                    <w:t>联防联控要求</w:t>
                  </w:r>
                </w:p>
                <w:p>
                  <w:pPr>
                    <w:rPr>
                      <w:rFonts w:hint="eastAsia"/>
                      <w:bCs/>
                      <w:color w:val="auto"/>
                      <w:highlight w:val="none"/>
                    </w:rPr>
                  </w:pPr>
                  <w:r>
                    <w:rPr>
                      <w:rFonts w:hint="eastAsia"/>
                      <w:bCs/>
                      <w:color w:val="auto"/>
                      <w:highlight w:val="none"/>
                    </w:rPr>
                    <w:t>暂无</w:t>
                  </w:r>
                </w:p>
                <w:p>
                  <w:pPr>
                    <w:rPr>
                      <w:rFonts w:hint="eastAsia"/>
                      <w:bCs/>
                      <w:color w:val="auto"/>
                      <w:highlight w:val="none"/>
                    </w:rPr>
                  </w:pPr>
                  <w:r>
                    <w:rPr>
                      <w:rFonts w:hint="eastAsia"/>
                      <w:bCs/>
                      <w:color w:val="auto"/>
                      <w:highlight w:val="none"/>
                    </w:rPr>
                    <w:t>其他环境风险防控要求</w:t>
                  </w:r>
                </w:p>
                <w:p>
                  <w:pPr>
                    <w:rPr>
                      <w:rFonts w:hint="eastAsia"/>
                      <w:bCs/>
                      <w:color w:val="auto"/>
                      <w:highlight w:val="none"/>
                    </w:rPr>
                  </w:pPr>
                  <w:r>
                    <w:rPr>
                      <w:rFonts w:hint="eastAsia"/>
                      <w:bCs/>
                      <w:color w:val="auto"/>
                      <w:highlight w:val="none"/>
                    </w:rPr>
                    <w:t>暂无</w:t>
                  </w:r>
                </w:p>
              </w:tc>
              <w:tc>
                <w:tcPr>
                  <w:tcW w:w="1464" w:type="pct"/>
                  <w:noWrap w:val="0"/>
                  <w:vAlign w:val="center"/>
                </w:tcPr>
                <w:p>
                  <w:pPr>
                    <w:rPr>
                      <w:rFonts w:hint="default" w:eastAsia="宋体"/>
                      <w:bCs/>
                      <w:color w:val="auto"/>
                      <w:highlight w:val="none"/>
                      <w:lang w:val="en-US" w:eastAsia="zh-CN"/>
                    </w:rPr>
                  </w:pPr>
                  <w:r>
                    <w:rPr>
                      <w:rFonts w:hint="eastAsia" w:eastAsia="宋体"/>
                      <w:bCs/>
                      <w:color w:val="auto"/>
                      <w:highlight w:val="none"/>
                      <w:lang w:val="en-US" w:eastAsia="zh-CN"/>
                    </w:rPr>
                    <w:t>/</w:t>
                  </w:r>
                </w:p>
              </w:tc>
              <w:tc>
                <w:tcPr>
                  <w:tcW w:w="202" w:type="pct"/>
                  <w:noWrap w:val="0"/>
                  <w:vAlign w:val="center"/>
                </w:tcPr>
                <w:p>
                  <w:pPr>
                    <w:jc w:val="center"/>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Cs/>
                      <w:color w:val="auto"/>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rFonts w:hint="eastAsia"/>
                      <w:bCs/>
                      <w:color w:val="auto"/>
                      <w:highlight w:val="none"/>
                    </w:rPr>
                  </w:pPr>
                </w:p>
              </w:tc>
              <w:tc>
                <w:tcPr>
                  <w:tcW w:w="207" w:type="pct"/>
                  <w:vMerge w:val="continue"/>
                  <w:noWrap w:val="0"/>
                  <w:vAlign w:val="center"/>
                </w:tcPr>
                <w:p>
                  <w:pPr>
                    <w:jc w:val="center"/>
                    <w:rPr>
                      <w:rFonts w:hint="eastAsia"/>
                      <w:bCs/>
                      <w:color w:val="auto"/>
                      <w:highlight w:val="none"/>
                    </w:rPr>
                  </w:pPr>
                </w:p>
              </w:tc>
              <w:tc>
                <w:tcPr>
                  <w:tcW w:w="312" w:type="pct"/>
                  <w:noWrap w:val="0"/>
                  <w:vAlign w:val="center"/>
                </w:tcPr>
                <w:p>
                  <w:pPr>
                    <w:jc w:val="center"/>
                    <w:rPr>
                      <w:rFonts w:hint="eastAsia" w:ascii="Times New Roman" w:hAnsi="Times New Roman" w:eastAsia="宋体" w:cs="Times New Roman"/>
                      <w:bCs/>
                      <w:color w:val="auto"/>
                      <w:kern w:val="2"/>
                      <w:sz w:val="21"/>
                      <w:szCs w:val="24"/>
                      <w:highlight w:val="none"/>
                      <w:lang w:val="en-US" w:eastAsia="zh-CN" w:bidi="ar-SA"/>
                    </w:rPr>
                  </w:pPr>
                  <w:r>
                    <w:rPr>
                      <w:rFonts w:hint="eastAsia"/>
                      <w:bCs/>
                      <w:color w:val="auto"/>
                      <w:highlight w:val="none"/>
                    </w:rPr>
                    <w:t>资源开发利用效率要求</w:t>
                  </w:r>
                </w:p>
              </w:tc>
              <w:tc>
                <w:tcPr>
                  <w:tcW w:w="2505" w:type="pct"/>
                  <w:noWrap w:val="0"/>
                  <w:vAlign w:val="center"/>
                </w:tcPr>
                <w:p>
                  <w:pPr>
                    <w:rPr>
                      <w:rFonts w:hint="eastAsia"/>
                      <w:bCs/>
                      <w:color w:val="auto"/>
                      <w:highlight w:val="none"/>
                    </w:rPr>
                  </w:pPr>
                  <w:r>
                    <w:rPr>
                      <w:rFonts w:hint="eastAsia"/>
                      <w:bCs/>
                      <w:color w:val="auto"/>
                      <w:highlight w:val="none"/>
                    </w:rPr>
                    <w:t>水资源利用总量要求</w:t>
                  </w:r>
                </w:p>
                <w:p>
                  <w:pPr>
                    <w:rPr>
                      <w:rFonts w:hint="eastAsia"/>
                      <w:bCs/>
                      <w:color w:val="auto"/>
                      <w:highlight w:val="none"/>
                    </w:rPr>
                  </w:pPr>
                  <w:r>
                    <w:rPr>
                      <w:rFonts w:hint="eastAsia"/>
                      <w:bCs/>
                      <w:color w:val="auto"/>
                      <w:highlight w:val="none"/>
                    </w:rPr>
                    <w:t>暂无</w:t>
                  </w:r>
                </w:p>
                <w:p>
                  <w:pPr>
                    <w:rPr>
                      <w:rFonts w:hint="eastAsia"/>
                      <w:bCs/>
                      <w:color w:val="auto"/>
                      <w:highlight w:val="none"/>
                    </w:rPr>
                  </w:pPr>
                  <w:r>
                    <w:rPr>
                      <w:rFonts w:hint="eastAsia"/>
                      <w:bCs/>
                      <w:color w:val="auto"/>
                      <w:highlight w:val="none"/>
                    </w:rPr>
                    <w:t>地下水开采要求</w:t>
                  </w:r>
                </w:p>
                <w:p>
                  <w:pPr>
                    <w:rPr>
                      <w:rFonts w:hint="eastAsia"/>
                      <w:bCs/>
                      <w:color w:val="auto"/>
                      <w:highlight w:val="none"/>
                    </w:rPr>
                  </w:pPr>
                  <w:r>
                    <w:rPr>
                      <w:rFonts w:hint="eastAsia"/>
                      <w:bCs/>
                      <w:color w:val="auto"/>
                      <w:highlight w:val="none"/>
                    </w:rPr>
                    <w:t>暂无</w:t>
                  </w:r>
                </w:p>
                <w:p>
                  <w:pPr>
                    <w:rPr>
                      <w:rFonts w:hint="eastAsia"/>
                      <w:bCs/>
                      <w:color w:val="auto"/>
                      <w:highlight w:val="none"/>
                    </w:rPr>
                  </w:pPr>
                  <w:r>
                    <w:rPr>
                      <w:rFonts w:hint="eastAsia"/>
                      <w:bCs/>
                      <w:color w:val="auto"/>
                      <w:highlight w:val="none"/>
                    </w:rPr>
                    <w:t>能源利用总量及效率要求</w:t>
                  </w:r>
                </w:p>
                <w:p>
                  <w:pPr>
                    <w:rPr>
                      <w:rFonts w:hint="eastAsia"/>
                      <w:bCs/>
                      <w:color w:val="auto"/>
                      <w:highlight w:val="none"/>
                    </w:rPr>
                  </w:pPr>
                  <w:r>
                    <w:rPr>
                      <w:rFonts w:hint="eastAsia"/>
                      <w:bCs/>
                      <w:color w:val="auto"/>
                      <w:highlight w:val="none"/>
                    </w:rPr>
                    <w:t>暂无</w:t>
                  </w:r>
                </w:p>
                <w:p>
                  <w:pPr>
                    <w:rPr>
                      <w:rFonts w:hint="eastAsia"/>
                      <w:bCs/>
                      <w:color w:val="auto"/>
                      <w:highlight w:val="none"/>
                    </w:rPr>
                  </w:pPr>
                  <w:r>
                    <w:rPr>
                      <w:rFonts w:hint="eastAsia"/>
                      <w:bCs/>
                      <w:color w:val="auto"/>
                      <w:highlight w:val="none"/>
                    </w:rPr>
                    <w:t>禁燃区要求</w:t>
                  </w:r>
                </w:p>
                <w:p>
                  <w:pPr>
                    <w:rPr>
                      <w:rFonts w:hint="eastAsia"/>
                      <w:bCs/>
                      <w:color w:val="auto"/>
                      <w:highlight w:val="none"/>
                    </w:rPr>
                  </w:pPr>
                  <w:r>
                    <w:rPr>
                      <w:rFonts w:hint="eastAsia"/>
                      <w:bCs/>
                      <w:color w:val="auto"/>
                      <w:highlight w:val="none"/>
                    </w:rPr>
                    <w:t>暂无</w:t>
                  </w:r>
                </w:p>
                <w:p>
                  <w:pPr>
                    <w:rPr>
                      <w:rFonts w:hint="eastAsia"/>
                      <w:bCs/>
                      <w:color w:val="auto"/>
                      <w:highlight w:val="none"/>
                    </w:rPr>
                  </w:pPr>
                  <w:r>
                    <w:rPr>
                      <w:rFonts w:hint="eastAsia"/>
                      <w:bCs/>
                      <w:color w:val="auto"/>
                      <w:highlight w:val="none"/>
                    </w:rPr>
                    <w:t>其他资源利用效率要求</w:t>
                  </w:r>
                </w:p>
                <w:p>
                  <w:pPr>
                    <w:rPr>
                      <w:rFonts w:hint="eastAsia"/>
                      <w:bCs/>
                      <w:color w:val="auto"/>
                      <w:highlight w:val="none"/>
                    </w:rPr>
                  </w:pPr>
                  <w:r>
                    <w:rPr>
                      <w:rFonts w:hint="eastAsia"/>
                      <w:bCs/>
                      <w:color w:val="auto"/>
                      <w:highlight w:val="none"/>
                    </w:rPr>
                    <w:t>暂无</w:t>
                  </w:r>
                </w:p>
              </w:tc>
              <w:tc>
                <w:tcPr>
                  <w:tcW w:w="1464" w:type="pct"/>
                  <w:noWrap w:val="0"/>
                  <w:vAlign w:val="center"/>
                </w:tcPr>
                <w:p>
                  <w:pPr>
                    <w:rPr>
                      <w:rFonts w:hint="default" w:eastAsia="宋体"/>
                      <w:bCs/>
                      <w:color w:val="auto"/>
                      <w:highlight w:val="none"/>
                      <w:lang w:val="en-US" w:eastAsia="zh-CN"/>
                    </w:rPr>
                  </w:pPr>
                  <w:r>
                    <w:rPr>
                      <w:rFonts w:hint="eastAsia" w:eastAsia="宋体"/>
                      <w:bCs/>
                      <w:color w:val="auto"/>
                      <w:highlight w:val="none"/>
                      <w:lang w:val="en-US" w:eastAsia="zh-CN"/>
                    </w:rPr>
                    <w:t>/</w:t>
                  </w:r>
                </w:p>
              </w:tc>
              <w:tc>
                <w:tcPr>
                  <w:tcW w:w="202" w:type="pct"/>
                  <w:noWrap w:val="0"/>
                  <w:vAlign w:val="center"/>
                </w:tcPr>
                <w:p>
                  <w:pPr>
                    <w:jc w:val="center"/>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Cs/>
                      <w:color w:val="auto"/>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center"/>
                </w:tcPr>
                <w:p>
                  <w:pPr>
                    <w:jc w:val="center"/>
                    <w:rPr>
                      <w:rFonts w:hint="eastAsia"/>
                      <w:bCs/>
                      <w:color w:val="auto"/>
                      <w:highlight w:val="none"/>
                    </w:rPr>
                  </w:pPr>
                </w:p>
              </w:tc>
              <w:tc>
                <w:tcPr>
                  <w:tcW w:w="207" w:type="pct"/>
                  <w:vMerge w:val="restart"/>
                  <w:noWrap w:val="0"/>
                  <w:vAlign w:val="center"/>
                </w:tcPr>
                <w:p>
                  <w:pPr>
                    <w:jc w:val="center"/>
                    <w:rPr>
                      <w:bCs/>
                      <w:color w:val="auto"/>
                      <w:highlight w:val="none"/>
                    </w:rPr>
                  </w:pPr>
                  <w:r>
                    <w:rPr>
                      <w:rFonts w:hint="eastAsia"/>
                      <w:bCs/>
                      <w:color w:val="auto"/>
                      <w:highlight w:val="none"/>
                    </w:rPr>
                    <w:t>单元</w:t>
                  </w:r>
                  <w:r>
                    <w:rPr>
                      <w:rFonts w:hint="eastAsia"/>
                      <w:bCs/>
                      <w:color w:val="auto"/>
                      <w:highlight w:val="none"/>
                      <w:lang w:val="en-US" w:eastAsia="zh-CN"/>
                    </w:rPr>
                    <w:t>级清单</w:t>
                  </w:r>
                  <w:r>
                    <w:rPr>
                      <w:rFonts w:hint="eastAsia"/>
                      <w:bCs/>
                      <w:color w:val="auto"/>
                      <w:highlight w:val="none"/>
                    </w:rPr>
                    <w:t>管控要求</w:t>
                  </w:r>
                </w:p>
              </w:tc>
              <w:tc>
                <w:tcPr>
                  <w:tcW w:w="312" w:type="pct"/>
                  <w:noWrap w:val="0"/>
                  <w:vAlign w:val="center"/>
                </w:tcPr>
                <w:p>
                  <w:pPr>
                    <w:pStyle w:val="54"/>
                    <w:widowControl/>
                    <w:spacing w:line="240" w:lineRule="auto"/>
                    <w:ind w:firstLine="0" w:firstLineChars="0"/>
                    <w:jc w:val="center"/>
                    <w:rPr>
                      <w:rFonts w:ascii="宋体" w:hAnsi="宋体" w:eastAsia="宋体"/>
                      <w:color w:val="auto"/>
                      <w:sz w:val="21"/>
                      <w:highlight w:val="none"/>
                    </w:rPr>
                  </w:pPr>
                  <w:r>
                    <w:rPr>
                      <w:rFonts w:hint="eastAsia" w:ascii="宋体" w:hAnsi="宋体" w:eastAsia="宋体"/>
                      <w:color w:val="auto"/>
                      <w:sz w:val="21"/>
                      <w:highlight w:val="none"/>
                    </w:rPr>
                    <w:t>空间布局约束</w:t>
                  </w:r>
                </w:p>
              </w:tc>
              <w:tc>
                <w:tcPr>
                  <w:tcW w:w="2505" w:type="pct"/>
                  <w:noWrap w:val="0"/>
                  <w:vAlign w:val="center"/>
                </w:tcPr>
                <w:p>
                  <w:pPr>
                    <w:rPr>
                      <w:rFonts w:hint="eastAsia"/>
                      <w:bCs/>
                      <w:color w:val="auto"/>
                      <w:highlight w:val="none"/>
                    </w:rPr>
                  </w:pPr>
                  <w:r>
                    <w:rPr>
                      <w:rFonts w:hint="eastAsia"/>
                      <w:bCs/>
                      <w:color w:val="auto"/>
                      <w:highlight w:val="none"/>
                    </w:rPr>
                    <w:t>禁止开发建设活动的要求</w:t>
                  </w:r>
                </w:p>
                <w:p>
                  <w:pPr>
                    <w:rPr>
                      <w:rFonts w:hint="eastAsia"/>
                      <w:bCs/>
                      <w:color w:val="auto"/>
                      <w:highlight w:val="none"/>
                    </w:rPr>
                  </w:pPr>
                  <w:r>
                    <w:rPr>
                      <w:rFonts w:hint="eastAsia"/>
                      <w:bCs/>
                      <w:color w:val="auto"/>
                      <w:highlight w:val="none"/>
                    </w:rPr>
                    <w:t>限制开发建设活动的要求</w:t>
                  </w:r>
                </w:p>
                <w:p>
                  <w:pPr>
                    <w:rPr>
                      <w:rFonts w:hint="eastAsia"/>
                      <w:bCs/>
                      <w:color w:val="auto"/>
                      <w:highlight w:val="none"/>
                    </w:rPr>
                  </w:pPr>
                  <w:r>
                    <w:rPr>
                      <w:rFonts w:hint="eastAsia"/>
                      <w:bCs/>
                      <w:color w:val="auto"/>
                      <w:highlight w:val="none"/>
                    </w:rPr>
                    <w:t>允许开发建设活动的要求</w:t>
                  </w:r>
                </w:p>
                <w:p>
                  <w:pPr>
                    <w:rPr>
                      <w:rFonts w:hint="eastAsia"/>
                      <w:bCs/>
                      <w:color w:val="auto"/>
                      <w:highlight w:val="none"/>
                    </w:rPr>
                  </w:pPr>
                  <w:r>
                    <w:rPr>
                      <w:rFonts w:hint="eastAsia"/>
                      <w:bCs/>
                      <w:color w:val="auto"/>
                      <w:highlight w:val="none"/>
                    </w:rPr>
                    <w:t>不符合空间布局要求活动的退出要求</w:t>
                  </w:r>
                </w:p>
                <w:p>
                  <w:pPr>
                    <w:rPr>
                      <w:bCs/>
                      <w:color w:val="auto"/>
                      <w:highlight w:val="none"/>
                    </w:rPr>
                  </w:pPr>
                  <w:r>
                    <w:rPr>
                      <w:rFonts w:hint="eastAsia"/>
                      <w:bCs/>
                      <w:color w:val="auto"/>
                      <w:highlight w:val="none"/>
                    </w:rPr>
                    <w:t>其他空间布局约束要求</w:t>
                  </w:r>
                </w:p>
              </w:tc>
              <w:tc>
                <w:tcPr>
                  <w:tcW w:w="1464" w:type="pct"/>
                  <w:noWrap w:val="0"/>
                  <w:vAlign w:val="center"/>
                </w:tcPr>
                <w:p>
                  <w:pPr>
                    <w:rPr>
                      <w:rFonts w:hint="eastAsia" w:eastAsia="宋体"/>
                      <w:bCs/>
                      <w:color w:val="auto"/>
                      <w:highlight w:val="none"/>
                      <w:lang w:val="en-US" w:eastAsia="zh-CN"/>
                    </w:rPr>
                  </w:pPr>
                  <w:r>
                    <w:rPr>
                      <w:rFonts w:hint="eastAsia"/>
                      <w:bCs/>
                      <w:color w:val="auto"/>
                      <w:highlight w:val="none"/>
                      <w:lang w:val="en-US" w:eastAsia="zh-CN"/>
                    </w:rPr>
                    <w:t>/</w:t>
                  </w:r>
                </w:p>
              </w:tc>
              <w:tc>
                <w:tcPr>
                  <w:tcW w:w="202" w:type="pct"/>
                  <w:noWrap w:val="0"/>
                  <w:vAlign w:val="center"/>
                </w:tcPr>
                <w:p>
                  <w:pPr>
                    <w:jc w:val="center"/>
                    <w:rPr>
                      <w:rFonts w:hint="eastAsia" w:eastAsia="宋体"/>
                      <w:bCs/>
                      <w:color w:val="auto"/>
                      <w:highlight w:val="none"/>
                      <w:lang w:eastAsia="zh-CN"/>
                    </w:rPr>
                  </w:pPr>
                  <w:r>
                    <w:rPr>
                      <w:rFonts w:hint="eastAsia"/>
                      <w:bCs/>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top"/>
                </w:tcPr>
                <w:p>
                  <w:pPr>
                    <w:jc w:val="center"/>
                    <w:rPr>
                      <w:bCs/>
                      <w:color w:val="auto"/>
                      <w:highlight w:val="none"/>
                    </w:rPr>
                  </w:pPr>
                </w:p>
              </w:tc>
              <w:tc>
                <w:tcPr>
                  <w:tcW w:w="207" w:type="pct"/>
                  <w:vMerge w:val="continue"/>
                  <w:noWrap w:val="0"/>
                  <w:vAlign w:val="top"/>
                </w:tcPr>
                <w:p>
                  <w:pPr>
                    <w:jc w:val="center"/>
                    <w:rPr>
                      <w:bCs/>
                      <w:color w:val="auto"/>
                      <w:highlight w:val="none"/>
                    </w:rPr>
                  </w:pPr>
                </w:p>
              </w:tc>
              <w:tc>
                <w:tcPr>
                  <w:tcW w:w="312" w:type="pct"/>
                  <w:noWrap w:val="0"/>
                  <w:vAlign w:val="center"/>
                </w:tcPr>
                <w:p>
                  <w:pPr>
                    <w:pStyle w:val="54"/>
                    <w:widowControl/>
                    <w:spacing w:line="240" w:lineRule="auto"/>
                    <w:ind w:firstLine="0" w:firstLineChars="0"/>
                    <w:jc w:val="center"/>
                    <w:rPr>
                      <w:rFonts w:ascii="宋体" w:hAnsi="宋体" w:eastAsia="宋体"/>
                      <w:color w:val="auto"/>
                      <w:sz w:val="21"/>
                      <w:highlight w:val="none"/>
                    </w:rPr>
                  </w:pPr>
                  <w:r>
                    <w:rPr>
                      <w:rFonts w:hint="eastAsia" w:ascii="宋体" w:hAnsi="宋体" w:eastAsia="宋体"/>
                      <w:color w:val="auto"/>
                      <w:sz w:val="21"/>
                      <w:highlight w:val="none"/>
                    </w:rPr>
                    <w:t>污染物排放管控</w:t>
                  </w:r>
                </w:p>
              </w:tc>
              <w:tc>
                <w:tcPr>
                  <w:tcW w:w="2505" w:type="pct"/>
                  <w:noWrap w:val="0"/>
                  <w:vAlign w:val="center"/>
                </w:tcPr>
                <w:p>
                  <w:pPr>
                    <w:rPr>
                      <w:rFonts w:hint="eastAsia"/>
                      <w:bCs/>
                      <w:color w:val="auto"/>
                      <w:highlight w:val="none"/>
                    </w:rPr>
                  </w:pPr>
                  <w:r>
                    <w:rPr>
                      <w:rFonts w:hint="eastAsia"/>
                      <w:bCs/>
                      <w:color w:val="auto"/>
                      <w:highlight w:val="none"/>
                    </w:rPr>
                    <w:t>城镇污水污染控制措施要求</w:t>
                  </w:r>
                </w:p>
                <w:p>
                  <w:pPr>
                    <w:rPr>
                      <w:rFonts w:hint="eastAsia"/>
                      <w:bCs/>
                      <w:color w:val="auto"/>
                      <w:highlight w:val="none"/>
                    </w:rPr>
                  </w:pPr>
                  <w:r>
                    <w:rPr>
                      <w:rFonts w:hint="eastAsia"/>
                      <w:bCs/>
                      <w:color w:val="auto"/>
                      <w:highlight w:val="none"/>
                    </w:rPr>
                    <w:t>工业废水污染控制措施要求</w:t>
                  </w:r>
                </w:p>
                <w:p>
                  <w:pPr>
                    <w:rPr>
                      <w:rFonts w:hint="eastAsia"/>
                      <w:bCs/>
                      <w:color w:val="auto"/>
                      <w:highlight w:val="none"/>
                    </w:rPr>
                  </w:pPr>
                  <w:r>
                    <w:rPr>
                      <w:rFonts w:hint="eastAsia"/>
                      <w:bCs/>
                      <w:color w:val="auto"/>
                      <w:highlight w:val="none"/>
                    </w:rPr>
                    <w:t>现有源提标升级改造：污水收集处理率达100%。推进工业园区污水处理设施建设，确保园区工业废水达标排放。尽快建成污水处理厂，在污水处理厂及配套管网未建成运行前，园区内各企业污水自建污水设施进行处理。有相关行业标准的执行相应的行业排放标准；无行业标准的执行《污水综合排放标准》（GB8978-1996）中表1第一类污染物最高允许排放浓度和表4第二类污染物最高允许排放浓度中的一级排放标准限值；污水处理厂建成后，污水处理厂出水拟执行《城镇污水厂污染物排放标准》（GB18918-2002）一级标准的A标准。污染物排放绩效水平准入要求：对食品饮料产业中的白酒行业和肉制品加工行业执行GB27631-2011行业标准和《清洁生产评价指标体系 肉制品加工业》（DB11/T 1405-2017），单位产品废水量≤14m</w:t>
                  </w:r>
                  <w:r>
                    <w:rPr>
                      <w:rFonts w:hint="eastAsia"/>
                      <w:bCs/>
                      <w:color w:val="auto"/>
                      <w:highlight w:val="none"/>
                      <w:vertAlign w:val="superscript"/>
                    </w:rPr>
                    <w:t>3</w:t>
                  </w:r>
                  <w:r>
                    <w:rPr>
                      <w:rFonts w:hint="eastAsia"/>
                      <w:bCs/>
                      <w:color w:val="auto"/>
                      <w:highlight w:val="none"/>
                    </w:rPr>
                    <w:t>/t，单位产品化学需氧量（COD</w:t>
                  </w:r>
                  <w:r>
                    <w:rPr>
                      <w:rFonts w:hint="eastAsia"/>
                      <w:bCs/>
                      <w:color w:val="auto"/>
                      <w:highlight w:val="none"/>
                      <w:vertAlign w:val="subscript"/>
                    </w:rPr>
                    <w:t>Cr</w:t>
                  </w:r>
                  <w:r>
                    <w:rPr>
                      <w:rFonts w:hint="eastAsia"/>
                      <w:bCs/>
                      <w:color w:val="auto"/>
                      <w:highlight w:val="none"/>
                    </w:rPr>
                    <w:t>）产生量≤16.1kg/t、单位产品氨氮（NH</w:t>
                  </w:r>
                  <w:r>
                    <w:rPr>
                      <w:rFonts w:hint="eastAsia"/>
                      <w:bCs/>
                      <w:color w:val="auto"/>
                      <w:highlight w:val="none"/>
                      <w:vertAlign w:val="subscript"/>
                    </w:rPr>
                    <w:t>3</w:t>
                  </w:r>
                  <w:r>
                    <w:rPr>
                      <w:rFonts w:hint="eastAsia"/>
                      <w:bCs/>
                      <w:color w:val="auto"/>
                      <w:highlight w:val="none"/>
                    </w:rPr>
                    <w:t>-N）≤0.65kg/t</w:t>
                  </w:r>
                </w:p>
                <w:p>
                  <w:pPr>
                    <w:rPr>
                      <w:rFonts w:hint="eastAsia"/>
                      <w:bCs/>
                      <w:color w:val="auto"/>
                      <w:highlight w:val="none"/>
                    </w:rPr>
                  </w:pPr>
                  <w:r>
                    <w:rPr>
                      <w:rFonts w:hint="eastAsia"/>
                      <w:bCs/>
                      <w:color w:val="auto"/>
                      <w:highlight w:val="none"/>
                    </w:rPr>
                    <w:t>农业面源水污染控制措施要求</w:t>
                  </w:r>
                </w:p>
                <w:p>
                  <w:pPr>
                    <w:rPr>
                      <w:rFonts w:hint="eastAsia"/>
                      <w:bCs/>
                      <w:color w:val="auto"/>
                      <w:highlight w:val="none"/>
                    </w:rPr>
                  </w:pPr>
                  <w:r>
                    <w:rPr>
                      <w:rFonts w:hint="eastAsia"/>
                      <w:bCs/>
                      <w:color w:val="auto"/>
                      <w:highlight w:val="none"/>
                    </w:rPr>
                    <w:t>船舶港口水污染控制措施要求</w:t>
                  </w:r>
                </w:p>
                <w:p>
                  <w:pPr>
                    <w:rPr>
                      <w:bCs/>
                      <w:color w:val="auto"/>
                      <w:highlight w:val="none"/>
                    </w:rPr>
                  </w:pPr>
                  <w:r>
                    <w:rPr>
                      <w:rFonts w:hint="eastAsia"/>
                      <w:bCs/>
                      <w:color w:val="auto"/>
                      <w:highlight w:val="none"/>
                    </w:rPr>
                    <w:t>饮用水水源和其它特殊水体保护要求</w:t>
                  </w:r>
                </w:p>
              </w:tc>
              <w:tc>
                <w:tcPr>
                  <w:tcW w:w="1464" w:type="pct"/>
                  <w:noWrap w:val="0"/>
                  <w:vAlign w:val="center"/>
                </w:tcPr>
                <w:p>
                  <w:pPr>
                    <w:rPr>
                      <w:bCs/>
                      <w:color w:val="auto"/>
                      <w:highlight w:val="none"/>
                    </w:rPr>
                  </w:pPr>
                  <w:r>
                    <w:rPr>
                      <w:rFonts w:hint="eastAsia" w:ascii="Times New Roman" w:hAnsi="Times New Roman" w:eastAsia="宋体" w:cs="Times New Roman"/>
                      <w:bCs/>
                      <w:color w:val="auto"/>
                      <w:highlight w:val="none"/>
                      <w:lang w:val="en-US" w:eastAsia="zh-CN"/>
                    </w:rPr>
                    <w:t>本项目污水收集处理率为100%，</w:t>
                  </w:r>
                  <w:r>
                    <w:rPr>
                      <w:rFonts w:hint="eastAsia"/>
                      <w:bCs/>
                      <w:color w:val="auto"/>
                      <w:highlight w:val="none"/>
                      <w:lang w:val="en-US" w:eastAsia="zh-CN"/>
                    </w:rPr>
                    <w:t>废水经预处理池、隔油池、污水处理站处理后达</w:t>
                  </w:r>
                  <w:r>
                    <w:rPr>
                      <w:rFonts w:hint="eastAsia"/>
                      <w:bCs/>
                      <w:color w:val="auto"/>
                      <w:highlight w:val="none"/>
                    </w:rPr>
                    <w:t>《污水综合排放标准》（GB8978-1996）</w:t>
                  </w:r>
                  <w:r>
                    <w:rPr>
                      <w:rFonts w:hint="eastAsia"/>
                      <w:bCs/>
                      <w:color w:val="auto"/>
                      <w:highlight w:val="none"/>
                      <w:lang w:val="en-US" w:eastAsia="zh-CN"/>
                    </w:rPr>
                    <w:t>后排入市政管网，经污水处理厂处理后达</w:t>
                  </w:r>
                  <w:r>
                    <w:rPr>
                      <w:rFonts w:hint="eastAsia"/>
                      <w:bCs/>
                      <w:color w:val="auto"/>
                      <w:highlight w:val="none"/>
                    </w:rPr>
                    <w:t>《城镇污水厂污染物排放标准》（GB18918-2002）一级</w:t>
                  </w:r>
                  <w:r>
                    <w:rPr>
                      <w:rFonts w:hint="eastAsia"/>
                      <w:bCs/>
                      <w:color w:val="auto"/>
                      <w:highlight w:val="none"/>
                      <w:lang w:val="en-US" w:eastAsia="zh-CN"/>
                    </w:rPr>
                    <w:t>A标准（近期）后排入大坝河。</w:t>
                  </w:r>
                </w:p>
              </w:tc>
              <w:tc>
                <w:tcPr>
                  <w:tcW w:w="202" w:type="pct"/>
                  <w:noWrap w:val="0"/>
                  <w:vAlign w:val="center"/>
                </w:tcPr>
                <w:p>
                  <w:pPr>
                    <w:jc w:val="center"/>
                    <w:rPr>
                      <w:bCs/>
                      <w:color w:val="auto"/>
                      <w:highlight w:val="none"/>
                    </w:rPr>
                  </w:pPr>
                  <w:r>
                    <w:rPr>
                      <w:rFonts w:hint="eastAsia"/>
                      <w:bCs/>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top"/>
                </w:tcPr>
                <w:p>
                  <w:pPr>
                    <w:jc w:val="center"/>
                    <w:rPr>
                      <w:bCs/>
                      <w:color w:val="auto"/>
                      <w:highlight w:val="none"/>
                    </w:rPr>
                  </w:pPr>
                </w:p>
              </w:tc>
              <w:tc>
                <w:tcPr>
                  <w:tcW w:w="207" w:type="pct"/>
                  <w:vMerge w:val="continue"/>
                  <w:noWrap w:val="0"/>
                  <w:vAlign w:val="top"/>
                </w:tcPr>
                <w:p>
                  <w:pPr>
                    <w:jc w:val="center"/>
                    <w:rPr>
                      <w:bCs/>
                      <w:color w:val="auto"/>
                      <w:highlight w:val="none"/>
                    </w:rPr>
                  </w:pPr>
                </w:p>
              </w:tc>
              <w:tc>
                <w:tcPr>
                  <w:tcW w:w="312" w:type="pct"/>
                  <w:noWrap w:val="0"/>
                  <w:vAlign w:val="center"/>
                </w:tcPr>
                <w:p>
                  <w:pPr>
                    <w:pStyle w:val="54"/>
                    <w:widowControl/>
                    <w:spacing w:line="240" w:lineRule="auto"/>
                    <w:ind w:firstLine="0" w:firstLineChars="0"/>
                    <w:jc w:val="center"/>
                    <w:rPr>
                      <w:rFonts w:ascii="宋体" w:hAnsi="宋体" w:eastAsia="宋体"/>
                      <w:color w:val="auto"/>
                      <w:sz w:val="21"/>
                      <w:highlight w:val="none"/>
                    </w:rPr>
                  </w:pPr>
                  <w:r>
                    <w:rPr>
                      <w:rFonts w:hint="eastAsia" w:ascii="宋体" w:hAnsi="宋体" w:eastAsia="宋体"/>
                      <w:color w:val="auto"/>
                      <w:sz w:val="21"/>
                      <w:highlight w:val="none"/>
                    </w:rPr>
                    <w:t>环境风险防控</w:t>
                  </w:r>
                </w:p>
              </w:tc>
              <w:tc>
                <w:tcPr>
                  <w:tcW w:w="2505" w:type="pct"/>
                  <w:noWrap w:val="0"/>
                  <w:vAlign w:val="center"/>
                </w:tcPr>
                <w:p>
                  <w:pPr>
                    <w:rPr>
                      <w:bCs/>
                      <w:color w:val="auto"/>
                      <w:highlight w:val="none"/>
                    </w:rPr>
                  </w:pPr>
                  <w:r>
                    <w:rPr>
                      <w:rFonts w:hint="eastAsia"/>
                      <w:bCs/>
                      <w:color w:val="auto"/>
                      <w:highlight w:val="none"/>
                      <w:lang w:val="en-US" w:eastAsia="zh-CN"/>
                    </w:rPr>
                    <w:t>要加强对重点区域和重点源环境风险综合管控。强化工业园区环境风险防控工作，突出全防全控，完善各项环境风险防范制度，确保将风险防范融入日常环境管理制度体系。加强执法监督，逐步实现对重点工业园区、重点工矿企业和主要环境风险类型的动态监控。加快布局分散企业向园区集中，按要求设置生态隔离带，建设相应的防护工程。强化沿河水电站监管，强化废油收集、储存、转运处置全过程管控。</w:t>
                  </w:r>
                </w:p>
              </w:tc>
              <w:tc>
                <w:tcPr>
                  <w:tcW w:w="1464" w:type="pct"/>
                  <w:noWrap w:val="0"/>
                  <w:vAlign w:val="center"/>
                </w:tcPr>
                <w:p>
                  <w:pPr>
                    <w:rPr>
                      <w:bCs/>
                      <w:color w:val="auto"/>
                      <w:highlight w:val="none"/>
                    </w:rPr>
                  </w:pPr>
                  <w:r>
                    <w:rPr>
                      <w:rFonts w:hint="eastAsia"/>
                      <w:bCs/>
                      <w:color w:val="auto"/>
                      <w:highlight w:val="none"/>
                      <w:lang w:val="en-US" w:eastAsia="zh-CN"/>
                    </w:rPr>
                    <w:t>本项目涉及的有毒有害、易燃易爆物质主要有机油、硫酸、盐酸、铬酸钾、天然气等，厂内存在量均较小，废油暂存于危废暂存间，交由有资质的单位处理。</w:t>
                  </w:r>
                </w:p>
              </w:tc>
              <w:tc>
                <w:tcPr>
                  <w:tcW w:w="202" w:type="pct"/>
                  <w:noWrap w:val="0"/>
                  <w:vAlign w:val="center"/>
                </w:tcPr>
                <w:p>
                  <w:pPr>
                    <w:jc w:val="center"/>
                    <w:rPr>
                      <w:bCs/>
                      <w:color w:val="auto"/>
                      <w:highlight w:val="none"/>
                    </w:rPr>
                  </w:pPr>
                  <w:r>
                    <w:rPr>
                      <w:rFonts w:hint="eastAsia"/>
                      <w:bCs/>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top"/>
                </w:tcPr>
                <w:p>
                  <w:pPr>
                    <w:jc w:val="center"/>
                    <w:rPr>
                      <w:bCs/>
                      <w:color w:val="auto"/>
                      <w:highlight w:val="none"/>
                    </w:rPr>
                  </w:pPr>
                </w:p>
              </w:tc>
              <w:tc>
                <w:tcPr>
                  <w:tcW w:w="207" w:type="pct"/>
                  <w:vMerge w:val="continue"/>
                  <w:noWrap w:val="0"/>
                  <w:vAlign w:val="top"/>
                </w:tcPr>
                <w:p>
                  <w:pPr>
                    <w:jc w:val="center"/>
                    <w:rPr>
                      <w:bCs/>
                      <w:color w:val="auto"/>
                      <w:highlight w:val="none"/>
                    </w:rPr>
                  </w:pPr>
                </w:p>
              </w:tc>
              <w:tc>
                <w:tcPr>
                  <w:tcW w:w="312" w:type="pct"/>
                  <w:noWrap w:val="0"/>
                  <w:vAlign w:val="center"/>
                </w:tcPr>
                <w:p>
                  <w:pPr>
                    <w:pStyle w:val="54"/>
                    <w:widowControl/>
                    <w:spacing w:line="240" w:lineRule="auto"/>
                    <w:ind w:firstLine="0" w:firstLineChars="0"/>
                    <w:jc w:val="center"/>
                    <w:rPr>
                      <w:rFonts w:ascii="宋体" w:hAnsi="宋体" w:eastAsia="宋体"/>
                      <w:color w:val="auto"/>
                      <w:sz w:val="21"/>
                      <w:highlight w:val="none"/>
                    </w:rPr>
                  </w:pPr>
                  <w:r>
                    <w:rPr>
                      <w:rFonts w:hint="eastAsia" w:ascii="宋体" w:hAnsi="宋体" w:eastAsia="宋体"/>
                      <w:color w:val="auto"/>
                      <w:sz w:val="21"/>
                      <w:highlight w:val="none"/>
                    </w:rPr>
                    <w:t>资源开发效率要求</w:t>
                  </w:r>
                </w:p>
              </w:tc>
              <w:tc>
                <w:tcPr>
                  <w:tcW w:w="2505" w:type="pct"/>
                  <w:noWrap w:val="0"/>
                  <w:vAlign w:val="center"/>
                </w:tcPr>
                <w:p>
                  <w:pPr>
                    <w:rPr>
                      <w:rFonts w:hint="eastAsia" w:eastAsia="宋体"/>
                      <w:bCs/>
                      <w:color w:val="auto"/>
                      <w:highlight w:val="none"/>
                      <w:lang w:val="en-US" w:eastAsia="zh-CN"/>
                    </w:rPr>
                  </w:pPr>
                  <w:r>
                    <w:rPr>
                      <w:rFonts w:hint="eastAsia"/>
                      <w:bCs/>
                      <w:color w:val="auto"/>
                      <w:highlight w:val="none"/>
                      <w:lang w:val="en-US" w:eastAsia="zh-CN"/>
                    </w:rPr>
                    <w:t>/</w:t>
                  </w:r>
                </w:p>
              </w:tc>
              <w:tc>
                <w:tcPr>
                  <w:tcW w:w="1464" w:type="pct"/>
                  <w:noWrap w:val="0"/>
                  <w:vAlign w:val="center"/>
                </w:tcPr>
                <w:p>
                  <w:pPr>
                    <w:rPr>
                      <w:rFonts w:hint="eastAsia" w:eastAsia="宋体"/>
                      <w:bCs/>
                      <w:color w:val="auto"/>
                      <w:highlight w:val="none"/>
                      <w:lang w:val="en-US" w:eastAsia="zh-CN"/>
                    </w:rPr>
                  </w:pPr>
                  <w:r>
                    <w:rPr>
                      <w:rFonts w:hint="eastAsia"/>
                      <w:bCs/>
                      <w:color w:val="auto"/>
                      <w:highlight w:val="none"/>
                      <w:lang w:val="en-US" w:eastAsia="zh-CN"/>
                    </w:rPr>
                    <w:t>/</w:t>
                  </w:r>
                </w:p>
              </w:tc>
              <w:tc>
                <w:tcPr>
                  <w:tcW w:w="202" w:type="pct"/>
                  <w:noWrap w:val="0"/>
                  <w:vAlign w:val="center"/>
                </w:tcPr>
                <w:p>
                  <w:pPr>
                    <w:jc w:val="center"/>
                    <w:rPr>
                      <w:rFonts w:hint="eastAsia" w:eastAsia="宋体"/>
                      <w:bCs/>
                      <w:color w:val="auto"/>
                      <w:highlight w:val="none"/>
                      <w:lang w:eastAsia="zh-CN"/>
                    </w:rPr>
                  </w:pPr>
                  <w:r>
                    <w:rPr>
                      <w:rFonts w:hint="eastAsia"/>
                      <w:bCs/>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restart"/>
                  <w:noWrap w:val="0"/>
                  <w:vAlign w:val="center"/>
                </w:tcPr>
                <w:p>
                  <w:pPr>
                    <w:jc w:val="center"/>
                    <w:rPr>
                      <w:rFonts w:hint="eastAsia" w:ascii="Times New Roman" w:hAnsi="Times New Roman" w:cs="Times New Roman"/>
                      <w:bCs/>
                      <w:color w:val="auto"/>
                      <w:highlight w:val="none"/>
                    </w:rPr>
                  </w:pPr>
                  <w:r>
                    <w:rPr>
                      <w:rFonts w:hint="eastAsia" w:ascii="Times New Roman" w:hAnsi="Times New Roman" w:cs="Times New Roman"/>
                      <w:bCs/>
                      <w:color w:val="auto"/>
                      <w:highlight w:val="none"/>
                    </w:rPr>
                    <w:t>大气环境高排放重点管控区YS5119032310002巴中市恩阳食品工业园</w:t>
                  </w:r>
                </w:p>
              </w:tc>
              <w:tc>
                <w:tcPr>
                  <w:tcW w:w="207" w:type="pct"/>
                  <w:vMerge w:val="restart"/>
                  <w:noWrap w:val="0"/>
                  <w:vAlign w:val="center"/>
                </w:tcPr>
                <w:p>
                  <w:pPr>
                    <w:jc w:val="center"/>
                    <w:rPr>
                      <w:rFonts w:hint="eastAsia" w:ascii="Times New Roman" w:hAnsi="Times New Roman" w:eastAsia="宋体" w:cs="Times New Roman"/>
                      <w:bCs/>
                      <w:color w:val="auto"/>
                      <w:kern w:val="2"/>
                      <w:sz w:val="21"/>
                      <w:szCs w:val="24"/>
                      <w:highlight w:val="none"/>
                      <w:lang w:val="en-US" w:eastAsia="zh-CN" w:bidi="ar-SA"/>
                    </w:rPr>
                  </w:pPr>
                  <w:r>
                    <w:rPr>
                      <w:rFonts w:hint="eastAsia"/>
                      <w:bCs/>
                      <w:color w:val="auto"/>
                      <w:highlight w:val="none"/>
                    </w:rPr>
                    <w:t>普适性清单</w:t>
                  </w:r>
                  <w:r>
                    <w:rPr>
                      <w:rFonts w:hint="eastAsia"/>
                      <w:bCs/>
                      <w:color w:val="auto"/>
                      <w:highlight w:val="none"/>
                      <w:lang w:val="en-US" w:eastAsia="zh-CN"/>
                    </w:rPr>
                    <w:t>管控要求</w:t>
                  </w:r>
                </w:p>
              </w:tc>
              <w:tc>
                <w:tcPr>
                  <w:tcW w:w="312" w:type="pct"/>
                  <w:noWrap w:val="0"/>
                  <w:vAlign w:val="center"/>
                </w:tcPr>
                <w:p>
                  <w:pPr>
                    <w:jc w:val="center"/>
                    <w:rPr>
                      <w:rFonts w:hint="eastAsia" w:ascii="Times New Roman" w:hAnsi="Times New Roman" w:eastAsia="宋体" w:cs="Times New Roman"/>
                      <w:bCs/>
                      <w:color w:val="auto"/>
                      <w:kern w:val="2"/>
                      <w:sz w:val="21"/>
                      <w:szCs w:val="24"/>
                      <w:highlight w:val="none"/>
                      <w:lang w:val="en-US" w:eastAsia="zh-CN" w:bidi="ar-SA"/>
                    </w:rPr>
                  </w:pPr>
                  <w:r>
                    <w:rPr>
                      <w:rFonts w:hint="eastAsia" w:ascii="宋体" w:hAnsi="宋体" w:cs="宋体"/>
                      <w:color w:val="auto"/>
                      <w:kern w:val="0"/>
                      <w:szCs w:val="21"/>
                      <w:highlight w:val="none"/>
                    </w:rPr>
                    <w:t>空间布局约束</w:t>
                  </w:r>
                </w:p>
              </w:tc>
              <w:tc>
                <w:tcPr>
                  <w:tcW w:w="2505" w:type="pct"/>
                  <w:noWrap w:val="0"/>
                  <w:vAlign w:val="center"/>
                </w:tcPr>
                <w:p>
                  <w:pPr>
                    <w:rPr>
                      <w:rFonts w:hint="eastAsia"/>
                      <w:bCs/>
                      <w:color w:val="auto"/>
                      <w:highlight w:val="none"/>
                    </w:rPr>
                  </w:pPr>
                  <w:r>
                    <w:rPr>
                      <w:rFonts w:hint="eastAsia"/>
                      <w:bCs/>
                      <w:color w:val="auto"/>
                      <w:highlight w:val="none"/>
                    </w:rPr>
                    <w:t>禁止开发建设活动的要求</w:t>
                  </w:r>
                </w:p>
                <w:p>
                  <w:pPr>
                    <w:rPr>
                      <w:rFonts w:hint="eastAsia"/>
                      <w:bCs/>
                      <w:color w:val="auto"/>
                      <w:highlight w:val="none"/>
                    </w:rPr>
                  </w:pPr>
                  <w:r>
                    <w:rPr>
                      <w:rFonts w:hint="eastAsia"/>
                      <w:bCs/>
                      <w:color w:val="auto"/>
                      <w:highlight w:val="none"/>
                    </w:rPr>
                    <w:t>暂无</w:t>
                  </w:r>
                </w:p>
                <w:p>
                  <w:pPr>
                    <w:rPr>
                      <w:rFonts w:hint="eastAsia"/>
                      <w:bCs/>
                      <w:color w:val="auto"/>
                      <w:highlight w:val="none"/>
                    </w:rPr>
                  </w:pPr>
                  <w:r>
                    <w:rPr>
                      <w:rFonts w:hint="eastAsia"/>
                      <w:bCs/>
                      <w:color w:val="auto"/>
                      <w:highlight w:val="none"/>
                    </w:rPr>
                    <w:t>限制开发建设活动的要求</w:t>
                  </w:r>
                </w:p>
                <w:p>
                  <w:pPr>
                    <w:rPr>
                      <w:rFonts w:hint="eastAsia"/>
                      <w:bCs/>
                      <w:color w:val="auto"/>
                      <w:highlight w:val="none"/>
                    </w:rPr>
                  </w:pPr>
                  <w:r>
                    <w:rPr>
                      <w:rFonts w:hint="eastAsia"/>
                      <w:bCs/>
                      <w:color w:val="auto"/>
                      <w:highlight w:val="none"/>
                    </w:rPr>
                    <w:t>暂无</w:t>
                  </w:r>
                </w:p>
                <w:p>
                  <w:pPr>
                    <w:rPr>
                      <w:rFonts w:hint="eastAsia"/>
                      <w:bCs/>
                      <w:color w:val="auto"/>
                      <w:highlight w:val="none"/>
                    </w:rPr>
                  </w:pPr>
                  <w:r>
                    <w:rPr>
                      <w:rFonts w:hint="eastAsia"/>
                      <w:bCs/>
                      <w:color w:val="auto"/>
                      <w:highlight w:val="none"/>
                    </w:rPr>
                    <w:t>不符合空间布局要求活动的退出要求</w:t>
                  </w:r>
                </w:p>
                <w:p>
                  <w:pPr>
                    <w:rPr>
                      <w:rFonts w:hint="eastAsia"/>
                      <w:bCs/>
                      <w:color w:val="auto"/>
                      <w:highlight w:val="none"/>
                    </w:rPr>
                  </w:pPr>
                  <w:r>
                    <w:rPr>
                      <w:rFonts w:hint="eastAsia"/>
                      <w:bCs/>
                      <w:color w:val="auto"/>
                      <w:highlight w:val="none"/>
                    </w:rPr>
                    <w:t>暂无</w:t>
                  </w:r>
                </w:p>
                <w:p>
                  <w:pPr>
                    <w:rPr>
                      <w:rFonts w:hint="eastAsia"/>
                      <w:bCs/>
                      <w:color w:val="auto"/>
                      <w:highlight w:val="none"/>
                    </w:rPr>
                  </w:pPr>
                  <w:r>
                    <w:rPr>
                      <w:rFonts w:hint="eastAsia"/>
                      <w:bCs/>
                      <w:color w:val="auto"/>
                      <w:highlight w:val="none"/>
                    </w:rPr>
                    <w:t>其他空间布局约束要求</w:t>
                  </w:r>
                </w:p>
                <w:p>
                  <w:pPr>
                    <w:rPr>
                      <w:rFonts w:hint="eastAsia"/>
                      <w:bCs/>
                      <w:color w:val="auto"/>
                      <w:kern w:val="2"/>
                      <w:sz w:val="21"/>
                      <w:szCs w:val="24"/>
                      <w:highlight w:val="none"/>
                      <w:lang w:val="en-US" w:eastAsia="zh-CN" w:bidi="ar-SA"/>
                    </w:rPr>
                  </w:pPr>
                  <w:r>
                    <w:rPr>
                      <w:rFonts w:hint="eastAsia"/>
                      <w:bCs/>
                      <w:color w:val="auto"/>
                      <w:highlight w:val="none"/>
                    </w:rPr>
                    <w:t>暂无</w:t>
                  </w:r>
                </w:p>
              </w:tc>
              <w:tc>
                <w:tcPr>
                  <w:tcW w:w="1464" w:type="pct"/>
                  <w:noWrap w:val="0"/>
                  <w:vAlign w:val="center"/>
                </w:tcPr>
                <w:p>
                  <w:pPr>
                    <w:rPr>
                      <w:rFonts w:hint="default"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eastAsia="宋体" w:cs="Times New Roman"/>
                      <w:bCs/>
                      <w:color w:val="auto"/>
                      <w:kern w:val="2"/>
                      <w:sz w:val="21"/>
                      <w:szCs w:val="24"/>
                      <w:highlight w:val="none"/>
                      <w:lang w:val="en-US" w:eastAsia="zh-CN" w:bidi="ar-SA"/>
                    </w:rPr>
                    <w:t>/</w:t>
                  </w:r>
                </w:p>
              </w:tc>
              <w:tc>
                <w:tcPr>
                  <w:tcW w:w="202" w:type="pct"/>
                  <w:noWrap w:val="0"/>
                  <w:vAlign w:val="center"/>
                </w:tcPr>
                <w:p>
                  <w:pPr>
                    <w:jc w:val="center"/>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Cs/>
                      <w:color w:val="auto"/>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top"/>
                </w:tcPr>
                <w:p>
                  <w:pPr>
                    <w:jc w:val="center"/>
                    <w:rPr>
                      <w:rFonts w:hint="eastAsia" w:ascii="Times New Roman" w:hAnsi="Times New Roman" w:cs="Times New Roman"/>
                      <w:bCs/>
                      <w:color w:val="auto"/>
                      <w:highlight w:val="none"/>
                    </w:rPr>
                  </w:pPr>
                </w:p>
              </w:tc>
              <w:tc>
                <w:tcPr>
                  <w:tcW w:w="207" w:type="pct"/>
                  <w:vMerge w:val="continue"/>
                  <w:noWrap w:val="0"/>
                  <w:vAlign w:val="center"/>
                </w:tcPr>
                <w:p>
                  <w:pPr>
                    <w:jc w:val="center"/>
                    <w:rPr>
                      <w:rFonts w:hint="eastAsia"/>
                      <w:bCs/>
                      <w:color w:val="auto"/>
                      <w:highlight w:val="none"/>
                    </w:rPr>
                  </w:pPr>
                </w:p>
              </w:tc>
              <w:tc>
                <w:tcPr>
                  <w:tcW w:w="312" w:type="pct"/>
                  <w:noWrap w:val="0"/>
                  <w:vAlign w:val="center"/>
                </w:tcPr>
                <w:p>
                  <w:pPr>
                    <w:jc w:val="center"/>
                    <w:rPr>
                      <w:rFonts w:hint="eastAsia" w:ascii="Times New Roman" w:hAnsi="Times New Roman" w:eastAsia="宋体" w:cs="Times New Roman"/>
                      <w:bCs/>
                      <w:color w:val="auto"/>
                      <w:kern w:val="2"/>
                      <w:sz w:val="21"/>
                      <w:szCs w:val="24"/>
                      <w:highlight w:val="none"/>
                      <w:lang w:val="en-US" w:eastAsia="zh-CN" w:bidi="ar-SA"/>
                    </w:rPr>
                  </w:pPr>
                  <w:r>
                    <w:rPr>
                      <w:rFonts w:hint="eastAsia"/>
                      <w:bCs/>
                      <w:color w:val="auto"/>
                      <w:highlight w:val="none"/>
                    </w:rPr>
                    <w:t>污染物排放管控</w:t>
                  </w:r>
                </w:p>
              </w:tc>
              <w:tc>
                <w:tcPr>
                  <w:tcW w:w="2505" w:type="pct"/>
                  <w:noWrap w:val="0"/>
                  <w:vAlign w:val="center"/>
                </w:tcPr>
                <w:p>
                  <w:pPr>
                    <w:rPr>
                      <w:rFonts w:hint="eastAsia"/>
                      <w:bCs/>
                      <w:color w:val="auto"/>
                      <w:highlight w:val="none"/>
                    </w:rPr>
                  </w:pPr>
                  <w:r>
                    <w:rPr>
                      <w:rFonts w:hint="eastAsia"/>
                      <w:bCs/>
                      <w:color w:val="auto"/>
                      <w:highlight w:val="none"/>
                    </w:rPr>
                    <w:t>允许排放量要求</w:t>
                  </w:r>
                </w:p>
                <w:p>
                  <w:pPr>
                    <w:rPr>
                      <w:rFonts w:hint="eastAsia"/>
                      <w:bCs/>
                      <w:color w:val="auto"/>
                      <w:highlight w:val="none"/>
                    </w:rPr>
                  </w:pPr>
                  <w:r>
                    <w:rPr>
                      <w:rFonts w:hint="eastAsia"/>
                      <w:bCs/>
                      <w:color w:val="auto"/>
                      <w:highlight w:val="none"/>
                    </w:rPr>
                    <w:t>暂无</w:t>
                  </w:r>
                </w:p>
                <w:p>
                  <w:pPr>
                    <w:rPr>
                      <w:rFonts w:hint="eastAsia"/>
                      <w:bCs/>
                      <w:color w:val="auto"/>
                      <w:highlight w:val="none"/>
                    </w:rPr>
                  </w:pPr>
                  <w:r>
                    <w:rPr>
                      <w:rFonts w:hint="eastAsia"/>
                      <w:bCs/>
                      <w:color w:val="auto"/>
                      <w:highlight w:val="none"/>
                    </w:rPr>
                    <w:t>现有源提标升级改造</w:t>
                  </w:r>
                </w:p>
                <w:p>
                  <w:pPr>
                    <w:rPr>
                      <w:rFonts w:hint="eastAsia"/>
                      <w:bCs/>
                      <w:color w:val="auto"/>
                      <w:highlight w:val="none"/>
                    </w:rPr>
                  </w:pPr>
                  <w:r>
                    <w:rPr>
                      <w:rFonts w:hint="eastAsia"/>
                      <w:bCs/>
                      <w:color w:val="auto"/>
                      <w:highlight w:val="none"/>
                    </w:rPr>
                    <w:t>暂无</w:t>
                  </w:r>
                </w:p>
                <w:p>
                  <w:pPr>
                    <w:rPr>
                      <w:rFonts w:hint="eastAsia"/>
                      <w:bCs/>
                      <w:color w:val="auto"/>
                      <w:highlight w:val="none"/>
                    </w:rPr>
                  </w:pPr>
                  <w:r>
                    <w:rPr>
                      <w:rFonts w:hint="eastAsia"/>
                      <w:bCs/>
                      <w:color w:val="auto"/>
                      <w:highlight w:val="none"/>
                    </w:rPr>
                    <w:t>其他污染物排放管控要求</w:t>
                  </w:r>
                </w:p>
                <w:p>
                  <w:pPr>
                    <w:rPr>
                      <w:rFonts w:hint="eastAsia"/>
                      <w:bCs/>
                      <w:color w:val="auto"/>
                      <w:kern w:val="2"/>
                      <w:sz w:val="21"/>
                      <w:szCs w:val="24"/>
                      <w:highlight w:val="none"/>
                      <w:lang w:val="en-US" w:eastAsia="zh-CN" w:bidi="ar-SA"/>
                    </w:rPr>
                  </w:pPr>
                  <w:r>
                    <w:rPr>
                      <w:rFonts w:hint="eastAsia"/>
                      <w:bCs/>
                      <w:color w:val="auto"/>
                      <w:highlight w:val="none"/>
                    </w:rPr>
                    <w:t>暂无</w:t>
                  </w:r>
                </w:p>
              </w:tc>
              <w:tc>
                <w:tcPr>
                  <w:tcW w:w="1464" w:type="pct"/>
                  <w:noWrap w:val="0"/>
                  <w:vAlign w:val="center"/>
                </w:tcPr>
                <w:p>
                  <w:pPr>
                    <w:rPr>
                      <w:rFonts w:hint="default"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eastAsia="宋体" w:cs="Times New Roman"/>
                      <w:bCs/>
                      <w:color w:val="auto"/>
                      <w:kern w:val="2"/>
                      <w:sz w:val="21"/>
                      <w:szCs w:val="24"/>
                      <w:highlight w:val="none"/>
                      <w:lang w:val="en-US" w:eastAsia="zh-CN" w:bidi="ar-SA"/>
                    </w:rPr>
                    <w:t>/</w:t>
                  </w:r>
                </w:p>
              </w:tc>
              <w:tc>
                <w:tcPr>
                  <w:tcW w:w="202" w:type="pct"/>
                  <w:noWrap w:val="0"/>
                  <w:vAlign w:val="center"/>
                </w:tcPr>
                <w:p>
                  <w:pPr>
                    <w:jc w:val="center"/>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Cs/>
                      <w:color w:val="auto"/>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top"/>
                </w:tcPr>
                <w:p>
                  <w:pPr>
                    <w:jc w:val="center"/>
                    <w:rPr>
                      <w:rFonts w:hint="eastAsia" w:ascii="Times New Roman" w:hAnsi="Times New Roman" w:cs="Times New Roman"/>
                      <w:bCs/>
                      <w:color w:val="auto"/>
                      <w:highlight w:val="none"/>
                    </w:rPr>
                  </w:pPr>
                </w:p>
              </w:tc>
              <w:tc>
                <w:tcPr>
                  <w:tcW w:w="207" w:type="pct"/>
                  <w:vMerge w:val="continue"/>
                  <w:noWrap w:val="0"/>
                  <w:vAlign w:val="center"/>
                </w:tcPr>
                <w:p>
                  <w:pPr>
                    <w:jc w:val="center"/>
                    <w:rPr>
                      <w:rFonts w:hint="eastAsia"/>
                      <w:bCs/>
                      <w:color w:val="auto"/>
                      <w:highlight w:val="none"/>
                    </w:rPr>
                  </w:pPr>
                </w:p>
              </w:tc>
              <w:tc>
                <w:tcPr>
                  <w:tcW w:w="312" w:type="pct"/>
                  <w:noWrap w:val="0"/>
                  <w:vAlign w:val="center"/>
                </w:tcPr>
                <w:p>
                  <w:pPr>
                    <w:jc w:val="center"/>
                    <w:rPr>
                      <w:rFonts w:hint="eastAsia" w:ascii="Times New Roman" w:hAnsi="Times New Roman" w:eastAsia="宋体" w:cs="Times New Roman"/>
                      <w:bCs/>
                      <w:color w:val="auto"/>
                      <w:kern w:val="2"/>
                      <w:sz w:val="21"/>
                      <w:szCs w:val="24"/>
                      <w:highlight w:val="none"/>
                      <w:lang w:val="en-US" w:eastAsia="zh-CN" w:bidi="ar-SA"/>
                    </w:rPr>
                  </w:pPr>
                  <w:r>
                    <w:rPr>
                      <w:rFonts w:hint="eastAsia"/>
                      <w:bCs/>
                      <w:color w:val="auto"/>
                      <w:highlight w:val="none"/>
                    </w:rPr>
                    <w:t>环境风险防控</w:t>
                  </w:r>
                </w:p>
              </w:tc>
              <w:tc>
                <w:tcPr>
                  <w:tcW w:w="2505" w:type="pct"/>
                  <w:noWrap w:val="0"/>
                  <w:vAlign w:val="center"/>
                </w:tcPr>
                <w:p>
                  <w:pPr>
                    <w:rPr>
                      <w:rFonts w:hint="eastAsia"/>
                      <w:bCs/>
                      <w:color w:val="auto"/>
                      <w:highlight w:val="none"/>
                    </w:rPr>
                  </w:pPr>
                  <w:r>
                    <w:rPr>
                      <w:rFonts w:hint="eastAsia"/>
                      <w:bCs/>
                      <w:color w:val="auto"/>
                      <w:highlight w:val="none"/>
                    </w:rPr>
                    <w:t>联防联控要求</w:t>
                  </w:r>
                </w:p>
                <w:p>
                  <w:pPr>
                    <w:rPr>
                      <w:rFonts w:hint="eastAsia"/>
                      <w:bCs/>
                      <w:color w:val="auto"/>
                      <w:highlight w:val="none"/>
                    </w:rPr>
                  </w:pPr>
                  <w:r>
                    <w:rPr>
                      <w:rFonts w:hint="eastAsia"/>
                      <w:bCs/>
                      <w:color w:val="auto"/>
                      <w:highlight w:val="none"/>
                    </w:rPr>
                    <w:t>暂无</w:t>
                  </w:r>
                </w:p>
                <w:p>
                  <w:pPr>
                    <w:rPr>
                      <w:rFonts w:hint="eastAsia"/>
                      <w:bCs/>
                      <w:color w:val="auto"/>
                      <w:highlight w:val="none"/>
                    </w:rPr>
                  </w:pPr>
                  <w:r>
                    <w:rPr>
                      <w:rFonts w:hint="eastAsia"/>
                      <w:bCs/>
                      <w:color w:val="auto"/>
                      <w:highlight w:val="none"/>
                    </w:rPr>
                    <w:t>其他环境风险防控要求</w:t>
                  </w:r>
                </w:p>
                <w:p>
                  <w:pPr>
                    <w:rPr>
                      <w:rFonts w:hint="eastAsia"/>
                      <w:bCs/>
                      <w:color w:val="auto"/>
                      <w:kern w:val="2"/>
                      <w:sz w:val="21"/>
                      <w:szCs w:val="24"/>
                      <w:highlight w:val="none"/>
                      <w:lang w:val="en-US" w:eastAsia="zh-CN" w:bidi="ar-SA"/>
                    </w:rPr>
                  </w:pPr>
                  <w:r>
                    <w:rPr>
                      <w:rFonts w:hint="eastAsia"/>
                      <w:bCs/>
                      <w:color w:val="auto"/>
                      <w:highlight w:val="none"/>
                    </w:rPr>
                    <w:t>暂无</w:t>
                  </w:r>
                </w:p>
              </w:tc>
              <w:tc>
                <w:tcPr>
                  <w:tcW w:w="1464" w:type="pct"/>
                  <w:noWrap w:val="0"/>
                  <w:vAlign w:val="center"/>
                </w:tcPr>
                <w:p>
                  <w:pPr>
                    <w:rPr>
                      <w:rFonts w:hint="default"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eastAsia="宋体" w:cs="Times New Roman"/>
                      <w:bCs/>
                      <w:color w:val="auto"/>
                      <w:kern w:val="2"/>
                      <w:sz w:val="21"/>
                      <w:szCs w:val="24"/>
                      <w:highlight w:val="none"/>
                      <w:lang w:val="en-US" w:eastAsia="zh-CN" w:bidi="ar-SA"/>
                    </w:rPr>
                    <w:t>/</w:t>
                  </w:r>
                </w:p>
              </w:tc>
              <w:tc>
                <w:tcPr>
                  <w:tcW w:w="202" w:type="pct"/>
                  <w:noWrap w:val="0"/>
                  <w:vAlign w:val="center"/>
                </w:tcPr>
                <w:p>
                  <w:pPr>
                    <w:jc w:val="center"/>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Cs/>
                      <w:color w:val="auto"/>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top"/>
                </w:tcPr>
                <w:p>
                  <w:pPr>
                    <w:jc w:val="center"/>
                    <w:rPr>
                      <w:rFonts w:hint="eastAsia" w:ascii="Times New Roman" w:hAnsi="Times New Roman" w:cs="Times New Roman"/>
                      <w:bCs/>
                      <w:color w:val="auto"/>
                      <w:highlight w:val="none"/>
                    </w:rPr>
                  </w:pPr>
                </w:p>
              </w:tc>
              <w:tc>
                <w:tcPr>
                  <w:tcW w:w="207" w:type="pct"/>
                  <w:vMerge w:val="continue"/>
                  <w:noWrap w:val="0"/>
                  <w:vAlign w:val="center"/>
                </w:tcPr>
                <w:p>
                  <w:pPr>
                    <w:jc w:val="center"/>
                    <w:rPr>
                      <w:rFonts w:hint="eastAsia"/>
                      <w:bCs/>
                      <w:color w:val="auto"/>
                      <w:highlight w:val="none"/>
                    </w:rPr>
                  </w:pPr>
                </w:p>
              </w:tc>
              <w:tc>
                <w:tcPr>
                  <w:tcW w:w="312" w:type="pct"/>
                  <w:noWrap w:val="0"/>
                  <w:vAlign w:val="center"/>
                </w:tcPr>
                <w:p>
                  <w:pPr>
                    <w:jc w:val="center"/>
                    <w:rPr>
                      <w:rFonts w:hint="eastAsia" w:ascii="Times New Roman" w:hAnsi="Times New Roman" w:eastAsia="宋体" w:cs="Times New Roman"/>
                      <w:bCs/>
                      <w:color w:val="auto"/>
                      <w:kern w:val="2"/>
                      <w:sz w:val="21"/>
                      <w:szCs w:val="24"/>
                      <w:highlight w:val="none"/>
                      <w:lang w:val="en-US" w:eastAsia="zh-CN" w:bidi="ar-SA"/>
                    </w:rPr>
                  </w:pPr>
                  <w:r>
                    <w:rPr>
                      <w:rFonts w:hint="eastAsia"/>
                      <w:bCs/>
                      <w:color w:val="auto"/>
                      <w:highlight w:val="none"/>
                    </w:rPr>
                    <w:t>资源开发利用效率要求</w:t>
                  </w:r>
                </w:p>
              </w:tc>
              <w:tc>
                <w:tcPr>
                  <w:tcW w:w="2505" w:type="pct"/>
                  <w:noWrap w:val="0"/>
                  <w:vAlign w:val="center"/>
                </w:tcPr>
                <w:p>
                  <w:pPr>
                    <w:rPr>
                      <w:rFonts w:hint="eastAsia"/>
                      <w:bCs/>
                      <w:color w:val="auto"/>
                      <w:highlight w:val="none"/>
                    </w:rPr>
                  </w:pPr>
                  <w:r>
                    <w:rPr>
                      <w:rFonts w:hint="eastAsia"/>
                      <w:bCs/>
                      <w:color w:val="auto"/>
                      <w:highlight w:val="none"/>
                    </w:rPr>
                    <w:t>水资源利用总量要求</w:t>
                  </w:r>
                </w:p>
                <w:p>
                  <w:pPr>
                    <w:rPr>
                      <w:rFonts w:hint="eastAsia"/>
                      <w:bCs/>
                      <w:color w:val="auto"/>
                      <w:highlight w:val="none"/>
                    </w:rPr>
                  </w:pPr>
                  <w:r>
                    <w:rPr>
                      <w:rFonts w:hint="eastAsia"/>
                      <w:bCs/>
                      <w:color w:val="auto"/>
                      <w:highlight w:val="none"/>
                    </w:rPr>
                    <w:t>暂无</w:t>
                  </w:r>
                </w:p>
                <w:p>
                  <w:pPr>
                    <w:rPr>
                      <w:rFonts w:hint="eastAsia"/>
                      <w:bCs/>
                      <w:color w:val="auto"/>
                      <w:highlight w:val="none"/>
                    </w:rPr>
                  </w:pPr>
                  <w:r>
                    <w:rPr>
                      <w:rFonts w:hint="eastAsia"/>
                      <w:bCs/>
                      <w:color w:val="auto"/>
                      <w:highlight w:val="none"/>
                    </w:rPr>
                    <w:t>地下水开采要求</w:t>
                  </w:r>
                </w:p>
                <w:p>
                  <w:pPr>
                    <w:rPr>
                      <w:rFonts w:hint="eastAsia"/>
                      <w:bCs/>
                      <w:color w:val="auto"/>
                      <w:highlight w:val="none"/>
                    </w:rPr>
                  </w:pPr>
                  <w:r>
                    <w:rPr>
                      <w:rFonts w:hint="eastAsia"/>
                      <w:bCs/>
                      <w:color w:val="auto"/>
                      <w:highlight w:val="none"/>
                    </w:rPr>
                    <w:t>暂无</w:t>
                  </w:r>
                </w:p>
                <w:p>
                  <w:pPr>
                    <w:rPr>
                      <w:rFonts w:hint="eastAsia"/>
                      <w:bCs/>
                      <w:color w:val="auto"/>
                      <w:highlight w:val="none"/>
                    </w:rPr>
                  </w:pPr>
                  <w:r>
                    <w:rPr>
                      <w:rFonts w:hint="eastAsia"/>
                      <w:bCs/>
                      <w:color w:val="auto"/>
                      <w:highlight w:val="none"/>
                    </w:rPr>
                    <w:t>能源利用总量及效率要求</w:t>
                  </w:r>
                </w:p>
                <w:p>
                  <w:pPr>
                    <w:rPr>
                      <w:rFonts w:hint="eastAsia"/>
                      <w:bCs/>
                      <w:color w:val="auto"/>
                      <w:highlight w:val="none"/>
                    </w:rPr>
                  </w:pPr>
                  <w:r>
                    <w:rPr>
                      <w:rFonts w:hint="eastAsia"/>
                      <w:bCs/>
                      <w:color w:val="auto"/>
                      <w:highlight w:val="none"/>
                    </w:rPr>
                    <w:t>暂无</w:t>
                  </w:r>
                </w:p>
                <w:p>
                  <w:pPr>
                    <w:rPr>
                      <w:rFonts w:hint="eastAsia"/>
                      <w:bCs/>
                      <w:color w:val="auto"/>
                      <w:highlight w:val="none"/>
                    </w:rPr>
                  </w:pPr>
                  <w:r>
                    <w:rPr>
                      <w:rFonts w:hint="eastAsia"/>
                      <w:bCs/>
                      <w:color w:val="auto"/>
                      <w:highlight w:val="none"/>
                    </w:rPr>
                    <w:t>禁燃区要求</w:t>
                  </w:r>
                </w:p>
                <w:p>
                  <w:pPr>
                    <w:rPr>
                      <w:rFonts w:hint="eastAsia"/>
                      <w:bCs/>
                      <w:color w:val="auto"/>
                      <w:highlight w:val="none"/>
                    </w:rPr>
                  </w:pPr>
                  <w:r>
                    <w:rPr>
                      <w:rFonts w:hint="eastAsia"/>
                      <w:bCs/>
                      <w:color w:val="auto"/>
                      <w:highlight w:val="none"/>
                    </w:rPr>
                    <w:t>暂无</w:t>
                  </w:r>
                </w:p>
                <w:p>
                  <w:pPr>
                    <w:rPr>
                      <w:rFonts w:hint="eastAsia"/>
                      <w:bCs/>
                      <w:color w:val="auto"/>
                      <w:highlight w:val="none"/>
                    </w:rPr>
                  </w:pPr>
                  <w:r>
                    <w:rPr>
                      <w:rFonts w:hint="eastAsia"/>
                      <w:bCs/>
                      <w:color w:val="auto"/>
                      <w:highlight w:val="none"/>
                    </w:rPr>
                    <w:t>其他资源利用效率要求</w:t>
                  </w:r>
                </w:p>
                <w:p>
                  <w:pPr>
                    <w:rPr>
                      <w:rFonts w:hint="eastAsia"/>
                      <w:bCs/>
                      <w:color w:val="auto"/>
                      <w:kern w:val="2"/>
                      <w:sz w:val="21"/>
                      <w:szCs w:val="24"/>
                      <w:highlight w:val="none"/>
                      <w:lang w:val="en-US" w:eastAsia="zh-CN" w:bidi="ar-SA"/>
                    </w:rPr>
                  </w:pPr>
                  <w:r>
                    <w:rPr>
                      <w:rFonts w:hint="eastAsia"/>
                      <w:bCs/>
                      <w:color w:val="auto"/>
                      <w:highlight w:val="none"/>
                    </w:rPr>
                    <w:t>暂无</w:t>
                  </w:r>
                </w:p>
              </w:tc>
              <w:tc>
                <w:tcPr>
                  <w:tcW w:w="1464" w:type="pct"/>
                  <w:noWrap w:val="0"/>
                  <w:vAlign w:val="center"/>
                </w:tcPr>
                <w:p>
                  <w:pPr>
                    <w:rPr>
                      <w:rFonts w:hint="default"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eastAsia="宋体" w:cs="Times New Roman"/>
                      <w:bCs/>
                      <w:color w:val="auto"/>
                      <w:kern w:val="2"/>
                      <w:sz w:val="21"/>
                      <w:szCs w:val="24"/>
                      <w:highlight w:val="none"/>
                      <w:lang w:val="en-US" w:eastAsia="zh-CN" w:bidi="ar-SA"/>
                    </w:rPr>
                    <w:t>/</w:t>
                  </w:r>
                </w:p>
              </w:tc>
              <w:tc>
                <w:tcPr>
                  <w:tcW w:w="202" w:type="pct"/>
                  <w:noWrap w:val="0"/>
                  <w:vAlign w:val="center"/>
                </w:tcPr>
                <w:p>
                  <w:pPr>
                    <w:jc w:val="center"/>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Cs/>
                      <w:color w:val="auto"/>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top"/>
                </w:tcPr>
                <w:p>
                  <w:pPr>
                    <w:jc w:val="center"/>
                    <w:rPr>
                      <w:rFonts w:hint="eastAsia" w:ascii="Times New Roman" w:hAnsi="Times New Roman" w:cs="Times New Roman"/>
                      <w:bCs/>
                      <w:color w:val="auto"/>
                      <w:highlight w:val="none"/>
                    </w:rPr>
                  </w:pPr>
                </w:p>
              </w:tc>
              <w:tc>
                <w:tcPr>
                  <w:tcW w:w="207" w:type="pct"/>
                  <w:vMerge w:val="restart"/>
                  <w:noWrap w:val="0"/>
                  <w:vAlign w:val="center"/>
                </w:tcPr>
                <w:p>
                  <w:pPr>
                    <w:jc w:val="center"/>
                    <w:rPr>
                      <w:bCs/>
                      <w:color w:val="auto"/>
                      <w:highlight w:val="none"/>
                    </w:rPr>
                  </w:pPr>
                  <w:r>
                    <w:rPr>
                      <w:rFonts w:hint="eastAsia"/>
                      <w:bCs/>
                      <w:color w:val="auto"/>
                      <w:highlight w:val="none"/>
                    </w:rPr>
                    <w:t>单元</w:t>
                  </w:r>
                  <w:r>
                    <w:rPr>
                      <w:rFonts w:hint="eastAsia"/>
                      <w:bCs/>
                      <w:color w:val="auto"/>
                      <w:highlight w:val="none"/>
                      <w:lang w:val="en-US" w:eastAsia="zh-CN"/>
                    </w:rPr>
                    <w:t>级清单</w:t>
                  </w:r>
                  <w:r>
                    <w:rPr>
                      <w:rFonts w:hint="eastAsia"/>
                      <w:bCs/>
                      <w:color w:val="auto"/>
                      <w:highlight w:val="none"/>
                    </w:rPr>
                    <w:t>管控要求</w:t>
                  </w:r>
                </w:p>
              </w:tc>
              <w:tc>
                <w:tcPr>
                  <w:tcW w:w="312" w:type="pct"/>
                  <w:noWrap w:val="0"/>
                  <w:vAlign w:val="center"/>
                </w:tcPr>
                <w:p>
                  <w:pPr>
                    <w:pStyle w:val="54"/>
                    <w:widowControl/>
                    <w:spacing w:line="240" w:lineRule="auto"/>
                    <w:ind w:firstLine="0" w:firstLineChars="0"/>
                    <w:jc w:val="center"/>
                    <w:rPr>
                      <w:rFonts w:ascii="宋体" w:hAnsi="宋体" w:eastAsia="宋体" w:cs="Times New Roman"/>
                      <w:color w:val="auto"/>
                      <w:kern w:val="2"/>
                      <w:sz w:val="21"/>
                      <w:szCs w:val="21"/>
                      <w:highlight w:val="none"/>
                      <w:lang w:val="en-US" w:eastAsia="zh-CN" w:bidi="ar-SA"/>
                    </w:rPr>
                  </w:pPr>
                  <w:r>
                    <w:rPr>
                      <w:rFonts w:hint="eastAsia" w:ascii="宋体" w:hAnsi="宋体" w:eastAsia="宋体"/>
                      <w:color w:val="auto"/>
                      <w:sz w:val="21"/>
                      <w:highlight w:val="none"/>
                    </w:rPr>
                    <w:t>空间布局约束</w:t>
                  </w:r>
                </w:p>
              </w:tc>
              <w:tc>
                <w:tcPr>
                  <w:tcW w:w="2505" w:type="pct"/>
                  <w:noWrap w:val="0"/>
                  <w:vAlign w:val="center"/>
                </w:tcPr>
                <w:p>
                  <w:pPr>
                    <w:rPr>
                      <w:rFonts w:hint="eastAsia"/>
                      <w:bCs/>
                      <w:color w:val="auto"/>
                      <w:highlight w:val="none"/>
                    </w:rPr>
                  </w:pPr>
                  <w:r>
                    <w:rPr>
                      <w:rFonts w:hint="eastAsia"/>
                      <w:bCs/>
                      <w:color w:val="auto"/>
                      <w:highlight w:val="none"/>
                    </w:rPr>
                    <w:t>禁止开发建设活动的要求</w:t>
                  </w:r>
                </w:p>
                <w:p>
                  <w:pPr>
                    <w:rPr>
                      <w:rFonts w:hint="eastAsia"/>
                      <w:bCs/>
                      <w:color w:val="auto"/>
                      <w:highlight w:val="none"/>
                    </w:rPr>
                  </w:pPr>
                  <w:r>
                    <w:rPr>
                      <w:rFonts w:hint="eastAsia"/>
                      <w:bCs/>
                      <w:color w:val="auto"/>
                      <w:highlight w:val="none"/>
                    </w:rPr>
                    <w:t>限制开发建设活动的要求</w:t>
                  </w:r>
                </w:p>
                <w:p>
                  <w:pPr>
                    <w:rPr>
                      <w:rFonts w:hint="eastAsia"/>
                      <w:bCs/>
                      <w:color w:val="auto"/>
                      <w:highlight w:val="none"/>
                    </w:rPr>
                  </w:pPr>
                  <w:r>
                    <w:rPr>
                      <w:rFonts w:hint="eastAsia"/>
                      <w:bCs/>
                      <w:color w:val="auto"/>
                      <w:highlight w:val="none"/>
                    </w:rPr>
                    <w:t>允许开发建设活动的要求</w:t>
                  </w:r>
                </w:p>
                <w:p>
                  <w:pPr>
                    <w:rPr>
                      <w:rFonts w:hint="eastAsia"/>
                      <w:bCs/>
                      <w:color w:val="auto"/>
                      <w:highlight w:val="none"/>
                    </w:rPr>
                  </w:pPr>
                  <w:r>
                    <w:rPr>
                      <w:rFonts w:hint="eastAsia"/>
                      <w:bCs/>
                      <w:color w:val="auto"/>
                      <w:highlight w:val="none"/>
                    </w:rPr>
                    <w:t>不符合空间布局要求活动的退出要求</w:t>
                  </w:r>
                </w:p>
                <w:p>
                  <w:pPr>
                    <w:rPr>
                      <w:bCs/>
                      <w:color w:val="auto"/>
                      <w:highlight w:val="none"/>
                    </w:rPr>
                  </w:pPr>
                  <w:r>
                    <w:rPr>
                      <w:rFonts w:hint="eastAsia"/>
                      <w:bCs/>
                      <w:color w:val="auto"/>
                      <w:highlight w:val="none"/>
                    </w:rPr>
                    <w:t>其他空间布局约束要求</w:t>
                  </w:r>
                </w:p>
              </w:tc>
              <w:tc>
                <w:tcPr>
                  <w:tcW w:w="1464" w:type="pct"/>
                  <w:noWrap w:val="0"/>
                  <w:vAlign w:val="center"/>
                </w:tcPr>
                <w:p>
                  <w:pPr>
                    <w:rPr>
                      <w:rFonts w:hint="eastAsia" w:eastAsia="宋体"/>
                      <w:bCs/>
                      <w:color w:val="auto"/>
                      <w:highlight w:val="none"/>
                      <w:lang w:val="en-US" w:eastAsia="zh-CN"/>
                    </w:rPr>
                  </w:pPr>
                  <w:r>
                    <w:rPr>
                      <w:rFonts w:hint="eastAsia"/>
                      <w:bCs/>
                      <w:color w:val="auto"/>
                      <w:highlight w:val="none"/>
                      <w:lang w:val="en-US" w:eastAsia="zh-CN"/>
                    </w:rPr>
                    <w:t>/</w:t>
                  </w:r>
                </w:p>
              </w:tc>
              <w:tc>
                <w:tcPr>
                  <w:tcW w:w="202" w:type="pct"/>
                  <w:noWrap w:val="0"/>
                  <w:vAlign w:val="center"/>
                </w:tcPr>
                <w:p>
                  <w:pPr>
                    <w:jc w:val="center"/>
                    <w:rPr>
                      <w:rFonts w:hint="eastAsia" w:eastAsia="宋体"/>
                      <w:bCs/>
                      <w:color w:val="auto"/>
                      <w:highlight w:val="none"/>
                      <w:lang w:eastAsia="zh-CN"/>
                    </w:rPr>
                  </w:pPr>
                  <w:r>
                    <w:rPr>
                      <w:rFonts w:hint="eastAsia"/>
                      <w:bCs/>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top"/>
                </w:tcPr>
                <w:p>
                  <w:pPr>
                    <w:jc w:val="center"/>
                    <w:rPr>
                      <w:rFonts w:hint="eastAsia" w:ascii="Times New Roman" w:hAnsi="Times New Roman" w:cs="Times New Roman"/>
                      <w:bCs/>
                      <w:color w:val="auto"/>
                      <w:highlight w:val="none"/>
                    </w:rPr>
                  </w:pPr>
                </w:p>
              </w:tc>
              <w:tc>
                <w:tcPr>
                  <w:tcW w:w="207" w:type="pct"/>
                  <w:vMerge w:val="continue"/>
                  <w:noWrap w:val="0"/>
                  <w:vAlign w:val="top"/>
                </w:tcPr>
                <w:p>
                  <w:pPr>
                    <w:jc w:val="center"/>
                    <w:rPr>
                      <w:bCs/>
                      <w:color w:val="auto"/>
                      <w:highlight w:val="none"/>
                    </w:rPr>
                  </w:pPr>
                </w:p>
              </w:tc>
              <w:tc>
                <w:tcPr>
                  <w:tcW w:w="312" w:type="pct"/>
                  <w:noWrap w:val="0"/>
                  <w:vAlign w:val="center"/>
                </w:tcPr>
                <w:p>
                  <w:pPr>
                    <w:pStyle w:val="54"/>
                    <w:widowControl/>
                    <w:spacing w:line="240" w:lineRule="auto"/>
                    <w:ind w:firstLine="0" w:firstLineChars="0"/>
                    <w:jc w:val="center"/>
                    <w:rPr>
                      <w:rFonts w:ascii="宋体" w:hAnsi="宋体" w:eastAsia="宋体" w:cs="Times New Roman"/>
                      <w:color w:val="auto"/>
                      <w:kern w:val="2"/>
                      <w:sz w:val="21"/>
                      <w:szCs w:val="21"/>
                      <w:highlight w:val="none"/>
                      <w:lang w:val="en-US" w:eastAsia="zh-CN" w:bidi="ar-SA"/>
                    </w:rPr>
                  </w:pPr>
                  <w:r>
                    <w:rPr>
                      <w:rFonts w:hint="eastAsia" w:ascii="宋体" w:hAnsi="宋体" w:eastAsia="宋体"/>
                      <w:color w:val="auto"/>
                      <w:sz w:val="21"/>
                      <w:highlight w:val="none"/>
                    </w:rPr>
                    <w:t>污染物排放管控</w:t>
                  </w:r>
                </w:p>
              </w:tc>
              <w:tc>
                <w:tcPr>
                  <w:tcW w:w="2505" w:type="pct"/>
                  <w:noWrap w:val="0"/>
                  <w:vAlign w:val="center"/>
                </w:tcPr>
                <w:p>
                  <w:pPr>
                    <w:rPr>
                      <w:rFonts w:hint="eastAsia"/>
                      <w:bCs/>
                      <w:color w:val="auto"/>
                      <w:highlight w:val="none"/>
                    </w:rPr>
                  </w:pPr>
                  <w:r>
                    <w:rPr>
                      <w:rFonts w:hint="eastAsia"/>
                      <w:bCs/>
                      <w:color w:val="auto"/>
                      <w:highlight w:val="none"/>
                    </w:rPr>
                    <w:t>大气环境质量执行标准</w:t>
                  </w:r>
                </w:p>
                <w:p>
                  <w:pPr>
                    <w:rPr>
                      <w:rFonts w:hint="eastAsia"/>
                      <w:bCs/>
                      <w:color w:val="auto"/>
                      <w:highlight w:val="none"/>
                    </w:rPr>
                  </w:pPr>
                  <w:r>
                    <w:rPr>
                      <w:rFonts w:hint="eastAsia"/>
                      <w:bCs/>
                      <w:color w:val="auto"/>
                      <w:highlight w:val="none"/>
                    </w:rPr>
                    <w:t>《环境空气质量标准》（GB3095-2012）：二级</w:t>
                  </w:r>
                </w:p>
                <w:p>
                  <w:pPr>
                    <w:rPr>
                      <w:rFonts w:hint="eastAsia"/>
                      <w:bCs/>
                      <w:color w:val="auto"/>
                      <w:highlight w:val="none"/>
                    </w:rPr>
                  </w:pPr>
                  <w:r>
                    <w:rPr>
                      <w:rFonts w:hint="eastAsia"/>
                      <w:bCs/>
                      <w:color w:val="auto"/>
                      <w:highlight w:val="none"/>
                    </w:rPr>
                    <w:t>区域大气污染物削减/替代要求</w:t>
                  </w:r>
                </w:p>
                <w:p>
                  <w:pPr>
                    <w:rPr>
                      <w:rFonts w:hint="eastAsia"/>
                      <w:bCs/>
                      <w:color w:val="auto"/>
                      <w:highlight w:val="none"/>
                    </w:rPr>
                  </w:pPr>
                  <w:r>
                    <w:rPr>
                      <w:rFonts w:hint="eastAsia"/>
                      <w:bCs/>
                      <w:color w:val="auto"/>
                      <w:highlight w:val="none"/>
                    </w:rPr>
                    <w:t>对新建排放二氧化硫、氮氧化物和挥发性有机物的项目实施现役源等量削减量替代。</w:t>
                  </w:r>
                </w:p>
                <w:p>
                  <w:pPr>
                    <w:rPr>
                      <w:rFonts w:hint="eastAsia"/>
                      <w:bCs/>
                      <w:color w:val="auto"/>
                      <w:highlight w:val="none"/>
                    </w:rPr>
                  </w:pPr>
                  <w:r>
                    <w:rPr>
                      <w:rFonts w:hint="eastAsia"/>
                      <w:bCs/>
                      <w:color w:val="auto"/>
                      <w:highlight w:val="none"/>
                    </w:rPr>
                    <w:t>燃煤和其他能源大气污染控制要求</w:t>
                  </w:r>
                </w:p>
                <w:p>
                  <w:pPr>
                    <w:rPr>
                      <w:rFonts w:hint="eastAsia"/>
                      <w:bCs/>
                      <w:color w:val="auto"/>
                      <w:highlight w:val="none"/>
                    </w:rPr>
                  </w:pPr>
                  <w:r>
                    <w:rPr>
                      <w:rFonts w:hint="eastAsia"/>
                      <w:bCs/>
                      <w:color w:val="auto"/>
                      <w:highlight w:val="none"/>
                    </w:rPr>
                    <w:t>工业废气污染控制要求</w:t>
                  </w:r>
                </w:p>
                <w:p>
                  <w:pPr>
                    <w:rPr>
                      <w:rFonts w:hint="eastAsia"/>
                      <w:bCs/>
                      <w:color w:val="auto"/>
                      <w:highlight w:val="none"/>
                    </w:rPr>
                  </w:pPr>
                  <w:r>
                    <w:rPr>
                      <w:rFonts w:hint="eastAsia"/>
                      <w:bCs/>
                      <w:color w:val="auto"/>
                      <w:highlight w:val="none"/>
                    </w:rPr>
                    <w:t>机动车船大气污染控制要求</w:t>
                  </w:r>
                </w:p>
                <w:p>
                  <w:pPr>
                    <w:rPr>
                      <w:rFonts w:hint="eastAsia"/>
                      <w:bCs/>
                      <w:color w:val="auto"/>
                      <w:highlight w:val="none"/>
                    </w:rPr>
                  </w:pPr>
                  <w:r>
                    <w:rPr>
                      <w:rFonts w:hint="eastAsia"/>
                      <w:bCs/>
                      <w:color w:val="auto"/>
                      <w:highlight w:val="none"/>
                    </w:rPr>
                    <w:t>加强城市交通管理。优化城市功能和布局规划，调整城区路网结构。通过错峰上下班、调整停车费、智能交通管理和服务等手段，提高机动车通行效率。实施公交优先战略，加快公共交通一体化发展，大幅提高公共交通出行分担率，建立公众出行信息服务平台。加快步行和自行车交通系统建设，改善居民步行、自行车出行条件，倡导绿色出行。新建或改扩建的城市主干道、次干道，设置步行道和自行车道，城市支路和居住区道路设置步行道。鼓励燃油机动车驾驶人在不影响道路通行且需停车三分钟以上的情况下熄灭发动机。</w:t>
                  </w:r>
                </w:p>
                <w:p>
                  <w:pPr>
                    <w:rPr>
                      <w:rFonts w:hint="eastAsia"/>
                      <w:bCs/>
                      <w:color w:val="auto"/>
                      <w:highlight w:val="none"/>
                    </w:rPr>
                  </w:pPr>
                  <w:r>
                    <w:rPr>
                      <w:rFonts w:hint="eastAsia"/>
                      <w:bCs/>
                      <w:color w:val="auto"/>
                      <w:highlight w:val="none"/>
                    </w:rPr>
                    <w:t>扬尘污染控制要求</w:t>
                  </w:r>
                </w:p>
                <w:p>
                  <w:pPr>
                    <w:rPr>
                      <w:rFonts w:hint="eastAsia"/>
                      <w:bCs/>
                      <w:color w:val="auto"/>
                      <w:highlight w:val="none"/>
                    </w:rPr>
                  </w:pPr>
                  <w:r>
                    <w:rPr>
                      <w:rFonts w:hint="eastAsia"/>
                      <w:bCs/>
                      <w:color w:val="auto"/>
                      <w:highlight w:val="none"/>
                    </w:rPr>
                    <w:t>强化施工扬尘监管。严格执行《四川省建筑工程扬尘污染防治技术导则（试行）》、《四川省施工场地扬尘排放标准》（DB51/2682-2026）、《巴中市扬尘污染防治条例》相关要求。建立和完善扬尘污染防治长效机制，以新区开发建设和旧城改造区域为重点，实施建设工地扬尘精细化管理。推进绿色文明施工，严格落实施工现场扬尘治理“六必须、六不准”的要求。</w:t>
                  </w:r>
                </w:p>
                <w:p>
                  <w:pPr>
                    <w:rPr>
                      <w:rFonts w:hint="eastAsia"/>
                      <w:bCs/>
                      <w:color w:val="auto"/>
                      <w:highlight w:val="none"/>
                    </w:rPr>
                  </w:pPr>
                  <w:r>
                    <w:rPr>
                      <w:rFonts w:hint="eastAsia"/>
                      <w:bCs/>
                      <w:color w:val="auto"/>
                      <w:highlight w:val="none"/>
                    </w:rPr>
                    <w:t>农业生产经营活动大气污染控制要求</w:t>
                  </w:r>
                </w:p>
                <w:p>
                  <w:pPr>
                    <w:rPr>
                      <w:rFonts w:hint="eastAsia"/>
                      <w:bCs/>
                      <w:color w:val="auto"/>
                      <w:highlight w:val="none"/>
                    </w:rPr>
                  </w:pPr>
                  <w:r>
                    <w:rPr>
                      <w:rFonts w:hint="eastAsia"/>
                      <w:bCs/>
                      <w:color w:val="auto"/>
                      <w:highlight w:val="none"/>
                    </w:rPr>
                    <w:t>重点行业企业专项治理要求</w:t>
                  </w:r>
                </w:p>
                <w:p>
                  <w:pPr>
                    <w:rPr>
                      <w:rFonts w:hint="eastAsia"/>
                      <w:bCs/>
                      <w:color w:val="auto"/>
                      <w:highlight w:val="none"/>
                    </w:rPr>
                  </w:pPr>
                  <w:r>
                    <w:rPr>
                      <w:rFonts w:hint="eastAsia"/>
                      <w:bCs/>
                      <w:color w:val="auto"/>
                      <w:highlight w:val="none"/>
                    </w:rPr>
                    <w:t>推进重点行业污染治理升级改造。强化工业企业无组织排放管控，推动实施水泥行业超低排放改造。开展砖瓦行业及燃煤锅炉无组织排放排查，建立管理台账，对物料（含废渣）运输、装卸、储存、转移和工艺过程等无组织排放实施有效治理。</w:t>
                  </w:r>
                </w:p>
                <w:p>
                  <w:pPr>
                    <w:rPr>
                      <w:rFonts w:hint="eastAsia"/>
                      <w:bCs/>
                      <w:color w:val="auto"/>
                      <w:highlight w:val="none"/>
                    </w:rPr>
                  </w:pPr>
                  <w:r>
                    <w:rPr>
                      <w:rFonts w:hint="eastAsia"/>
                      <w:bCs/>
                      <w:color w:val="auto"/>
                      <w:highlight w:val="none"/>
                    </w:rPr>
                    <w:t>其他大气污染物排放管控要求</w:t>
                  </w:r>
                </w:p>
                <w:p>
                  <w:pPr>
                    <w:rPr>
                      <w:bCs/>
                      <w:color w:val="auto"/>
                      <w:highlight w:val="none"/>
                    </w:rPr>
                  </w:pPr>
                  <w:r>
                    <w:rPr>
                      <w:rFonts w:hint="eastAsia"/>
                      <w:bCs/>
                      <w:color w:val="auto"/>
                      <w:highlight w:val="none"/>
                    </w:rPr>
                    <w:t>减少工业化、城镇化对大气环境的影响，严格执行国家、省、市下达的相关大气污染防治要求。</w:t>
                  </w:r>
                </w:p>
              </w:tc>
              <w:tc>
                <w:tcPr>
                  <w:tcW w:w="1464" w:type="pct"/>
                  <w:noWrap w:val="0"/>
                  <w:vAlign w:val="center"/>
                </w:tcPr>
                <w:p>
                  <w:pPr>
                    <w:rPr>
                      <w:rFonts w:hint="default" w:eastAsia="宋体"/>
                      <w:bCs/>
                      <w:color w:val="auto"/>
                      <w:highlight w:val="none"/>
                      <w:lang w:val="en-US" w:eastAsia="zh-CN"/>
                    </w:rPr>
                  </w:pPr>
                  <w:r>
                    <w:rPr>
                      <w:rFonts w:hint="eastAsia"/>
                      <w:bCs/>
                      <w:color w:val="auto"/>
                      <w:highlight w:val="none"/>
                    </w:rPr>
                    <w:t>本项目施工期扬尘严格执行《四川省建筑工程扬尘污染防治技术导则（试行）》、《四川省施工场地扬尘排放标准》（DB51/2682-2040）、《巴中市扬尘污染防治条例》相关要求，尽量减少扬尘对环境的影响。</w:t>
                  </w:r>
                </w:p>
              </w:tc>
              <w:tc>
                <w:tcPr>
                  <w:tcW w:w="202" w:type="pct"/>
                  <w:noWrap w:val="0"/>
                  <w:vAlign w:val="center"/>
                </w:tcPr>
                <w:p>
                  <w:pPr>
                    <w:jc w:val="center"/>
                    <w:rPr>
                      <w:bCs/>
                      <w:color w:val="auto"/>
                      <w:highlight w:val="none"/>
                    </w:rPr>
                  </w:pPr>
                  <w:r>
                    <w:rPr>
                      <w:rFonts w:hint="eastAsia"/>
                      <w:bCs/>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top"/>
                </w:tcPr>
                <w:p>
                  <w:pPr>
                    <w:jc w:val="center"/>
                    <w:rPr>
                      <w:bCs/>
                      <w:color w:val="auto"/>
                      <w:highlight w:val="none"/>
                    </w:rPr>
                  </w:pPr>
                </w:p>
              </w:tc>
              <w:tc>
                <w:tcPr>
                  <w:tcW w:w="207" w:type="pct"/>
                  <w:vMerge w:val="continue"/>
                  <w:noWrap w:val="0"/>
                  <w:vAlign w:val="top"/>
                </w:tcPr>
                <w:p>
                  <w:pPr>
                    <w:jc w:val="center"/>
                    <w:rPr>
                      <w:bCs/>
                      <w:color w:val="auto"/>
                      <w:highlight w:val="none"/>
                    </w:rPr>
                  </w:pPr>
                </w:p>
              </w:tc>
              <w:tc>
                <w:tcPr>
                  <w:tcW w:w="312" w:type="pct"/>
                  <w:noWrap w:val="0"/>
                  <w:vAlign w:val="center"/>
                </w:tcPr>
                <w:p>
                  <w:pPr>
                    <w:pStyle w:val="54"/>
                    <w:widowControl/>
                    <w:spacing w:line="240" w:lineRule="auto"/>
                    <w:ind w:firstLine="0" w:firstLineChars="0"/>
                    <w:jc w:val="center"/>
                    <w:rPr>
                      <w:rFonts w:ascii="宋体" w:hAnsi="宋体" w:eastAsia="宋体" w:cs="Times New Roman"/>
                      <w:color w:val="auto"/>
                      <w:kern w:val="2"/>
                      <w:sz w:val="21"/>
                      <w:szCs w:val="21"/>
                      <w:highlight w:val="none"/>
                      <w:lang w:val="en-US" w:eastAsia="zh-CN" w:bidi="ar-SA"/>
                    </w:rPr>
                  </w:pPr>
                  <w:r>
                    <w:rPr>
                      <w:rFonts w:hint="eastAsia" w:ascii="宋体" w:hAnsi="宋体" w:eastAsia="宋体"/>
                      <w:color w:val="auto"/>
                      <w:sz w:val="21"/>
                      <w:highlight w:val="none"/>
                    </w:rPr>
                    <w:t>环境风险防控</w:t>
                  </w:r>
                </w:p>
              </w:tc>
              <w:tc>
                <w:tcPr>
                  <w:tcW w:w="2505" w:type="pct"/>
                  <w:vMerge w:val="restart"/>
                  <w:noWrap w:val="0"/>
                  <w:vAlign w:val="center"/>
                </w:tcPr>
                <w:p>
                  <w:pPr>
                    <w:rPr>
                      <w:bCs/>
                      <w:color w:val="auto"/>
                      <w:highlight w:val="none"/>
                    </w:rPr>
                  </w:pPr>
                  <w:r>
                    <w:rPr>
                      <w:rFonts w:hint="eastAsia"/>
                      <w:bCs/>
                      <w:color w:val="auto"/>
                      <w:highlight w:val="none"/>
                    </w:rPr>
                    <w:t>/</w:t>
                  </w:r>
                </w:p>
              </w:tc>
              <w:tc>
                <w:tcPr>
                  <w:tcW w:w="1464" w:type="pct"/>
                  <w:vMerge w:val="restart"/>
                  <w:noWrap w:val="0"/>
                  <w:vAlign w:val="center"/>
                </w:tcPr>
                <w:p>
                  <w:pPr>
                    <w:rPr>
                      <w:bCs/>
                      <w:color w:val="auto"/>
                      <w:highlight w:val="none"/>
                    </w:rPr>
                  </w:pPr>
                  <w:r>
                    <w:rPr>
                      <w:rFonts w:hint="eastAsia"/>
                      <w:bCs/>
                      <w:color w:val="auto"/>
                      <w:highlight w:val="none"/>
                    </w:rPr>
                    <w:t>/</w:t>
                  </w:r>
                </w:p>
              </w:tc>
              <w:tc>
                <w:tcPr>
                  <w:tcW w:w="202" w:type="pct"/>
                  <w:vMerge w:val="restart"/>
                  <w:noWrap w:val="0"/>
                  <w:vAlign w:val="center"/>
                </w:tcPr>
                <w:p>
                  <w:pPr>
                    <w:jc w:val="center"/>
                    <w:rPr>
                      <w:rFonts w:hint="eastAsia" w:eastAsia="宋体"/>
                      <w:bCs/>
                      <w:color w:val="auto"/>
                      <w:highlight w:val="none"/>
                      <w:lang w:eastAsia="zh-CN"/>
                    </w:rPr>
                  </w:pPr>
                  <w:r>
                    <w:rPr>
                      <w:rFonts w:hint="eastAsia"/>
                      <w:bCs/>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2" w:type="dxa"/>
                  <w:bottom w:w="0" w:type="dxa"/>
                  <w:right w:w="142" w:type="dxa"/>
                </w:tblCellMar>
              </w:tblPrEx>
              <w:trPr>
                <w:jc w:val="center"/>
              </w:trPr>
              <w:tc>
                <w:tcPr>
                  <w:tcW w:w="308" w:type="pct"/>
                  <w:vMerge w:val="continue"/>
                  <w:noWrap w:val="0"/>
                  <w:vAlign w:val="top"/>
                </w:tcPr>
                <w:p>
                  <w:pPr>
                    <w:jc w:val="center"/>
                    <w:rPr>
                      <w:bCs/>
                      <w:color w:val="auto"/>
                      <w:highlight w:val="none"/>
                    </w:rPr>
                  </w:pPr>
                </w:p>
              </w:tc>
              <w:tc>
                <w:tcPr>
                  <w:tcW w:w="207" w:type="pct"/>
                  <w:vMerge w:val="continue"/>
                  <w:noWrap w:val="0"/>
                  <w:vAlign w:val="top"/>
                </w:tcPr>
                <w:p>
                  <w:pPr>
                    <w:jc w:val="center"/>
                    <w:rPr>
                      <w:bCs/>
                      <w:color w:val="auto"/>
                      <w:highlight w:val="none"/>
                    </w:rPr>
                  </w:pPr>
                </w:p>
              </w:tc>
              <w:tc>
                <w:tcPr>
                  <w:tcW w:w="312" w:type="pct"/>
                  <w:noWrap w:val="0"/>
                  <w:vAlign w:val="center"/>
                </w:tcPr>
                <w:p>
                  <w:pPr>
                    <w:pStyle w:val="54"/>
                    <w:widowControl/>
                    <w:spacing w:line="240" w:lineRule="auto"/>
                    <w:ind w:firstLine="0" w:firstLineChars="0"/>
                    <w:jc w:val="center"/>
                    <w:rPr>
                      <w:rFonts w:ascii="宋体" w:hAnsi="宋体" w:eastAsia="宋体" w:cs="Times New Roman"/>
                      <w:color w:val="auto"/>
                      <w:kern w:val="2"/>
                      <w:sz w:val="21"/>
                      <w:szCs w:val="21"/>
                      <w:highlight w:val="none"/>
                      <w:lang w:val="en-US" w:eastAsia="zh-CN" w:bidi="ar-SA"/>
                    </w:rPr>
                  </w:pPr>
                  <w:r>
                    <w:rPr>
                      <w:rFonts w:hint="eastAsia" w:ascii="宋体" w:hAnsi="宋体" w:eastAsia="宋体"/>
                      <w:color w:val="auto"/>
                      <w:sz w:val="21"/>
                      <w:highlight w:val="none"/>
                    </w:rPr>
                    <w:t>资源开发效率要求</w:t>
                  </w:r>
                </w:p>
              </w:tc>
              <w:tc>
                <w:tcPr>
                  <w:tcW w:w="2505" w:type="pct"/>
                  <w:vMerge w:val="continue"/>
                  <w:noWrap w:val="0"/>
                  <w:vAlign w:val="center"/>
                </w:tcPr>
                <w:p>
                  <w:pPr>
                    <w:rPr>
                      <w:bCs/>
                      <w:color w:val="auto"/>
                      <w:highlight w:val="none"/>
                    </w:rPr>
                  </w:pPr>
                </w:p>
              </w:tc>
              <w:tc>
                <w:tcPr>
                  <w:tcW w:w="1464" w:type="pct"/>
                  <w:vMerge w:val="continue"/>
                  <w:noWrap w:val="0"/>
                  <w:vAlign w:val="center"/>
                </w:tcPr>
                <w:p>
                  <w:pPr>
                    <w:rPr>
                      <w:bCs/>
                      <w:color w:val="auto"/>
                      <w:highlight w:val="none"/>
                    </w:rPr>
                  </w:pPr>
                </w:p>
              </w:tc>
              <w:tc>
                <w:tcPr>
                  <w:tcW w:w="202" w:type="pct"/>
                  <w:vMerge w:val="continue"/>
                  <w:noWrap w:val="0"/>
                  <w:vAlign w:val="center"/>
                </w:tcPr>
                <w:p>
                  <w:pPr>
                    <w:jc w:val="center"/>
                    <w:rPr>
                      <w:bCs/>
                      <w:color w:val="auto"/>
                      <w:highlight w:val="none"/>
                    </w:rPr>
                  </w:pPr>
                </w:p>
              </w:tc>
            </w:tr>
          </w:tbl>
          <w:p>
            <w:pPr>
              <w:spacing w:line="360" w:lineRule="auto"/>
              <w:ind w:firstLine="420" w:firstLineChars="200"/>
              <w:rPr>
                <w:rFonts w:hint="eastAsia" w:ascii="宋体" w:hAnsi="宋体" w:cs="宋体"/>
                <w:color w:val="auto"/>
                <w:kern w:val="0"/>
                <w:szCs w:val="21"/>
                <w:highlight w:val="none"/>
                <w:vertAlign w:val="baseline"/>
              </w:rPr>
            </w:pPr>
          </w:p>
          <w:p>
            <w:pPr>
              <w:spacing w:line="360" w:lineRule="auto"/>
              <w:ind w:firstLine="420" w:firstLineChars="200"/>
              <w:rPr>
                <w:rFonts w:hint="eastAsia" w:ascii="宋体" w:hAnsi="宋体" w:cs="宋体"/>
                <w:color w:val="auto"/>
                <w:kern w:val="0"/>
                <w:szCs w:val="21"/>
                <w:highlight w:val="none"/>
                <w:vertAlign w:val="baseline"/>
              </w:rPr>
            </w:pPr>
          </w:p>
          <w:p>
            <w:pPr>
              <w:spacing w:line="360" w:lineRule="auto"/>
              <w:ind w:firstLine="420" w:firstLineChars="200"/>
              <w:rPr>
                <w:rFonts w:hint="eastAsia" w:ascii="宋体" w:hAnsi="宋体" w:cs="宋体"/>
                <w:color w:val="auto"/>
                <w:kern w:val="0"/>
                <w:szCs w:val="21"/>
                <w:highlight w:val="none"/>
                <w:vertAlign w:val="baseline"/>
              </w:rPr>
            </w:pPr>
          </w:p>
          <w:p>
            <w:pPr>
              <w:spacing w:line="360" w:lineRule="auto"/>
              <w:ind w:firstLine="420" w:firstLineChars="200"/>
              <w:rPr>
                <w:rFonts w:hint="eastAsia" w:ascii="宋体" w:hAnsi="宋体" w:cs="宋体"/>
                <w:color w:val="auto"/>
                <w:kern w:val="0"/>
                <w:szCs w:val="21"/>
                <w:highlight w:val="none"/>
                <w:vertAlign w:val="baseline"/>
              </w:rPr>
            </w:pPr>
          </w:p>
          <w:p>
            <w:pPr>
              <w:spacing w:line="360" w:lineRule="auto"/>
              <w:ind w:firstLine="420" w:firstLineChars="200"/>
              <w:rPr>
                <w:rFonts w:hint="eastAsia" w:ascii="宋体" w:hAnsi="宋体" w:cs="宋体"/>
                <w:color w:val="auto"/>
                <w:kern w:val="0"/>
                <w:szCs w:val="21"/>
                <w:highlight w:val="none"/>
                <w:vertAlign w:val="baseline"/>
              </w:rPr>
            </w:pPr>
          </w:p>
          <w:p>
            <w:pPr>
              <w:spacing w:line="360" w:lineRule="auto"/>
              <w:ind w:firstLine="420" w:firstLineChars="200"/>
              <w:rPr>
                <w:rFonts w:hint="eastAsia" w:ascii="宋体" w:hAnsi="宋体" w:cs="宋体"/>
                <w:color w:val="auto"/>
                <w:kern w:val="0"/>
                <w:szCs w:val="21"/>
                <w:highlight w:val="none"/>
                <w:vertAlign w:val="baseline"/>
              </w:rPr>
            </w:pPr>
          </w:p>
          <w:p>
            <w:pPr>
              <w:spacing w:line="360" w:lineRule="auto"/>
              <w:ind w:firstLine="420" w:firstLineChars="200"/>
              <w:rPr>
                <w:rFonts w:hint="eastAsia" w:ascii="宋体" w:hAnsi="宋体" w:cs="宋体"/>
                <w:color w:val="auto"/>
                <w:kern w:val="0"/>
                <w:szCs w:val="21"/>
                <w:highlight w:val="none"/>
                <w:vertAlign w:val="baseline"/>
              </w:rPr>
            </w:pPr>
          </w:p>
          <w:p>
            <w:pPr>
              <w:spacing w:line="360" w:lineRule="auto"/>
              <w:ind w:firstLine="420" w:firstLineChars="200"/>
              <w:rPr>
                <w:rFonts w:hint="eastAsia" w:ascii="宋体" w:hAnsi="宋体" w:cs="宋体"/>
                <w:color w:val="auto"/>
                <w:kern w:val="0"/>
                <w:szCs w:val="21"/>
                <w:highlight w:val="none"/>
                <w:vertAlign w:val="baseline"/>
              </w:rPr>
            </w:pPr>
          </w:p>
          <w:p>
            <w:pPr>
              <w:spacing w:line="360" w:lineRule="auto"/>
              <w:ind w:firstLine="420" w:firstLineChars="200"/>
              <w:rPr>
                <w:rFonts w:hint="eastAsia" w:ascii="宋体" w:hAnsi="宋体" w:cs="宋体"/>
                <w:color w:val="auto"/>
                <w:kern w:val="0"/>
                <w:szCs w:val="21"/>
                <w:highlight w:val="none"/>
                <w:vertAlign w:val="baseline"/>
              </w:rPr>
            </w:pPr>
          </w:p>
        </w:tc>
      </w:tr>
    </w:tbl>
    <w:p>
      <w:pPr>
        <w:autoSpaceDE w:val="0"/>
        <w:autoSpaceDN w:val="0"/>
        <w:adjustRightInd w:val="0"/>
        <w:snapToGrid w:val="0"/>
        <w:jc w:val="both"/>
        <w:rPr>
          <w:rFonts w:hint="eastAsia" w:ascii="宋体" w:hAnsi="宋体" w:cs="宋体"/>
          <w:color w:val="auto"/>
          <w:kern w:val="0"/>
          <w:szCs w:val="21"/>
          <w:highlight w:val="none"/>
        </w:rPr>
        <w:sectPr>
          <w:pgSz w:w="16838" w:h="11906" w:orient="landscape"/>
          <w:pgMar w:top="1531" w:right="1701" w:bottom="1531" w:left="1701" w:header="851" w:footer="1077" w:gutter="0"/>
          <w:cols w:space="720" w:num="1"/>
          <w:docGrid w:linePitch="312" w:charSpace="0"/>
        </w:sectPr>
      </w:pP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21"/>
        <w:gridCol w:w="74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21" w:type="dxa"/>
            <w:noWrap w:val="0"/>
            <w:vAlign w:val="center"/>
          </w:tcPr>
          <w:p>
            <w:pPr>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br w:type="page"/>
            </w:r>
          </w:p>
        </w:tc>
        <w:tc>
          <w:tcPr>
            <w:tcW w:w="7449" w:type="dxa"/>
            <w:noWrap w:val="0"/>
            <w:vAlign w:val="center"/>
          </w:tcPr>
          <w:p>
            <w:pPr>
              <w:spacing w:line="360" w:lineRule="auto"/>
              <w:ind w:firstLine="482" w:firstLineChars="200"/>
              <w:rPr>
                <w:b/>
                <w:color w:val="auto"/>
                <w:sz w:val="24"/>
                <w:highlight w:val="none"/>
              </w:rPr>
            </w:pPr>
            <w:r>
              <w:rPr>
                <w:rFonts w:hint="eastAsia"/>
                <w:b/>
                <w:color w:val="auto"/>
                <w:sz w:val="24"/>
                <w:highlight w:val="none"/>
              </w:rPr>
              <w:t>（4）</w:t>
            </w:r>
            <w:r>
              <w:rPr>
                <w:b/>
                <w:color w:val="auto"/>
                <w:sz w:val="24"/>
                <w:highlight w:val="none"/>
              </w:rPr>
              <w:t>项目与</w:t>
            </w:r>
            <w:r>
              <w:rPr>
                <w:rFonts w:hint="eastAsia" w:ascii="宋体" w:hAnsi="宋体" w:cs="宋体"/>
                <w:b/>
                <w:color w:val="auto"/>
                <w:sz w:val="24"/>
                <w:highlight w:val="none"/>
              </w:rPr>
              <w:t>“三线一单”</w:t>
            </w:r>
            <w:r>
              <w:rPr>
                <w:b/>
                <w:color w:val="auto"/>
                <w:sz w:val="24"/>
                <w:highlight w:val="none"/>
              </w:rPr>
              <w:t>的符合性分析结论</w:t>
            </w:r>
          </w:p>
          <w:p>
            <w:pPr>
              <w:spacing w:line="360" w:lineRule="auto"/>
              <w:ind w:firstLine="480" w:firstLineChars="200"/>
              <w:rPr>
                <w:b/>
                <w:color w:val="auto"/>
                <w:sz w:val="24"/>
                <w:highlight w:val="none"/>
              </w:rPr>
            </w:pPr>
            <w:r>
              <w:rPr>
                <w:color w:val="auto"/>
                <w:sz w:val="24"/>
                <w:highlight w:val="none"/>
              </w:rPr>
              <w:t>本项目位于</w:t>
            </w:r>
            <w:r>
              <w:rPr>
                <w:rFonts w:hint="eastAsia"/>
                <w:color w:val="auto"/>
                <w:sz w:val="24"/>
                <w:highlight w:val="none"/>
                <w:lang w:val="en-US" w:eastAsia="zh-CN"/>
              </w:rPr>
              <w:t>四川</w:t>
            </w:r>
            <w:r>
              <w:rPr>
                <w:rFonts w:hint="default"/>
                <w:color w:val="auto"/>
                <w:sz w:val="24"/>
                <w:highlight w:val="none"/>
              </w:rPr>
              <w:t>省</w:t>
            </w:r>
            <w:r>
              <w:rPr>
                <w:rFonts w:hint="eastAsia"/>
                <w:color w:val="auto"/>
                <w:sz w:val="24"/>
                <w:highlight w:val="none"/>
                <w:lang w:val="en-US" w:eastAsia="zh-CN"/>
              </w:rPr>
              <w:t>巴中</w:t>
            </w:r>
            <w:r>
              <w:rPr>
                <w:rFonts w:hint="default"/>
                <w:color w:val="auto"/>
                <w:sz w:val="24"/>
                <w:highlight w:val="none"/>
              </w:rPr>
              <w:t>市</w:t>
            </w:r>
            <w:r>
              <w:rPr>
                <w:rFonts w:hint="eastAsia"/>
                <w:color w:val="auto"/>
                <w:sz w:val="24"/>
                <w:highlight w:val="none"/>
                <w:lang w:val="en-US" w:eastAsia="zh-CN"/>
              </w:rPr>
              <w:t>恩阳食品工业园</w:t>
            </w:r>
            <w:r>
              <w:rPr>
                <w:color w:val="auto"/>
                <w:sz w:val="24"/>
                <w:highlight w:val="none"/>
              </w:rPr>
              <w:t>，属于</w:t>
            </w:r>
            <w:r>
              <w:rPr>
                <w:rFonts w:hint="eastAsia"/>
                <w:color w:val="auto"/>
                <w:sz w:val="24"/>
                <w:highlight w:val="none"/>
              </w:rPr>
              <w:t>豆制品制造</w:t>
            </w:r>
            <w:r>
              <w:rPr>
                <w:rFonts w:hint="eastAsia"/>
                <w:color w:val="auto"/>
                <w:sz w:val="24"/>
                <w:highlight w:val="none"/>
                <w:lang w:val="en-US" w:eastAsia="zh-CN"/>
              </w:rPr>
              <w:t>项目</w:t>
            </w:r>
            <w:r>
              <w:rPr>
                <w:color w:val="auto"/>
                <w:sz w:val="24"/>
                <w:highlight w:val="none"/>
              </w:rPr>
              <w:t>，项目相关建设内容符合该管控单元的普适性清单和单元级清单要求。</w:t>
            </w:r>
          </w:p>
          <w:p>
            <w:pPr>
              <w:adjustRightInd w:val="0"/>
              <w:snapToGrid w:val="0"/>
              <w:spacing w:line="360" w:lineRule="auto"/>
              <w:jc w:val="both"/>
              <w:rPr>
                <w:rFonts w:hint="default" w:ascii="Times New Roman" w:hAnsi="Times New Roman" w:eastAsia="宋体" w:cs="宋体"/>
                <w:b/>
                <w:bCs/>
                <w:color w:val="auto"/>
                <w:kern w:val="0"/>
                <w:sz w:val="24"/>
                <w:szCs w:val="24"/>
                <w:highlight w:val="none"/>
                <w:lang w:val="en-US" w:eastAsia="zh-CN" w:bidi="ar"/>
              </w:rPr>
            </w:pPr>
            <w:r>
              <w:rPr>
                <w:rFonts w:hint="eastAsia" w:ascii="Times New Roman" w:hAnsi="Times New Roman" w:eastAsia="宋体" w:cs="宋体"/>
                <w:b/>
                <w:bCs/>
                <w:color w:val="auto"/>
                <w:kern w:val="0"/>
                <w:sz w:val="24"/>
                <w:szCs w:val="24"/>
                <w:highlight w:val="none"/>
                <w:lang w:val="en-US" w:eastAsia="zh-CN" w:bidi="ar"/>
              </w:rPr>
              <w:t>4、选址合理性分析</w:t>
            </w:r>
          </w:p>
          <w:p>
            <w:pPr>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外环境关系</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ascii="Times New Roman" w:hAnsi="Times New Roman" w:eastAsia="宋体" w:cs="Times New Roman"/>
                <w:color w:val="auto"/>
                <w:sz w:val="24"/>
                <w:highlight w:val="none"/>
              </w:rPr>
              <w:t>根</w:t>
            </w:r>
            <w:r>
              <w:rPr>
                <w:rFonts w:hint="eastAsia" w:ascii="Times New Roman" w:hAnsi="Times New Roman" w:eastAsia="宋体" w:cs="Times New Roman"/>
                <w:color w:val="auto"/>
                <w:sz w:val="24"/>
                <w:highlight w:val="none"/>
                <w:lang w:val="en-US" w:eastAsia="zh-CN"/>
              </w:rPr>
              <w:t>据现场踏勘，本项目北侧主要为柳林镇场镇，36m处为柳林中学；东北侧326m处为柳林镇食品药品监管所；东侧和东南侧主要为工业企业；南侧96m处为巴中市天果农业科技有限公司，252m处为大坝河；西南侧居民最近距离为291m，290m处为柳林镇场镇生活污水处理站，242m处为工商所办公处，246m处为巴中五仓宝盈农牧有限公司，198m处为中国石化加油站；西侧主要为居民，最近距离为120m，466m处为成巴高速-柳林站；西北侧397m处为柳林小学。本项目外环境关系表如下表所示。</w:t>
            </w:r>
          </w:p>
          <w:p>
            <w:pPr>
              <w:adjustRightInd w:val="0"/>
              <w:snapToGrid w:val="0"/>
              <w:spacing w:line="360" w:lineRule="auto"/>
              <w:jc w:val="center"/>
              <w:rPr>
                <w:rFonts w:hint="eastAsia" w:ascii="Times New Roman" w:hAnsi="Times New Roman" w:eastAsia="宋体" w:cs="Times New Roman"/>
                <w:b/>
                <w:bCs/>
                <w:color w:val="auto"/>
                <w:kern w:val="0"/>
                <w:szCs w:val="21"/>
                <w:highlight w:val="none"/>
                <w:lang w:val="en-US" w:eastAsia="zh-CN"/>
              </w:rPr>
            </w:pPr>
            <w:r>
              <w:rPr>
                <w:rFonts w:hint="eastAsia" w:ascii="Times New Roman" w:hAnsi="Times New Roman" w:eastAsia="宋体" w:cs="Times New Roman"/>
                <w:b/>
                <w:bCs/>
                <w:color w:val="auto"/>
                <w:kern w:val="0"/>
                <w:szCs w:val="21"/>
                <w:highlight w:val="none"/>
                <w:lang w:val="en-US" w:eastAsia="zh-CN"/>
              </w:rPr>
              <w:t>表1-4  项目外环境关系表</w:t>
            </w:r>
          </w:p>
          <w:tbl>
            <w:tblPr>
              <w:tblStyle w:val="21"/>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2653"/>
              <w:gridCol w:w="1124"/>
              <w:gridCol w:w="1192"/>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508" w:type="pct"/>
                  <w:noWrap w:val="0"/>
                  <w:vAlign w:val="center"/>
                </w:tcPr>
                <w:p>
                  <w:pPr>
                    <w:adjustRightInd w:val="0"/>
                    <w:snapToGrid w:val="0"/>
                    <w:jc w:val="center"/>
                    <w:rPr>
                      <w:b/>
                      <w:bCs/>
                      <w:color w:val="auto"/>
                      <w:kern w:val="0"/>
                      <w:szCs w:val="21"/>
                      <w:highlight w:val="none"/>
                    </w:rPr>
                  </w:pPr>
                  <w:r>
                    <w:rPr>
                      <w:b/>
                      <w:bCs/>
                      <w:color w:val="auto"/>
                      <w:kern w:val="0"/>
                      <w:szCs w:val="21"/>
                      <w:highlight w:val="none"/>
                    </w:rPr>
                    <w:t>序号</w:t>
                  </w:r>
                </w:p>
              </w:tc>
              <w:tc>
                <w:tcPr>
                  <w:tcW w:w="1839" w:type="pct"/>
                  <w:noWrap w:val="0"/>
                  <w:vAlign w:val="center"/>
                </w:tcPr>
                <w:p>
                  <w:pPr>
                    <w:adjustRightInd w:val="0"/>
                    <w:snapToGrid w:val="0"/>
                    <w:jc w:val="center"/>
                    <w:rPr>
                      <w:b/>
                      <w:bCs/>
                      <w:color w:val="auto"/>
                      <w:kern w:val="0"/>
                      <w:szCs w:val="21"/>
                      <w:highlight w:val="none"/>
                    </w:rPr>
                  </w:pPr>
                  <w:r>
                    <w:rPr>
                      <w:b/>
                      <w:bCs/>
                      <w:color w:val="auto"/>
                      <w:kern w:val="0"/>
                      <w:szCs w:val="21"/>
                      <w:highlight w:val="none"/>
                    </w:rPr>
                    <w:t>名称</w:t>
                  </w:r>
                </w:p>
              </w:tc>
              <w:tc>
                <w:tcPr>
                  <w:tcW w:w="779" w:type="pct"/>
                  <w:noWrap w:val="0"/>
                  <w:vAlign w:val="center"/>
                </w:tcPr>
                <w:p>
                  <w:pPr>
                    <w:adjustRightInd w:val="0"/>
                    <w:snapToGrid w:val="0"/>
                    <w:jc w:val="center"/>
                    <w:rPr>
                      <w:rFonts w:hint="eastAsia"/>
                      <w:b/>
                      <w:bCs/>
                      <w:color w:val="auto"/>
                      <w:kern w:val="0"/>
                      <w:szCs w:val="21"/>
                      <w:highlight w:val="none"/>
                    </w:rPr>
                  </w:pPr>
                  <w:r>
                    <w:rPr>
                      <w:rFonts w:hint="eastAsia"/>
                      <w:b/>
                      <w:bCs/>
                      <w:color w:val="auto"/>
                      <w:kern w:val="0"/>
                      <w:szCs w:val="21"/>
                      <w:highlight w:val="none"/>
                    </w:rPr>
                    <w:t>方位</w:t>
                  </w:r>
                </w:p>
              </w:tc>
              <w:tc>
                <w:tcPr>
                  <w:tcW w:w="826" w:type="pct"/>
                  <w:noWrap w:val="0"/>
                  <w:vAlign w:val="center"/>
                </w:tcPr>
                <w:p>
                  <w:pPr>
                    <w:adjustRightInd w:val="0"/>
                    <w:snapToGrid w:val="0"/>
                    <w:jc w:val="center"/>
                    <w:rPr>
                      <w:b/>
                      <w:bCs/>
                      <w:color w:val="auto"/>
                      <w:kern w:val="0"/>
                      <w:szCs w:val="21"/>
                      <w:highlight w:val="none"/>
                    </w:rPr>
                  </w:pPr>
                  <w:r>
                    <w:rPr>
                      <w:rFonts w:hint="eastAsia"/>
                      <w:b/>
                      <w:bCs/>
                      <w:color w:val="auto"/>
                      <w:kern w:val="0"/>
                      <w:szCs w:val="21"/>
                      <w:highlight w:val="none"/>
                    </w:rPr>
                    <w:t>最近距离（m）</w:t>
                  </w:r>
                </w:p>
              </w:tc>
              <w:tc>
                <w:tcPr>
                  <w:tcW w:w="1047" w:type="pct"/>
                  <w:noWrap w:val="0"/>
                  <w:vAlign w:val="center"/>
                </w:tcPr>
                <w:p>
                  <w:pPr>
                    <w:adjustRightInd w:val="0"/>
                    <w:snapToGrid w:val="0"/>
                    <w:jc w:val="center"/>
                    <w:rPr>
                      <w:b/>
                      <w:bCs/>
                      <w:color w:val="auto"/>
                      <w:kern w:val="0"/>
                      <w:szCs w:val="21"/>
                      <w:highlight w:val="none"/>
                    </w:rPr>
                  </w:pPr>
                  <w:r>
                    <w:rPr>
                      <w:b/>
                      <w:bCs/>
                      <w:color w:val="auto"/>
                      <w:kern w:val="0"/>
                      <w:szCs w:val="21"/>
                      <w:highlight w:val="none"/>
                    </w:rPr>
                    <w:t>目标情况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508" w:type="pct"/>
                  <w:noWrap w:val="0"/>
                  <w:vAlign w:val="center"/>
                </w:tcPr>
                <w:p>
                  <w:pPr>
                    <w:adjustRightInd w:val="0"/>
                    <w:snapToGrid w:val="0"/>
                    <w:jc w:val="center"/>
                    <w:rPr>
                      <w:color w:val="auto"/>
                      <w:kern w:val="0"/>
                      <w:szCs w:val="21"/>
                      <w:highlight w:val="none"/>
                    </w:rPr>
                  </w:pPr>
                  <w:r>
                    <w:rPr>
                      <w:color w:val="auto"/>
                      <w:kern w:val="0"/>
                      <w:szCs w:val="21"/>
                      <w:highlight w:val="none"/>
                    </w:rPr>
                    <w:t>1</w:t>
                  </w:r>
                </w:p>
              </w:tc>
              <w:tc>
                <w:tcPr>
                  <w:tcW w:w="1839" w:type="pct"/>
                  <w:noWrap w:val="0"/>
                  <w:vAlign w:val="center"/>
                </w:tcPr>
                <w:p>
                  <w:pPr>
                    <w:adjustRightInd w:val="0"/>
                    <w:snapToGrid w:val="0"/>
                    <w:jc w:val="center"/>
                    <w:rPr>
                      <w:rFonts w:hint="default"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柳林中学</w:t>
                  </w:r>
                </w:p>
              </w:tc>
              <w:tc>
                <w:tcPr>
                  <w:tcW w:w="779" w:type="pct"/>
                  <w:noWrap w:val="0"/>
                  <w:vAlign w:val="center"/>
                </w:tcPr>
                <w:p>
                  <w:pPr>
                    <w:adjustRightInd w:val="0"/>
                    <w:snapToGrid w:val="0"/>
                    <w:jc w:val="center"/>
                    <w:rPr>
                      <w:rFonts w:hint="default"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北侧</w:t>
                  </w:r>
                </w:p>
              </w:tc>
              <w:tc>
                <w:tcPr>
                  <w:tcW w:w="826" w:type="pct"/>
                  <w:noWrap w:val="0"/>
                  <w:vAlign w:val="center"/>
                </w:tcPr>
                <w:p>
                  <w:pPr>
                    <w:adjustRightInd w:val="0"/>
                    <w:snapToGrid w:val="0"/>
                    <w:jc w:val="center"/>
                    <w:rPr>
                      <w:rFonts w:hint="default"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36</w:t>
                  </w:r>
                </w:p>
              </w:tc>
              <w:tc>
                <w:tcPr>
                  <w:tcW w:w="1047" w:type="pct"/>
                  <w:noWrap w:val="0"/>
                  <w:vAlign w:val="center"/>
                </w:tcPr>
                <w:p>
                  <w:pPr>
                    <w:adjustRightInd w:val="0"/>
                    <w:snapToGrid w:val="0"/>
                    <w:jc w:val="center"/>
                    <w:rPr>
                      <w:rFonts w:hint="default"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08" w:type="pct"/>
                  <w:noWrap w:val="0"/>
                  <w:vAlign w:val="center"/>
                </w:tcPr>
                <w:p>
                  <w:pPr>
                    <w:adjustRightInd w:val="0"/>
                    <w:snapToGrid w:val="0"/>
                    <w:jc w:val="center"/>
                    <w:rPr>
                      <w:rFonts w:hint="eastAsia"/>
                      <w:color w:val="auto"/>
                      <w:kern w:val="0"/>
                      <w:sz w:val="21"/>
                      <w:szCs w:val="21"/>
                      <w:highlight w:val="none"/>
                      <w:lang w:val="en-US" w:eastAsia="zh-CN" w:bidi="ar-SA"/>
                    </w:rPr>
                  </w:pPr>
                  <w:r>
                    <w:rPr>
                      <w:color w:val="auto"/>
                      <w:kern w:val="0"/>
                      <w:szCs w:val="21"/>
                      <w:highlight w:val="none"/>
                    </w:rPr>
                    <w:t>2</w:t>
                  </w:r>
                </w:p>
              </w:tc>
              <w:tc>
                <w:tcPr>
                  <w:tcW w:w="1839"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柳林镇场镇</w:t>
                  </w:r>
                </w:p>
              </w:tc>
              <w:tc>
                <w:tcPr>
                  <w:tcW w:w="779"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北侧、西侧</w:t>
                  </w:r>
                </w:p>
              </w:tc>
              <w:tc>
                <w:tcPr>
                  <w:tcW w:w="826"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w:t>
                  </w:r>
                </w:p>
              </w:tc>
              <w:tc>
                <w:tcPr>
                  <w:tcW w:w="1047" w:type="pct"/>
                  <w:noWrap w:val="0"/>
                  <w:vAlign w:val="center"/>
                </w:tcPr>
                <w:p>
                  <w:pPr>
                    <w:adjustRightInd w:val="0"/>
                    <w:snapToGrid w:val="0"/>
                    <w:jc w:val="center"/>
                    <w:rPr>
                      <w:color w:val="auto"/>
                      <w:kern w:val="0"/>
                      <w:szCs w:val="21"/>
                      <w:highlight w:val="none"/>
                    </w:rPr>
                  </w:pPr>
                  <w:r>
                    <w:rPr>
                      <w:rFonts w:hint="eastAsia" w:eastAsia="宋体"/>
                      <w:color w:val="auto"/>
                      <w:kern w:val="0"/>
                      <w:sz w:val="21"/>
                      <w:szCs w:val="21"/>
                      <w:highlight w:val="none"/>
                      <w:lang w:val="en-US" w:eastAsia="zh-CN" w:bidi="ar-SA"/>
                    </w:rPr>
                    <w:t>场镇人群聚集地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pct"/>
                  <w:noWrap w:val="0"/>
                  <w:vAlign w:val="center"/>
                </w:tcPr>
                <w:p>
                  <w:pPr>
                    <w:adjustRightInd w:val="0"/>
                    <w:snapToGrid w:val="0"/>
                    <w:jc w:val="center"/>
                    <w:rPr>
                      <w:rFonts w:hint="eastAsia"/>
                      <w:color w:val="auto"/>
                      <w:kern w:val="0"/>
                      <w:sz w:val="21"/>
                      <w:szCs w:val="21"/>
                      <w:highlight w:val="none"/>
                      <w:lang w:val="en-US" w:eastAsia="zh-CN" w:bidi="ar-SA"/>
                    </w:rPr>
                  </w:pPr>
                  <w:r>
                    <w:rPr>
                      <w:rFonts w:hint="eastAsia"/>
                      <w:color w:val="auto"/>
                      <w:kern w:val="0"/>
                      <w:szCs w:val="21"/>
                      <w:highlight w:val="none"/>
                    </w:rPr>
                    <w:t>3</w:t>
                  </w:r>
                </w:p>
              </w:tc>
              <w:tc>
                <w:tcPr>
                  <w:tcW w:w="1839"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柳林镇食品药品监管所</w:t>
                  </w:r>
                </w:p>
              </w:tc>
              <w:tc>
                <w:tcPr>
                  <w:tcW w:w="779" w:type="pct"/>
                  <w:noWrap w:val="0"/>
                  <w:vAlign w:val="center"/>
                </w:tcPr>
                <w:p>
                  <w:pPr>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东北侧</w:t>
                  </w:r>
                </w:p>
              </w:tc>
              <w:tc>
                <w:tcPr>
                  <w:tcW w:w="826"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326</w:t>
                  </w:r>
                </w:p>
              </w:tc>
              <w:tc>
                <w:tcPr>
                  <w:tcW w:w="1047"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机关单位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08" w:type="pct"/>
                  <w:noWrap w:val="0"/>
                  <w:vAlign w:val="center"/>
                </w:tcPr>
                <w:p>
                  <w:pPr>
                    <w:adjustRightInd w:val="0"/>
                    <w:snapToGrid w:val="0"/>
                    <w:jc w:val="center"/>
                    <w:rPr>
                      <w:rFonts w:hint="eastAsia"/>
                      <w:color w:val="auto"/>
                      <w:kern w:val="0"/>
                      <w:sz w:val="21"/>
                      <w:szCs w:val="21"/>
                      <w:highlight w:val="none"/>
                      <w:lang w:val="en-US" w:eastAsia="zh-CN" w:bidi="ar-SA"/>
                    </w:rPr>
                  </w:pPr>
                  <w:r>
                    <w:rPr>
                      <w:color w:val="auto"/>
                      <w:kern w:val="0"/>
                      <w:szCs w:val="21"/>
                      <w:highlight w:val="none"/>
                    </w:rPr>
                    <w:t>4</w:t>
                  </w:r>
                </w:p>
              </w:tc>
              <w:tc>
                <w:tcPr>
                  <w:tcW w:w="1839" w:type="pct"/>
                  <w:noWrap w:val="0"/>
                  <w:vAlign w:val="center"/>
                </w:tcPr>
                <w:p>
                  <w:pPr>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巴中市惠丰农业开发有限公司</w:t>
                  </w:r>
                </w:p>
              </w:tc>
              <w:tc>
                <w:tcPr>
                  <w:tcW w:w="779" w:type="pct"/>
                  <w:noWrap w:val="0"/>
                  <w:vAlign w:val="center"/>
                </w:tcPr>
                <w:p>
                  <w:pPr>
                    <w:adjustRightInd w:val="0"/>
                    <w:snapToGrid w:val="0"/>
                    <w:jc w:val="center"/>
                    <w:rPr>
                      <w:rFonts w:hint="eastAsia"/>
                      <w:color w:val="auto"/>
                      <w:kern w:val="0"/>
                      <w:szCs w:val="21"/>
                      <w:highlight w:val="none"/>
                      <w:lang w:val="en-US" w:eastAsia="zh-CN"/>
                    </w:rPr>
                  </w:pPr>
                  <w:r>
                    <w:rPr>
                      <w:rFonts w:hint="eastAsia"/>
                      <w:color w:val="auto"/>
                      <w:kern w:val="0"/>
                      <w:szCs w:val="21"/>
                      <w:highlight w:val="none"/>
                      <w:lang w:val="en-US" w:eastAsia="zh-CN"/>
                    </w:rPr>
                    <w:t>东侧</w:t>
                  </w:r>
                </w:p>
              </w:tc>
              <w:tc>
                <w:tcPr>
                  <w:tcW w:w="826"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12</w:t>
                  </w:r>
                </w:p>
              </w:tc>
              <w:tc>
                <w:tcPr>
                  <w:tcW w:w="1047" w:type="pct"/>
                  <w:noWrap w:val="0"/>
                  <w:vAlign w:val="center"/>
                </w:tcPr>
                <w:p>
                  <w:pPr>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仓储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08" w:type="pct"/>
                  <w:noWrap w:val="0"/>
                  <w:vAlign w:val="center"/>
                </w:tcPr>
                <w:p>
                  <w:pPr>
                    <w:adjustRightInd w:val="0"/>
                    <w:snapToGrid w:val="0"/>
                    <w:jc w:val="center"/>
                    <w:rPr>
                      <w:rFonts w:hint="eastAsia"/>
                      <w:color w:val="auto"/>
                      <w:kern w:val="0"/>
                      <w:sz w:val="21"/>
                      <w:szCs w:val="21"/>
                      <w:highlight w:val="none"/>
                      <w:lang w:val="en-US" w:eastAsia="zh-CN" w:bidi="ar-SA"/>
                    </w:rPr>
                  </w:pPr>
                  <w:r>
                    <w:rPr>
                      <w:color w:val="auto"/>
                      <w:kern w:val="0"/>
                      <w:szCs w:val="21"/>
                      <w:highlight w:val="none"/>
                    </w:rPr>
                    <w:t>5</w:t>
                  </w:r>
                </w:p>
              </w:tc>
              <w:tc>
                <w:tcPr>
                  <w:tcW w:w="1839" w:type="pct"/>
                  <w:noWrap w:val="0"/>
                  <w:vAlign w:val="center"/>
                </w:tcPr>
                <w:p>
                  <w:pPr>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巴中市绿阳科技有限公司</w:t>
                  </w:r>
                </w:p>
              </w:tc>
              <w:tc>
                <w:tcPr>
                  <w:tcW w:w="779" w:type="pct"/>
                  <w:noWrap w:val="0"/>
                  <w:vAlign w:val="center"/>
                </w:tcPr>
                <w:p>
                  <w:pPr>
                    <w:adjustRightInd w:val="0"/>
                    <w:snapToGrid w:val="0"/>
                    <w:jc w:val="center"/>
                    <w:rPr>
                      <w:rFonts w:hint="eastAsia"/>
                      <w:color w:val="auto"/>
                      <w:kern w:val="0"/>
                      <w:szCs w:val="21"/>
                      <w:highlight w:val="none"/>
                      <w:lang w:val="en-US" w:eastAsia="zh-CN"/>
                    </w:rPr>
                  </w:pPr>
                  <w:r>
                    <w:rPr>
                      <w:rFonts w:hint="eastAsia"/>
                      <w:color w:val="auto"/>
                      <w:kern w:val="0"/>
                      <w:szCs w:val="21"/>
                      <w:highlight w:val="none"/>
                      <w:lang w:val="en-US" w:eastAsia="zh-CN"/>
                    </w:rPr>
                    <w:t>东侧</w:t>
                  </w:r>
                </w:p>
              </w:tc>
              <w:tc>
                <w:tcPr>
                  <w:tcW w:w="826"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87</w:t>
                  </w:r>
                </w:p>
              </w:tc>
              <w:tc>
                <w:tcPr>
                  <w:tcW w:w="1047" w:type="pct"/>
                  <w:noWrap w:val="0"/>
                  <w:vAlign w:val="center"/>
                </w:tcPr>
                <w:p>
                  <w:pPr>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08" w:type="pct"/>
                  <w:noWrap w:val="0"/>
                  <w:vAlign w:val="center"/>
                </w:tcPr>
                <w:p>
                  <w:pPr>
                    <w:adjustRightInd w:val="0"/>
                    <w:snapToGrid w:val="0"/>
                    <w:jc w:val="center"/>
                    <w:rPr>
                      <w:color w:val="auto"/>
                      <w:kern w:val="0"/>
                      <w:sz w:val="21"/>
                      <w:szCs w:val="21"/>
                      <w:highlight w:val="none"/>
                      <w:lang w:val="en-US" w:eastAsia="zh-CN" w:bidi="ar-SA"/>
                    </w:rPr>
                  </w:pPr>
                  <w:r>
                    <w:rPr>
                      <w:color w:val="auto"/>
                      <w:kern w:val="0"/>
                      <w:szCs w:val="21"/>
                      <w:highlight w:val="none"/>
                    </w:rPr>
                    <w:t>6</w:t>
                  </w:r>
                </w:p>
              </w:tc>
              <w:tc>
                <w:tcPr>
                  <w:tcW w:w="1839" w:type="pct"/>
                  <w:noWrap w:val="0"/>
                  <w:vAlign w:val="center"/>
                </w:tcPr>
                <w:p>
                  <w:pPr>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四川省恩阳安碧捷芦笋产业发展有限公司</w:t>
                  </w:r>
                </w:p>
              </w:tc>
              <w:tc>
                <w:tcPr>
                  <w:tcW w:w="779" w:type="pct"/>
                  <w:noWrap w:val="0"/>
                  <w:vAlign w:val="center"/>
                </w:tcPr>
                <w:p>
                  <w:pPr>
                    <w:adjustRightInd w:val="0"/>
                    <w:snapToGrid w:val="0"/>
                    <w:jc w:val="center"/>
                    <w:rPr>
                      <w:rFonts w:hint="eastAsia"/>
                      <w:color w:val="auto"/>
                      <w:kern w:val="0"/>
                      <w:szCs w:val="21"/>
                      <w:highlight w:val="none"/>
                      <w:lang w:val="en-US" w:eastAsia="zh-CN"/>
                    </w:rPr>
                  </w:pPr>
                  <w:r>
                    <w:rPr>
                      <w:rFonts w:hint="eastAsia"/>
                      <w:color w:val="auto"/>
                      <w:kern w:val="0"/>
                      <w:szCs w:val="21"/>
                      <w:highlight w:val="none"/>
                      <w:lang w:val="en-US" w:eastAsia="zh-CN"/>
                    </w:rPr>
                    <w:t>东侧</w:t>
                  </w:r>
                </w:p>
              </w:tc>
              <w:tc>
                <w:tcPr>
                  <w:tcW w:w="826"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12</w:t>
                  </w:r>
                </w:p>
              </w:tc>
              <w:tc>
                <w:tcPr>
                  <w:tcW w:w="1047"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食品饮料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08" w:type="pct"/>
                  <w:noWrap w:val="0"/>
                  <w:vAlign w:val="center"/>
                </w:tcPr>
                <w:p>
                  <w:pPr>
                    <w:adjustRightInd w:val="0"/>
                    <w:snapToGrid w:val="0"/>
                    <w:jc w:val="center"/>
                    <w:rPr>
                      <w:rFonts w:hint="eastAsia"/>
                      <w:color w:val="auto"/>
                      <w:kern w:val="0"/>
                      <w:sz w:val="21"/>
                      <w:szCs w:val="21"/>
                      <w:highlight w:val="none"/>
                      <w:lang w:val="en-US" w:eastAsia="zh-CN" w:bidi="ar-SA"/>
                    </w:rPr>
                  </w:pPr>
                  <w:r>
                    <w:rPr>
                      <w:color w:val="auto"/>
                      <w:kern w:val="0"/>
                      <w:szCs w:val="21"/>
                      <w:highlight w:val="none"/>
                    </w:rPr>
                    <w:t>7</w:t>
                  </w:r>
                </w:p>
              </w:tc>
              <w:tc>
                <w:tcPr>
                  <w:tcW w:w="1839"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四川好彩头食品股份有限公司</w:t>
                  </w:r>
                </w:p>
              </w:tc>
              <w:tc>
                <w:tcPr>
                  <w:tcW w:w="779" w:type="pct"/>
                  <w:noWrap w:val="0"/>
                  <w:vAlign w:val="center"/>
                </w:tcPr>
                <w:p>
                  <w:pPr>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东侧</w:t>
                  </w:r>
                </w:p>
              </w:tc>
              <w:tc>
                <w:tcPr>
                  <w:tcW w:w="826"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252</w:t>
                  </w:r>
                </w:p>
              </w:tc>
              <w:tc>
                <w:tcPr>
                  <w:tcW w:w="1047"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食品饮料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08" w:type="pct"/>
                  <w:noWrap w:val="0"/>
                  <w:vAlign w:val="center"/>
                </w:tcPr>
                <w:p>
                  <w:pPr>
                    <w:adjustRightInd w:val="0"/>
                    <w:snapToGrid w:val="0"/>
                    <w:jc w:val="center"/>
                    <w:rPr>
                      <w:rFonts w:hint="eastAsia"/>
                      <w:color w:val="auto"/>
                      <w:kern w:val="0"/>
                      <w:sz w:val="21"/>
                      <w:szCs w:val="21"/>
                      <w:highlight w:val="none"/>
                      <w:lang w:val="en-US" w:eastAsia="zh-CN" w:bidi="ar-SA"/>
                    </w:rPr>
                  </w:pPr>
                  <w:r>
                    <w:rPr>
                      <w:rFonts w:hint="eastAsia"/>
                      <w:color w:val="auto"/>
                      <w:kern w:val="0"/>
                      <w:szCs w:val="21"/>
                      <w:highlight w:val="none"/>
                    </w:rPr>
                    <w:t>8</w:t>
                  </w:r>
                </w:p>
              </w:tc>
              <w:tc>
                <w:tcPr>
                  <w:tcW w:w="1839"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恩阳粮食储备库</w:t>
                  </w:r>
                </w:p>
              </w:tc>
              <w:tc>
                <w:tcPr>
                  <w:tcW w:w="779" w:type="pct"/>
                  <w:noWrap w:val="0"/>
                  <w:vAlign w:val="center"/>
                </w:tcPr>
                <w:p>
                  <w:pPr>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东南侧</w:t>
                  </w:r>
                </w:p>
              </w:tc>
              <w:tc>
                <w:tcPr>
                  <w:tcW w:w="826"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470</w:t>
                  </w:r>
                </w:p>
              </w:tc>
              <w:tc>
                <w:tcPr>
                  <w:tcW w:w="1047" w:type="pct"/>
                  <w:noWrap w:val="0"/>
                  <w:vAlign w:val="center"/>
                </w:tcPr>
                <w:p>
                  <w:pPr>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仓储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08" w:type="pct"/>
                  <w:noWrap w:val="0"/>
                  <w:vAlign w:val="center"/>
                </w:tcPr>
                <w:p>
                  <w:pPr>
                    <w:adjustRightInd w:val="0"/>
                    <w:snapToGrid w:val="0"/>
                    <w:jc w:val="center"/>
                    <w:rPr>
                      <w:color w:val="auto"/>
                      <w:kern w:val="0"/>
                      <w:sz w:val="21"/>
                      <w:szCs w:val="21"/>
                      <w:highlight w:val="none"/>
                      <w:lang w:val="en-US" w:eastAsia="zh-CN" w:bidi="ar-SA"/>
                    </w:rPr>
                  </w:pPr>
                  <w:r>
                    <w:rPr>
                      <w:rFonts w:hint="eastAsia"/>
                      <w:color w:val="auto"/>
                      <w:kern w:val="0"/>
                      <w:szCs w:val="21"/>
                      <w:highlight w:val="none"/>
                    </w:rPr>
                    <w:t>9</w:t>
                  </w:r>
                </w:p>
              </w:tc>
              <w:tc>
                <w:tcPr>
                  <w:tcW w:w="1839"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eastAsia="宋体"/>
                      <w:color w:val="auto"/>
                      <w:kern w:val="0"/>
                      <w:szCs w:val="21"/>
                      <w:highlight w:val="none"/>
                      <w:lang w:val="en-US" w:eastAsia="zh-CN"/>
                    </w:rPr>
                    <w:t>巴中现代粮食产业发展有限公司</w:t>
                  </w:r>
                </w:p>
              </w:tc>
              <w:tc>
                <w:tcPr>
                  <w:tcW w:w="779" w:type="pct"/>
                  <w:noWrap w:val="0"/>
                  <w:vAlign w:val="center"/>
                </w:tcPr>
                <w:p>
                  <w:pPr>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东南侧</w:t>
                  </w:r>
                </w:p>
              </w:tc>
              <w:tc>
                <w:tcPr>
                  <w:tcW w:w="826"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233</w:t>
                  </w:r>
                </w:p>
              </w:tc>
              <w:tc>
                <w:tcPr>
                  <w:tcW w:w="1047"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食品饮料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pct"/>
                  <w:noWrap w:val="0"/>
                  <w:vAlign w:val="center"/>
                </w:tcPr>
                <w:p>
                  <w:pPr>
                    <w:adjustRightInd w:val="0"/>
                    <w:snapToGrid w:val="0"/>
                    <w:jc w:val="center"/>
                    <w:rPr>
                      <w:rFonts w:hint="eastAsia"/>
                      <w:color w:val="auto"/>
                      <w:kern w:val="0"/>
                      <w:sz w:val="21"/>
                      <w:szCs w:val="21"/>
                      <w:highlight w:val="none"/>
                      <w:lang w:val="en-US" w:eastAsia="zh-CN" w:bidi="ar-SA"/>
                    </w:rPr>
                  </w:pPr>
                  <w:r>
                    <w:rPr>
                      <w:rFonts w:hint="eastAsia"/>
                      <w:color w:val="auto"/>
                      <w:kern w:val="0"/>
                      <w:szCs w:val="21"/>
                      <w:highlight w:val="none"/>
                    </w:rPr>
                    <w:t>10</w:t>
                  </w:r>
                </w:p>
              </w:tc>
              <w:tc>
                <w:tcPr>
                  <w:tcW w:w="1839"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巴中市明汇贸易有限责任公司</w:t>
                  </w:r>
                </w:p>
              </w:tc>
              <w:tc>
                <w:tcPr>
                  <w:tcW w:w="779" w:type="pct"/>
                  <w:noWrap w:val="0"/>
                  <w:vAlign w:val="center"/>
                </w:tcPr>
                <w:p>
                  <w:pPr>
                    <w:adjustRightInd w:val="0"/>
                    <w:snapToGrid w:val="0"/>
                    <w:jc w:val="center"/>
                    <w:rPr>
                      <w:rFonts w:hint="eastAsia"/>
                      <w:color w:val="auto"/>
                      <w:kern w:val="0"/>
                      <w:szCs w:val="21"/>
                      <w:highlight w:val="none"/>
                    </w:rPr>
                  </w:pPr>
                  <w:r>
                    <w:rPr>
                      <w:rFonts w:hint="eastAsia"/>
                      <w:color w:val="auto"/>
                      <w:kern w:val="0"/>
                      <w:szCs w:val="21"/>
                      <w:highlight w:val="none"/>
                      <w:lang w:val="en-US" w:eastAsia="zh-CN"/>
                    </w:rPr>
                    <w:t>东南侧</w:t>
                  </w:r>
                </w:p>
              </w:tc>
              <w:tc>
                <w:tcPr>
                  <w:tcW w:w="826"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307</w:t>
                  </w:r>
                </w:p>
              </w:tc>
              <w:tc>
                <w:tcPr>
                  <w:tcW w:w="1047"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仓储物流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pct"/>
                  <w:noWrap w:val="0"/>
                  <w:vAlign w:val="center"/>
                </w:tcPr>
                <w:p>
                  <w:pPr>
                    <w:adjustRightInd w:val="0"/>
                    <w:snapToGrid w:val="0"/>
                    <w:jc w:val="center"/>
                    <w:rPr>
                      <w:rFonts w:hint="eastAsia"/>
                      <w:color w:val="auto"/>
                      <w:kern w:val="0"/>
                      <w:sz w:val="21"/>
                      <w:szCs w:val="21"/>
                      <w:highlight w:val="none"/>
                      <w:lang w:val="en-US" w:eastAsia="zh-CN" w:bidi="ar-SA"/>
                    </w:rPr>
                  </w:pPr>
                  <w:r>
                    <w:rPr>
                      <w:rFonts w:hint="eastAsia"/>
                      <w:color w:val="auto"/>
                      <w:kern w:val="0"/>
                      <w:szCs w:val="21"/>
                      <w:highlight w:val="none"/>
                    </w:rPr>
                    <w:t>11</w:t>
                  </w:r>
                </w:p>
              </w:tc>
              <w:tc>
                <w:tcPr>
                  <w:tcW w:w="1839"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四川省宋小食食品有限公司</w:t>
                  </w:r>
                </w:p>
              </w:tc>
              <w:tc>
                <w:tcPr>
                  <w:tcW w:w="779" w:type="pct"/>
                  <w:noWrap w:val="0"/>
                  <w:vAlign w:val="center"/>
                </w:tcPr>
                <w:p>
                  <w:pPr>
                    <w:adjustRightInd w:val="0"/>
                    <w:snapToGrid w:val="0"/>
                    <w:jc w:val="center"/>
                    <w:rPr>
                      <w:color w:val="auto"/>
                      <w:kern w:val="0"/>
                      <w:szCs w:val="21"/>
                      <w:highlight w:val="none"/>
                    </w:rPr>
                  </w:pPr>
                  <w:r>
                    <w:rPr>
                      <w:rFonts w:hint="eastAsia"/>
                      <w:color w:val="auto"/>
                      <w:kern w:val="0"/>
                      <w:szCs w:val="21"/>
                      <w:highlight w:val="none"/>
                      <w:lang w:val="en-US" w:eastAsia="zh-CN"/>
                    </w:rPr>
                    <w:t>东南侧</w:t>
                  </w:r>
                </w:p>
              </w:tc>
              <w:tc>
                <w:tcPr>
                  <w:tcW w:w="826" w:type="pct"/>
                  <w:noWrap w:val="0"/>
                  <w:vAlign w:val="center"/>
                </w:tcPr>
                <w:p>
                  <w:pPr>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423</w:t>
                  </w:r>
                </w:p>
              </w:tc>
              <w:tc>
                <w:tcPr>
                  <w:tcW w:w="1047" w:type="pct"/>
                  <w:noWrap w:val="0"/>
                  <w:vAlign w:val="center"/>
                </w:tcPr>
                <w:p>
                  <w:pPr>
                    <w:adjustRightInd w:val="0"/>
                    <w:snapToGri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pct"/>
                  <w:noWrap w:val="0"/>
                  <w:vAlign w:val="center"/>
                </w:tcPr>
                <w:p>
                  <w:pPr>
                    <w:adjustRightInd w:val="0"/>
                    <w:snapToGrid w:val="0"/>
                    <w:jc w:val="center"/>
                    <w:rPr>
                      <w:rFonts w:hint="default"/>
                      <w:color w:val="auto"/>
                      <w:kern w:val="0"/>
                      <w:sz w:val="21"/>
                      <w:szCs w:val="21"/>
                      <w:highlight w:val="none"/>
                      <w:lang w:val="en-US" w:eastAsia="zh-CN" w:bidi="ar-SA"/>
                    </w:rPr>
                  </w:pPr>
                  <w:r>
                    <w:rPr>
                      <w:rFonts w:hint="eastAsia"/>
                      <w:color w:val="auto"/>
                      <w:kern w:val="0"/>
                      <w:szCs w:val="21"/>
                      <w:highlight w:val="none"/>
                    </w:rPr>
                    <w:t>12</w:t>
                  </w:r>
                </w:p>
              </w:tc>
              <w:tc>
                <w:tcPr>
                  <w:tcW w:w="1839"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巴中市天果农业科技有限公司</w:t>
                  </w:r>
                </w:p>
              </w:tc>
              <w:tc>
                <w:tcPr>
                  <w:tcW w:w="779"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南侧</w:t>
                  </w:r>
                </w:p>
              </w:tc>
              <w:tc>
                <w:tcPr>
                  <w:tcW w:w="826"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96</w:t>
                  </w:r>
                </w:p>
              </w:tc>
              <w:tc>
                <w:tcPr>
                  <w:tcW w:w="1047"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pct"/>
                  <w:noWrap w:val="0"/>
                  <w:vAlign w:val="center"/>
                </w:tcPr>
                <w:p>
                  <w:pPr>
                    <w:adjustRightInd w:val="0"/>
                    <w:snapToGrid w:val="0"/>
                    <w:jc w:val="center"/>
                    <w:rPr>
                      <w:rFonts w:hint="default"/>
                      <w:color w:val="auto"/>
                      <w:kern w:val="0"/>
                      <w:sz w:val="21"/>
                      <w:szCs w:val="21"/>
                      <w:highlight w:val="none"/>
                      <w:lang w:val="en-US" w:eastAsia="zh-CN" w:bidi="ar-SA"/>
                    </w:rPr>
                  </w:pPr>
                  <w:r>
                    <w:rPr>
                      <w:rFonts w:hint="eastAsia"/>
                      <w:color w:val="auto"/>
                      <w:kern w:val="0"/>
                      <w:sz w:val="21"/>
                      <w:szCs w:val="21"/>
                      <w:highlight w:val="none"/>
                      <w:lang w:val="en-US" w:eastAsia="zh-CN" w:bidi="ar-SA"/>
                    </w:rPr>
                    <w:t>13</w:t>
                  </w:r>
                </w:p>
              </w:tc>
              <w:tc>
                <w:tcPr>
                  <w:tcW w:w="1839"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大坝河</w:t>
                  </w:r>
                </w:p>
              </w:tc>
              <w:tc>
                <w:tcPr>
                  <w:tcW w:w="779"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南侧</w:t>
                  </w:r>
                </w:p>
              </w:tc>
              <w:tc>
                <w:tcPr>
                  <w:tcW w:w="826"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252</w:t>
                  </w:r>
                </w:p>
              </w:tc>
              <w:tc>
                <w:tcPr>
                  <w:tcW w:w="1047"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ascii="宋体" w:hAnsi="宋体" w:eastAsia="宋体" w:cs="宋体"/>
                      <w:color w:val="auto"/>
                      <w:kern w:val="0"/>
                      <w:szCs w:val="21"/>
                      <w:highlight w:val="none"/>
                    </w:rPr>
                    <w:t>Ⅲ</w:t>
                  </w:r>
                  <w:r>
                    <w:rPr>
                      <w:rFonts w:hint="eastAsia" w:eastAsia="宋体"/>
                      <w:color w:val="auto"/>
                      <w:kern w:val="0"/>
                      <w:szCs w:val="21"/>
                      <w:highlight w:val="none"/>
                      <w:lang w:val="en-US" w:eastAsia="zh-CN"/>
                    </w:rPr>
                    <w:t>类河流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pct"/>
                  <w:noWrap w:val="0"/>
                  <w:vAlign w:val="center"/>
                </w:tcPr>
                <w:p>
                  <w:pPr>
                    <w:adjustRightInd w:val="0"/>
                    <w:snapToGrid w:val="0"/>
                    <w:jc w:val="center"/>
                    <w:rPr>
                      <w:rFonts w:hint="default"/>
                      <w:color w:val="auto"/>
                      <w:kern w:val="0"/>
                      <w:sz w:val="21"/>
                      <w:szCs w:val="21"/>
                      <w:highlight w:val="none"/>
                      <w:lang w:val="en-US" w:eastAsia="zh-CN" w:bidi="ar-SA"/>
                    </w:rPr>
                  </w:pPr>
                  <w:r>
                    <w:rPr>
                      <w:rFonts w:hint="eastAsia"/>
                      <w:color w:val="auto"/>
                      <w:kern w:val="0"/>
                      <w:sz w:val="21"/>
                      <w:szCs w:val="21"/>
                      <w:highlight w:val="none"/>
                      <w:lang w:val="en-US" w:eastAsia="zh-CN" w:bidi="ar-SA"/>
                    </w:rPr>
                    <w:t>14</w:t>
                  </w:r>
                </w:p>
              </w:tc>
              <w:tc>
                <w:tcPr>
                  <w:tcW w:w="1839"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生活污水处理站</w:t>
                  </w:r>
                </w:p>
              </w:tc>
              <w:tc>
                <w:tcPr>
                  <w:tcW w:w="779"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西南侧</w:t>
                  </w:r>
                </w:p>
              </w:tc>
              <w:tc>
                <w:tcPr>
                  <w:tcW w:w="826"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290</w:t>
                  </w:r>
                </w:p>
              </w:tc>
              <w:tc>
                <w:tcPr>
                  <w:tcW w:w="1047"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 w:val="21"/>
                      <w:szCs w:val="21"/>
                      <w:highlight w:val="none"/>
                      <w:lang w:val="en-US" w:eastAsia="zh-CN" w:bidi="ar-SA"/>
                    </w:rPr>
                    <w:t>15</w:t>
                  </w:r>
                </w:p>
              </w:tc>
              <w:tc>
                <w:tcPr>
                  <w:tcW w:w="1839"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居民</w:t>
                  </w:r>
                </w:p>
              </w:tc>
              <w:tc>
                <w:tcPr>
                  <w:tcW w:w="779"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西南侧</w:t>
                  </w:r>
                </w:p>
              </w:tc>
              <w:tc>
                <w:tcPr>
                  <w:tcW w:w="826" w:type="pct"/>
                  <w:noWrap w:val="0"/>
                  <w:vAlign w:val="center"/>
                </w:tcPr>
                <w:p>
                  <w:pPr>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291</w:t>
                  </w:r>
                </w:p>
              </w:tc>
              <w:tc>
                <w:tcPr>
                  <w:tcW w:w="1047" w:type="pct"/>
                  <w:noWrap w:val="0"/>
                  <w:vAlign w:val="center"/>
                </w:tcPr>
                <w:p>
                  <w:pPr>
                    <w:adjustRightInd w:val="0"/>
                    <w:snapToGrid w:val="0"/>
                    <w:jc w:val="center"/>
                    <w:rPr>
                      <w:rFonts w:hint="eastAsia"/>
                      <w:color w:val="auto"/>
                      <w:kern w:val="0"/>
                      <w:szCs w:val="21"/>
                      <w:highlight w:val="none"/>
                      <w:lang w:val="en-US" w:eastAsia="zh-CN"/>
                    </w:rPr>
                  </w:pPr>
                  <w:r>
                    <w:rPr>
                      <w:rFonts w:hint="eastAsia"/>
                      <w:color w:val="auto"/>
                      <w:kern w:val="0"/>
                      <w:szCs w:val="21"/>
                      <w:highlight w:val="none"/>
                      <w:lang w:val="en-US" w:eastAsia="zh-CN"/>
                    </w:rPr>
                    <w:t>居民聚集地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 w:val="21"/>
                      <w:szCs w:val="21"/>
                      <w:highlight w:val="none"/>
                      <w:lang w:val="en-US" w:eastAsia="zh-CN" w:bidi="ar-SA"/>
                    </w:rPr>
                    <w:t>16</w:t>
                  </w:r>
                </w:p>
              </w:tc>
              <w:tc>
                <w:tcPr>
                  <w:tcW w:w="1839"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居民</w:t>
                  </w:r>
                </w:p>
              </w:tc>
              <w:tc>
                <w:tcPr>
                  <w:tcW w:w="779"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西南侧</w:t>
                  </w:r>
                </w:p>
              </w:tc>
              <w:tc>
                <w:tcPr>
                  <w:tcW w:w="826" w:type="pct"/>
                  <w:noWrap w:val="0"/>
                  <w:vAlign w:val="center"/>
                </w:tcPr>
                <w:p>
                  <w:pPr>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364</w:t>
                  </w:r>
                </w:p>
              </w:tc>
              <w:tc>
                <w:tcPr>
                  <w:tcW w:w="1047" w:type="pct"/>
                  <w:noWrap w:val="0"/>
                  <w:vAlign w:val="center"/>
                </w:tcPr>
                <w:p>
                  <w:pPr>
                    <w:adjustRightInd w:val="0"/>
                    <w:snapToGrid w:val="0"/>
                    <w:jc w:val="center"/>
                    <w:rPr>
                      <w:rFonts w:hint="eastAsia"/>
                      <w:color w:val="auto"/>
                      <w:kern w:val="0"/>
                      <w:szCs w:val="21"/>
                      <w:highlight w:val="none"/>
                      <w:lang w:val="en-US" w:eastAsia="zh-CN"/>
                    </w:rPr>
                  </w:pPr>
                  <w:r>
                    <w:rPr>
                      <w:rFonts w:hint="eastAsia"/>
                      <w:color w:val="auto"/>
                      <w:kern w:val="0"/>
                      <w:szCs w:val="21"/>
                      <w:highlight w:val="none"/>
                      <w:lang w:val="en-US" w:eastAsia="zh-CN"/>
                    </w:rPr>
                    <w:t>居民聚集地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 w:val="21"/>
                      <w:szCs w:val="21"/>
                      <w:highlight w:val="none"/>
                      <w:lang w:val="en-US" w:eastAsia="zh-CN" w:bidi="ar-SA"/>
                    </w:rPr>
                    <w:t>17</w:t>
                  </w:r>
                </w:p>
              </w:tc>
              <w:tc>
                <w:tcPr>
                  <w:tcW w:w="1839"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居民</w:t>
                  </w:r>
                </w:p>
              </w:tc>
              <w:tc>
                <w:tcPr>
                  <w:tcW w:w="779"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西南侧</w:t>
                  </w:r>
                </w:p>
              </w:tc>
              <w:tc>
                <w:tcPr>
                  <w:tcW w:w="826" w:type="pct"/>
                  <w:noWrap w:val="0"/>
                  <w:vAlign w:val="center"/>
                </w:tcPr>
                <w:p>
                  <w:pPr>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492</w:t>
                  </w:r>
                </w:p>
              </w:tc>
              <w:tc>
                <w:tcPr>
                  <w:tcW w:w="1047" w:type="pct"/>
                  <w:noWrap w:val="0"/>
                  <w:vAlign w:val="center"/>
                </w:tcPr>
                <w:p>
                  <w:pPr>
                    <w:adjustRightInd w:val="0"/>
                    <w:snapToGrid w:val="0"/>
                    <w:jc w:val="center"/>
                    <w:rPr>
                      <w:rFonts w:hint="eastAsia"/>
                      <w:color w:val="auto"/>
                      <w:kern w:val="0"/>
                      <w:szCs w:val="21"/>
                      <w:highlight w:val="none"/>
                      <w:lang w:val="en-US" w:eastAsia="zh-CN"/>
                    </w:rPr>
                  </w:pPr>
                  <w:r>
                    <w:rPr>
                      <w:rFonts w:hint="eastAsia"/>
                      <w:color w:val="auto"/>
                      <w:kern w:val="0"/>
                      <w:szCs w:val="21"/>
                      <w:highlight w:val="none"/>
                      <w:lang w:val="en-US" w:eastAsia="zh-CN"/>
                    </w:rPr>
                    <w:t>居民聚集地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 w:val="21"/>
                      <w:szCs w:val="21"/>
                      <w:highlight w:val="none"/>
                      <w:lang w:val="en-US" w:eastAsia="zh-CN" w:bidi="ar-SA"/>
                    </w:rPr>
                    <w:t>18</w:t>
                  </w:r>
                </w:p>
              </w:tc>
              <w:tc>
                <w:tcPr>
                  <w:tcW w:w="1839"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居民</w:t>
                  </w:r>
                </w:p>
              </w:tc>
              <w:tc>
                <w:tcPr>
                  <w:tcW w:w="779"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西南侧</w:t>
                  </w:r>
                </w:p>
              </w:tc>
              <w:tc>
                <w:tcPr>
                  <w:tcW w:w="826"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377</w:t>
                  </w:r>
                </w:p>
              </w:tc>
              <w:tc>
                <w:tcPr>
                  <w:tcW w:w="1047"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零散居民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color w:val="auto"/>
                      <w:kern w:val="0"/>
                      <w:sz w:val="21"/>
                      <w:szCs w:val="21"/>
                      <w:highlight w:val="none"/>
                      <w:lang w:val="en-US" w:eastAsia="zh-CN" w:bidi="ar-SA"/>
                    </w:rPr>
                    <w:t>19</w:t>
                  </w:r>
                </w:p>
              </w:tc>
              <w:tc>
                <w:tcPr>
                  <w:tcW w:w="1839"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柳林镇工商所办公处</w:t>
                  </w:r>
                </w:p>
              </w:tc>
              <w:tc>
                <w:tcPr>
                  <w:tcW w:w="779"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西南侧</w:t>
                  </w:r>
                </w:p>
              </w:tc>
              <w:tc>
                <w:tcPr>
                  <w:tcW w:w="826"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242</w:t>
                  </w:r>
                </w:p>
              </w:tc>
              <w:tc>
                <w:tcPr>
                  <w:tcW w:w="1047"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机关单位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color w:val="auto"/>
                      <w:kern w:val="0"/>
                      <w:sz w:val="21"/>
                      <w:szCs w:val="21"/>
                      <w:highlight w:val="none"/>
                      <w:lang w:val="en-US" w:eastAsia="zh-CN" w:bidi="ar-SA"/>
                    </w:rPr>
                    <w:t>20</w:t>
                  </w:r>
                </w:p>
              </w:tc>
              <w:tc>
                <w:tcPr>
                  <w:tcW w:w="1839"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default"/>
                      <w:color w:val="auto"/>
                      <w:kern w:val="0"/>
                      <w:szCs w:val="21"/>
                      <w:highlight w:val="none"/>
                      <w:lang w:val="en-US" w:eastAsia="zh-CN"/>
                    </w:rPr>
                    <w:t>巴中五仓宝盈农牧有限公司</w:t>
                  </w:r>
                </w:p>
              </w:tc>
              <w:tc>
                <w:tcPr>
                  <w:tcW w:w="779" w:type="pct"/>
                  <w:noWrap w:val="0"/>
                  <w:vAlign w:val="center"/>
                </w:tcPr>
                <w:p>
                  <w:pPr>
                    <w:adjustRightInd w:val="0"/>
                    <w:snapToGrid w:val="0"/>
                    <w:jc w:val="center"/>
                    <w:rPr>
                      <w:rFonts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西南侧</w:t>
                  </w:r>
                </w:p>
              </w:tc>
              <w:tc>
                <w:tcPr>
                  <w:tcW w:w="826"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246</w:t>
                  </w:r>
                </w:p>
              </w:tc>
              <w:tc>
                <w:tcPr>
                  <w:tcW w:w="1047"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饲料加工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color w:val="auto"/>
                      <w:kern w:val="0"/>
                      <w:sz w:val="21"/>
                      <w:szCs w:val="21"/>
                      <w:highlight w:val="none"/>
                      <w:lang w:val="en-US" w:eastAsia="zh-CN" w:bidi="ar-SA"/>
                    </w:rPr>
                    <w:t>21</w:t>
                  </w:r>
                </w:p>
              </w:tc>
              <w:tc>
                <w:tcPr>
                  <w:tcW w:w="1839"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中国石化加油站</w:t>
                  </w:r>
                </w:p>
              </w:tc>
              <w:tc>
                <w:tcPr>
                  <w:tcW w:w="779" w:type="pct"/>
                  <w:noWrap w:val="0"/>
                  <w:vAlign w:val="center"/>
                </w:tcPr>
                <w:p>
                  <w:pPr>
                    <w:adjustRightInd w:val="0"/>
                    <w:snapToGrid w:val="0"/>
                    <w:jc w:val="center"/>
                    <w:rPr>
                      <w:rFonts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西南侧</w:t>
                  </w:r>
                </w:p>
              </w:tc>
              <w:tc>
                <w:tcPr>
                  <w:tcW w:w="826"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198</w:t>
                  </w:r>
                </w:p>
              </w:tc>
              <w:tc>
                <w:tcPr>
                  <w:tcW w:w="1047"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pct"/>
                  <w:noWrap w:val="0"/>
                  <w:vAlign w:val="center"/>
                </w:tcPr>
                <w:p>
                  <w:pPr>
                    <w:adjustRightInd w:val="0"/>
                    <w:snapToGrid w:val="0"/>
                    <w:jc w:val="center"/>
                    <w:rPr>
                      <w:rFonts w:hint="default"/>
                      <w:color w:val="auto"/>
                      <w:kern w:val="0"/>
                      <w:sz w:val="21"/>
                      <w:szCs w:val="21"/>
                      <w:highlight w:val="none"/>
                      <w:lang w:val="en-US" w:eastAsia="zh-CN" w:bidi="ar-SA"/>
                    </w:rPr>
                  </w:pPr>
                  <w:r>
                    <w:rPr>
                      <w:rFonts w:hint="eastAsia"/>
                      <w:color w:val="auto"/>
                      <w:kern w:val="0"/>
                      <w:sz w:val="21"/>
                      <w:szCs w:val="21"/>
                      <w:highlight w:val="none"/>
                      <w:lang w:val="en-US" w:eastAsia="zh-CN" w:bidi="ar-SA"/>
                    </w:rPr>
                    <w:t>22</w:t>
                  </w:r>
                </w:p>
              </w:tc>
              <w:tc>
                <w:tcPr>
                  <w:tcW w:w="1839" w:type="pct"/>
                  <w:noWrap w:val="0"/>
                  <w:vAlign w:val="center"/>
                </w:tcPr>
                <w:p>
                  <w:pPr>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居民</w:t>
                  </w:r>
                </w:p>
              </w:tc>
              <w:tc>
                <w:tcPr>
                  <w:tcW w:w="779" w:type="pct"/>
                  <w:noWrap w:val="0"/>
                  <w:vAlign w:val="center"/>
                </w:tcPr>
                <w:p>
                  <w:pPr>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西侧</w:t>
                  </w:r>
                </w:p>
              </w:tc>
              <w:tc>
                <w:tcPr>
                  <w:tcW w:w="826" w:type="pct"/>
                  <w:noWrap w:val="0"/>
                  <w:vAlign w:val="center"/>
                </w:tcPr>
                <w:p>
                  <w:pPr>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120</w:t>
                  </w:r>
                </w:p>
              </w:tc>
              <w:tc>
                <w:tcPr>
                  <w:tcW w:w="1047" w:type="pct"/>
                  <w:noWrap w:val="0"/>
                  <w:vAlign w:val="center"/>
                </w:tcPr>
                <w:p>
                  <w:pPr>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居民聚集地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pct"/>
                  <w:noWrap w:val="0"/>
                  <w:vAlign w:val="center"/>
                </w:tcPr>
                <w:p>
                  <w:pPr>
                    <w:adjustRightInd w:val="0"/>
                    <w:snapToGrid w:val="0"/>
                    <w:jc w:val="center"/>
                    <w:rPr>
                      <w:rFonts w:hint="default"/>
                      <w:color w:val="auto"/>
                      <w:kern w:val="0"/>
                      <w:sz w:val="21"/>
                      <w:szCs w:val="21"/>
                      <w:highlight w:val="none"/>
                      <w:lang w:val="en-US" w:eastAsia="zh-CN" w:bidi="ar-SA"/>
                    </w:rPr>
                  </w:pPr>
                  <w:r>
                    <w:rPr>
                      <w:rFonts w:hint="eastAsia"/>
                      <w:color w:val="auto"/>
                      <w:kern w:val="0"/>
                      <w:sz w:val="21"/>
                      <w:szCs w:val="21"/>
                      <w:highlight w:val="none"/>
                      <w:lang w:val="en-US" w:eastAsia="zh-CN" w:bidi="ar-SA"/>
                    </w:rPr>
                    <w:t>23</w:t>
                  </w:r>
                </w:p>
              </w:tc>
              <w:tc>
                <w:tcPr>
                  <w:tcW w:w="1839" w:type="pct"/>
                  <w:noWrap w:val="0"/>
                  <w:vAlign w:val="center"/>
                </w:tcPr>
                <w:p>
                  <w:pPr>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成巴高速-柳林站</w:t>
                  </w:r>
                </w:p>
              </w:tc>
              <w:tc>
                <w:tcPr>
                  <w:tcW w:w="779" w:type="pct"/>
                  <w:noWrap w:val="0"/>
                  <w:vAlign w:val="center"/>
                </w:tcPr>
                <w:p>
                  <w:pPr>
                    <w:adjustRightInd w:val="0"/>
                    <w:snapToGrid w:val="0"/>
                    <w:jc w:val="center"/>
                    <w:rPr>
                      <w:rFonts w:hint="eastAsia"/>
                      <w:color w:val="auto"/>
                      <w:kern w:val="0"/>
                      <w:szCs w:val="21"/>
                      <w:highlight w:val="none"/>
                      <w:lang w:val="en-US" w:eastAsia="zh-CN"/>
                    </w:rPr>
                  </w:pPr>
                  <w:r>
                    <w:rPr>
                      <w:rFonts w:hint="eastAsia"/>
                      <w:color w:val="auto"/>
                      <w:kern w:val="0"/>
                      <w:szCs w:val="21"/>
                      <w:highlight w:val="none"/>
                      <w:lang w:val="en-US" w:eastAsia="zh-CN"/>
                    </w:rPr>
                    <w:t>西侧</w:t>
                  </w:r>
                </w:p>
              </w:tc>
              <w:tc>
                <w:tcPr>
                  <w:tcW w:w="826" w:type="pct"/>
                  <w:noWrap w:val="0"/>
                  <w:vAlign w:val="center"/>
                </w:tcPr>
                <w:p>
                  <w:pPr>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466</w:t>
                  </w:r>
                </w:p>
              </w:tc>
              <w:tc>
                <w:tcPr>
                  <w:tcW w:w="1047" w:type="pct"/>
                  <w:noWrap w:val="0"/>
                  <w:vAlign w:val="center"/>
                </w:tcPr>
                <w:p>
                  <w:pPr>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收费站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pct"/>
                  <w:noWrap w:val="0"/>
                  <w:vAlign w:val="center"/>
                </w:tcPr>
                <w:p>
                  <w:pPr>
                    <w:adjustRightInd w:val="0"/>
                    <w:snapToGrid w:val="0"/>
                    <w:jc w:val="center"/>
                    <w:rPr>
                      <w:rFonts w:hint="default"/>
                      <w:color w:val="auto"/>
                      <w:kern w:val="0"/>
                      <w:sz w:val="21"/>
                      <w:szCs w:val="21"/>
                      <w:highlight w:val="none"/>
                      <w:lang w:val="en-US" w:eastAsia="zh-CN" w:bidi="ar-SA"/>
                    </w:rPr>
                  </w:pPr>
                  <w:r>
                    <w:rPr>
                      <w:rFonts w:hint="eastAsia"/>
                      <w:color w:val="auto"/>
                      <w:kern w:val="0"/>
                      <w:sz w:val="21"/>
                      <w:szCs w:val="21"/>
                      <w:highlight w:val="none"/>
                      <w:lang w:val="en-US" w:eastAsia="zh-CN" w:bidi="ar-SA"/>
                    </w:rPr>
                    <w:t>24</w:t>
                  </w:r>
                </w:p>
              </w:tc>
              <w:tc>
                <w:tcPr>
                  <w:tcW w:w="1839"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柳林小学</w:t>
                  </w:r>
                </w:p>
              </w:tc>
              <w:tc>
                <w:tcPr>
                  <w:tcW w:w="779"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西北侧</w:t>
                  </w:r>
                </w:p>
              </w:tc>
              <w:tc>
                <w:tcPr>
                  <w:tcW w:w="826"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397</w:t>
                  </w:r>
                </w:p>
              </w:tc>
              <w:tc>
                <w:tcPr>
                  <w:tcW w:w="1047"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学校</w:t>
                  </w:r>
                </w:p>
              </w:tc>
            </w:tr>
          </w:tbl>
          <w:p>
            <w:pPr>
              <w:spacing w:line="360" w:lineRule="auto"/>
              <w:ind w:firstLine="482" w:firstLineChars="200"/>
              <w:rPr>
                <w:rFonts w:hint="eastAsia"/>
                <w:b/>
                <w:color w:val="auto"/>
                <w:sz w:val="24"/>
                <w:highlight w:val="none"/>
                <w:lang w:val="zh-CN"/>
              </w:rPr>
            </w:pPr>
            <w:r>
              <w:rPr>
                <w:rFonts w:hint="eastAsia"/>
                <w:b/>
                <w:color w:val="auto"/>
                <w:sz w:val="24"/>
                <w:highlight w:val="none"/>
                <w:lang w:val="zh-CN"/>
              </w:rPr>
              <w:t>（</w:t>
            </w:r>
            <w:r>
              <w:rPr>
                <w:rFonts w:hint="eastAsia"/>
                <w:b/>
                <w:color w:val="auto"/>
                <w:sz w:val="24"/>
                <w:highlight w:val="none"/>
                <w:lang w:val="en-US" w:eastAsia="zh-CN"/>
              </w:rPr>
              <w:t>2</w:t>
            </w:r>
            <w:r>
              <w:rPr>
                <w:rFonts w:hint="eastAsia"/>
                <w:b/>
                <w:color w:val="auto"/>
                <w:sz w:val="24"/>
                <w:highlight w:val="none"/>
                <w:lang w:val="zh-CN"/>
              </w:rPr>
              <w:t>）外环境对本项目的影响</w:t>
            </w:r>
          </w:p>
          <w:p>
            <w:pPr>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本项目为食品企业，项目周边的工业企业均为食品、饮料、仓储等低污染企业，不会对本项目造成影响，故项目外环境与本项目相容。</w:t>
            </w:r>
          </w:p>
          <w:p>
            <w:pPr>
              <w:spacing w:line="360" w:lineRule="auto"/>
              <w:ind w:firstLine="482" w:firstLineChars="200"/>
              <w:rPr>
                <w:rFonts w:hint="eastAsia"/>
                <w:b/>
                <w:color w:val="auto"/>
                <w:sz w:val="24"/>
                <w:highlight w:val="none"/>
                <w:lang w:val="zh-CN"/>
              </w:rPr>
            </w:pPr>
            <w:r>
              <w:rPr>
                <w:rFonts w:hint="eastAsia"/>
                <w:b/>
                <w:color w:val="auto"/>
                <w:sz w:val="24"/>
                <w:highlight w:val="none"/>
                <w:lang w:val="zh-CN"/>
              </w:rPr>
              <w:t>（</w:t>
            </w:r>
            <w:r>
              <w:rPr>
                <w:rFonts w:hint="eastAsia"/>
                <w:b/>
                <w:color w:val="auto"/>
                <w:sz w:val="24"/>
                <w:highlight w:val="none"/>
                <w:lang w:val="en-US" w:eastAsia="zh-CN"/>
              </w:rPr>
              <w:t>3</w:t>
            </w:r>
            <w:r>
              <w:rPr>
                <w:rFonts w:hint="eastAsia"/>
                <w:b/>
                <w:color w:val="auto"/>
                <w:sz w:val="24"/>
                <w:highlight w:val="none"/>
                <w:lang w:val="zh-CN"/>
              </w:rPr>
              <w:t>）本项目</w:t>
            </w:r>
            <w:r>
              <w:rPr>
                <w:rFonts w:hint="eastAsia"/>
                <w:b/>
                <w:color w:val="auto"/>
                <w:sz w:val="24"/>
                <w:highlight w:val="none"/>
              </w:rPr>
              <w:t>对</w:t>
            </w:r>
            <w:r>
              <w:rPr>
                <w:rFonts w:hint="eastAsia"/>
                <w:b/>
                <w:color w:val="auto"/>
                <w:sz w:val="24"/>
                <w:highlight w:val="none"/>
                <w:lang w:val="zh-CN"/>
              </w:rPr>
              <w:t>外环境的影响</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本项目对外环境的影响主要为废气和噪声。天然气燃烧废气通过排气筒排放，油烟经油烟净化器处理后通过排气筒排放，本项目产生的粉尘、有机废气</w:t>
            </w:r>
            <w:r>
              <w:rPr>
                <w:rFonts w:hint="eastAsia" w:cs="Times New Roman"/>
                <w:color w:val="auto"/>
                <w:sz w:val="24"/>
                <w:highlight w:val="none"/>
                <w:lang w:val="en-US" w:eastAsia="zh-CN"/>
              </w:rPr>
              <w:t>、恶臭</w:t>
            </w:r>
            <w:r>
              <w:rPr>
                <w:rFonts w:hint="eastAsia" w:ascii="Times New Roman" w:hAnsi="Times New Roman" w:eastAsia="宋体" w:cs="Times New Roman"/>
                <w:color w:val="auto"/>
                <w:sz w:val="24"/>
                <w:highlight w:val="none"/>
                <w:lang w:val="en-US" w:eastAsia="zh-CN"/>
              </w:rPr>
              <w:t>等较少，加强车间通风，可达标排放；噪声采取隔声、合理布局等综合降噪措施处理后达标排放。</w:t>
            </w:r>
          </w:p>
          <w:p>
            <w:pPr>
              <w:pStyle w:val="56"/>
              <w:ind w:firstLine="482"/>
              <w:rPr>
                <w:color w:val="auto"/>
                <w:highlight w:val="none"/>
              </w:rPr>
            </w:pPr>
            <w:r>
              <w:rPr>
                <w:color w:val="auto"/>
                <w:sz w:val="24"/>
                <w:highlight w:val="none"/>
              </w:rPr>
              <w:t>项目所在地周围</w:t>
            </w:r>
            <w:r>
              <w:rPr>
                <w:rFonts w:hint="eastAsia"/>
                <w:color w:val="auto"/>
                <w:sz w:val="24"/>
                <w:highlight w:val="none"/>
                <w:lang w:val="en-US" w:eastAsia="zh-CN"/>
              </w:rPr>
              <w:t>5</w:t>
            </w:r>
            <w:r>
              <w:rPr>
                <w:color w:val="auto"/>
                <w:sz w:val="24"/>
                <w:highlight w:val="none"/>
              </w:rPr>
              <w:t>00m范围内无自然保护区、文化遗产保护区、世界文化自然遗产和森林公园、地质公园等保护地</w:t>
            </w:r>
            <w:r>
              <w:rPr>
                <w:color w:val="auto"/>
                <w:highlight w:val="none"/>
              </w:rPr>
              <w:t>，外环境无重大环境制约因素。因此，本项目与周边外环境相容。</w:t>
            </w:r>
          </w:p>
          <w:p>
            <w:pPr>
              <w:spacing w:line="360" w:lineRule="auto"/>
              <w:ind w:firstLine="482" w:firstLineChars="200"/>
              <w:rPr>
                <w:rFonts w:hint="default"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eastAsia="zh-CN"/>
              </w:rPr>
              <w:t>（</w:t>
            </w:r>
            <w:r>
              <w:rPr>
                <w:rFonts w:hint="eastAsia" w:ascii="Times New Roman" w:hAnsi="Times New Roman" w:eastAsia="宋体" w:cs="Times New Roman"/>
                <w:b/>
                <w:color w:val="auto"/>
                <w:sz w:val="24"/>
                <w:highlight w:val="none"/>
                <w:lang w:val="en-US" w:eastAsia="zh-CN"/>
              </w:rPr>
              <w:t>4</w:t>
            </w:r>
            <w:r>
              <w:rPr>
                <w:rFonts w:hint="eastAsia" w:ascii="Times New Roman" w:hAnsi="Times New Roman" w:eastAsia="宋体" w:cs="Times New Roman"/>
                <w:b/>
                <w:color w:val="auto"/>
                <w:sz w:val="24"/>
                <w:highlight w:val="none"/>
                <w:lang w:eastAsia="zh-CN"/>
              </w:rPr>
              <w:t>）</w:t>
            </w:r>
            <w:r>
              <w:rPr>
                <w:rFonts w:hint="eastAsia" w:ascii="Times New Roman" w:hAnsi="Times New Roman" w:eastAsia="宋体" w:cs="Times New Roman"/>
                <w:b/>
                <w:color w:val="auto"/>
                <w:sz w:val="24"/>
                <w:highlight w:val="none"/>
                <w:lang w:val="en-US" w:eastAsia="zh-CN"/>
              </w:rPr>
              <w:t>与《食品生产通用卫生规范》（GB14881-2013）中选址要求符合性分析</w:t>
            </w:r>
          </w:p>
          <w:p>
            <w:pPr>
              <w:adjustRightInd w:val="0"/>
              <w:snapToGrid w:val="0"/>
              <w:spacing w:line="360" w:lineRule="auto"/>
              <w:jc w:val="center"/>
              <w:rPr>
                <w:rFonts w:hint="default" w:ascii="Times New Roman" w:hAnsi="Times New Roman" w:eastAsia="宋体" w:cs="Times New Roman"/>
                <w:b/>
                <w:bCs/>
                <w:color w:val="auto"/>
                <w:kern w:val="0"/>
                <w:szCs w:val="21"/>
                <w:highlight w:val="none"/>
                <w:lang w:val="en-US" w:eastAsia="zh-CN"/>
              </w:rPr>
            </w:pPr>
            <w:r>
              <w:rPr>
                <w:rFonts w:hint="eastAsia" w:ascii="Times New Roman" w:hAnsi="Times New Roman" w:eastAsia="宋体" w:cs="Times New Roman"/>
                <w:b/>
                <w:bCs/>
                <w:color w:val="auto"/>
                <w:kern w:val="0"/>
                <w:szCs w:val="21"/>
                <w:highlight w:val="none"/>
                <w:lang w:val="en-US" w:eastAsia="zh-CN"/>
              </w:rPr>
              <w:t>表1-5  本项目选址与《食品生产通用卫生规范》符合性分析</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3332"/>
              <w:gridCol w:w="2262"/>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noWrap w:val="0"/>
                  <w:vAlign w:val="center"/>
                </w:tcPr>
                <w:p>
                  <w:pPr>
                    <w:adjustRightInd w:val="0"/>
                    <w:snapToGrid w:val="0"/>
                    <w:jc w:val="center"/>
                    <w:rPr>
                      <w:rFonts w:hint="default"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序号</w:t>
                  </w:r>
                </w:p>
              </w:tc>
              <w:tc>
                <w:tcPr>
                  <w:tcW w:w="2307" w:type="pct"/>
                  <w:noWrap w:val="0"/>
                  <w:vAlign w:val="center"/>
                </w:tcPr>
                <w:p>
                  <w:pPr>
                    <w:adjustRightInd w:val="0"/>
                    <w:snapToGrid w:val="0"/>
                    <w:jc w:val="center"/>
                    <w:rPr>
                      <w:rFonts w:hint="default"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要求</w:t>
                  </w:r>
                </w:p>
              </w:tc>
              <w:tc>
                <w:tcPr>
                  <w:tcW w:w="1566" w:type="pct"/>
                  <w:noWrap w:val="0"/>
                  <w:vAlign w:val="center"/>
                </w:tcPr>
                <w:p>
                  <w:pPr>
                    <w:adjustRightInd w:val="0"/>
                    <w:snapToGrid w:val="0"/>
                    <w:jc w:val="center"/>
                    <w:rPr>
                      <w:rFonts w:hint="default"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本项目情况</w:t>
                  </w:r>
                </w:p>
              </w:tc>
              <w:tc>
                <w:tcPr>
                  <w:tcW w:w="666" w:type="pct"/>
                  <w:noWrap w:val="0"/>
                  <w:vAlign w:val="center"/>
                </w:tcPr>
                <w:p>
                  <w:pPr>
                    <w:adjustRightInd w:val="0"/>
                    <w:snapToGrid w:val="0"/>
                    <w:jc w:val="center"/>
                    <w:rPr>
                      <w:rFonts w:hint="default"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459" w:type="pct"/>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w:t>
                  </w:r>
                </w:p>
              </w:tc>
              <w:tc>
                <w:tcPr>
                  <w:tcW w:w="2307" w:type="pct"/>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厂区不应选择对食品有显著污染的区域。如某地对食品安全和食品宜食用性存在明显的不利影响，且无法通过采取措施加以改善，应避免在该地址建厂。</w:t>
                  </w:r>
                </w:p>
              </w:tc>
              <w:tc>
                <w:tcPr>
                  <w:tcW w:w="1566" w:type="pct"/>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项目周边的工业企业均为食品、饮料、仓储等低污染企业</w:t>
                  </w:r>
                  <w:r>
                    <w:rPr>
                      <w:rFonts w:hint="eastAsia" w:ascii="Times New Roman" w:hAnsi="Times New Roman" w:eastAsia="宋体" w:cs="Times New Roman"/>
                      <w:bCs/>
                      <w:color w:val="auto"/>
                      <w:szCs w:val="21"/>
                      <w:highlight w:val="none"/>
                      <w:lang w:val="en-US" w:eastAsia="zh-CN"/>
                    </w:rPr>
                    <w:t>，对食品无显著污染。</w:t>
                  </w:r>
                </w:p>
              </w:tc>
              <w:tc>
                <w:tcPr>
                  <w:tcW w:w="666" w:type="pct"/>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2</w:t>
                  </w:r>
                </w:p>
              </w:tc>
              <w:tc>
                <w:tcPr>
                  <w:tcW w:w="2307" w:type="pct"/>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厂区不应选择有害废弃物以粉尘、有害气体、放射性物质和其他扩散性污染源不能有效清除的地址。</w:t>
                  </w:r>
                </w:p>
              </w:tc>
              <w:tc>
                <w:tcPr>
                  <w:tcW w:w="1566" w:type="pct"/>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本项目用地为工业用地，目前为空地，</w:t>
                  </w:r>
                  <w:r>
                    <w:rPr>
                      <w:rFonts w:hint="eastAsia" w:cs="Times New Roman"/>
                      <w:bCs/>
                      <w:color w:val="auto"/>
                      <w:szCs w:val="21"/>
                      <w:highlight w:val="none"/>
                      <w:lang w:val="en-US" w:eastAsia="zh-CN"/>
                    </w:rPr>
                    <w:t>无</w:t>
                  </w:r>
                  <w:r>
                    <w:rPr>
                      <w:rFonts w:hint="eastAsia" w:ascii="Times New Roman" w:hAnsi="Times New Roman" w:eastAsia="宋体" w:cs="Times New Roman"/>
                      <w:bCs/>
                      <w:color w:val="auto"/>
                      <w:szCs w:val="21"/>
                      <w:highlight w:val="none"/>
                      <w:lang w:val="en-US" w:eastAsia="zh-CN"/>
                    </w:rPr>
                    <w:t>企业入驻，不存在不能有效</w:t>
                  </w:r>
                  <w:r>
                    <w:rPr>
                      <w:rFonts w:hint="eastAsia" w:cs="Times New Roman"/>
                      <w:bCs/>
                      <w:color w:val="auto"/>
                      <w:szCs w:val="21"/>
                      <w:highlight w:val="none"/>
                      <w:lang w:val="en-US" w:eastAsia="zh-CN"/>
                    </w:rPr>
                    <w:t>清除</w:t>
                  </w:r>
                  <w:r>
                    <w:rPr>
                      <w:rFonts w:hint="eastAsia" w:ascii="Times New Roman" w:hAnsi="Times New Roman" w:eastAsia="宋体" w:cs="Times New Roman"/>
                      <w:bCs/>
                      <w:color w:val="auto"/>
                      <w:szCs w:val="21"/>
                      <w:highlight w:val="none"/>
                      <w:lang w:val="en-US" w:eastAsia="zh-CN"/>
                    </w:rPr>
                    <w:t>的粉尘、有害气体、放射性物质和其他扩散性污染源</w:t>
                  </w:r>
                  <w:r>
                    <w:rPr>
                      <w:rFonts w:hint="eastAsia" w:cs="Times New Roman"/>
                      <w:bCs/>
                      <w:color w:val="auto"/>
                      <w:szCs w:val="21"/>
                      <w:highlight w:val="none"/>
                      <w:lang w:val="en-US" w:eastAsia="zh-CN"/>
                    </w:rPr>
                    <w:t>。</w:t>
                  </w:r>
                </w:p>
              </w:tc>
              <w:tc>
                <w:tcPr>
                  <w:tcW w:w="666" w:type="pct"/>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3</w:t>
                  </w:r>
                </w:p>
              </w:tc>
              <w:tc>
                <w:tcPr>
                  <w:tcW w:w="2307" w:type="pct"/>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厂区不宜选择易发生洪涝灾害的地区，难以避开时应设计必要的防范措施。</w:t>
                  </w:r>
                </w:p>
              </w:tc>
              <w:tc>
                <w:tcPr>
                  <w:tcW w:w="1566" w:type="pct"/>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本项目不位于易发生洪涝灾害的地区。</w:t>
                  </w:r>
                </w:p>
              </w:tc>
              <w:tc>
                <w:tcPr>
                  <w:tcW w:w="666" w:type="pct"/>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4</w:t>
                  </w:r>
                </w:p>
              </w:tc>
              <w:tc>
                <w:tcPr>
                  <w:tcW w:w="2307" w:type="pct"/>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厂区周围不宜有虫害大量孳生的潜在场所，难以避开时应设计必要的防范措施。</w:t>
                  </w:r>
                </w:p>
              </w:tc>
              <w:tc>
                <w:tcPr>
                  <w:tcW w:w="1566" w:type="pct"/>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根据现场调查，本项目厂区周围不存在虫害大量孳生的潜在场所。</w:t>
                  </w:r>
                </w:p>
              </w:tc>
              <w:tc>
                <w:tcPr>
                  <w:tcW w:w="666" w:type="pct"/>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符合</w:t>
                  </w:r>
                </w:p>
              </w:tc>
            </w:tr>
          </w:tbl>
          <w:p>
            <w:pPr>
              <w:spacing w:line="360" w:lineRule="auto"/>
              <w:ind w:firstLine="480" w:firstLineChars="200"/>
              <w:rPr>
                <w:rFonts w:hint="eastAsia" w:ascii="Times New Roman" w:hAnsi="Times New Roman" w:cs="宋体"/>
                <w:color w:val="auto"/>
                <w:sz w:val="24"/>
                <w:highlight w:val="none"/>
                <w:lang w:val="en-US" w:eastAsia="zh-CN" w:bidi="ar"/>
              </w:rPr>
            </w:pPr>
            <w:r>
              <w:rPr>
                <w:rFonts w:hint="eastAsia" w:ascii="Times New Roman" w:hAnsi="Times New Roman" w:eastAsia="宋体" w:cs="Times New Roman"/>
                <w:color w:val="auto"/>
                <w:sz w:val="24"/>
                <w:highlight w:val="none"/>
                <w:lang w:val="en-US" w:eastAsia="zh-CN"/>
              </w:rPr>
              <w:t>综上，本项目</w:t>
            </w:r>
            <w:r>
              <w:rPr>
                <w:rFonts w:hint="eastAsia" w:ascii="Times New Roman" w:hAnsi="Times New Roman" w:cs="宋体"/>
                <w:color w:val="auto"/>
                <w:sz w:val="24"/>
                <w:highlight w:val="none"/>
                <w:lang w:val="en-US" w:eastAsia="zh-CN" w:bidi="ar"/>
              </w:rPr>
              <w:t>符合《食品生产通用卫生规范》（GB14881-2013）选址要求。</w:t>
            </w:r>
          </w:p>
          <w:p>
            <w:pPr>
              <w:keepNext/>
              <w:spacing w:line="360" w:lineRule="auto"/>
              <w:ind w:firstLine="482" w:firstLineChars="200"/>
              <w:rPr>
                <w:rFonts w:hint="eastAsia"/>
                <w:color w:val="auto"/>
                <w:highlight w:val="none"/>
              </w:rPr>
            </w:pPr>
            <w:r>
              <w:rPr>
                <w:rFonts w:hint="eastAsia"/>
                <w:b/>
                <w:bCs/>
                <w:color w:val="auto"/>
                <w:sz w:val="24"/>
                <w:highlight w:val="none"/>
              </w:rPr>
              <w:t>综上所述，本项目采取污染防治措施后，对周边环境影响不大，且</w:t>
            </w:r>
            <w:r>
              <w:rPr>
                <w:rFonts w:hint="eastAsia"/>
                <w:b/>
                <w:bCs/>
                <w:color w:val="auto"/>
                <w:sz w:val="24"/>
                <w:highlight w:val="none"/>
                <w:lang w:val="en-US" w:eastAsia="zh-CN"/>
              </w:rPr>
              <w:t>外环境对本项目无制约因素</w:t>
            </w:r>
            <w:r>
              <w:rPr>
                <w:rFonts w:hint="eastAsia"/>
                <w:b/>
                <w:bCs/>
                <w:color w:val="auto"/>
                <w:sz w:val="24"/>
                <w:highlight w:val="none"/>
              </w:rPr>
              <w:t>，</w:t>
            </w:r>
            <w:r>
              <w:rPr>
                <w:rFonts w:hint="eastAsia"/>
                <w:b/>
                <w:bCs/>
                <w:color w:val="auto"/>
                <w:sz w:val="24"/>
                <w:highlight w:val="none"/>
                <w:lang w:val="en-US" w:eastAsia="zh-CN"/>
              </w:rPr>
              <w:t>选址</w:t>
            </w:r>
            <w:r>
              <w:rPr>
                <w:rFonts w:hint="eastAsia"/>
                <w:b/>
                <w:bCs/>
                <w:color w:val="auto"/>
                <w:sz w:val="24"/>
                <w:highlight w:val="none"/>
              </w:rPr>
              <w:t>符合《食品生产通用卫生规范》（GB14881-2013）</w:t>
            </w:r>
            <w:r>
              <w:rPr>
                <w:rFonts w:hint="eastAsia"/>
                <w:b/>
                <w:bCs/>
                <w:color w:val="auto"/>
                <w:sz w:val="24"/>
                <w:highlight w:val="none"/>
                <w:lang w:val="en-US" w:eastAsia="zh-CN"/>
              </w:rPr>
              <w:t>相关</w:t>
            </w:r>
            <w:r>
              <w:rPr>
                <w:rFonts w:hint="eastAsia"/>
                <w:b/>
                <w:bCs/>
                <w:color w:val="auto"/>
                <w:sz w:val="24"/>
                <w:highlight w:val="none"/>
              </w:rPr>
              <w:t>要求</w:t>
            </w:r>
            <w:r>
              <w:rPr>
                <w:rFonts w:hint="eastAsia"/>
                <w:b/>
                <w:bCs/>
                <w:color w:val="auto"/>
                <w:sz w:val="24"/>
                <w:highlight w:val="none"/>
                <w:lang w:eastAsia="zh-CN"/>
              </w:rPr>
              <w:t>，</w:t>
            </w:r>
            <w:r>
              <w:rPr>
                <w:rFonts w:hint="eastAsia"/>
                <w:b/>
                <w:bCs/>
                <w:color w:val="auto"/>
                <w:sz w:val="24"/>
                <w:highlight w:val="none"/>
                <w:lang w:val="en-US" w:eastAsia="zh-CN"/>
              </w:rPr>
              <w:t>因此，本项目选址合理</w:t>
            </w:r>
            <w:r>
              <w:rPr>
                <w:rFonts w:hint="eastAsia"/>
                <w:b/>
                <w:bCs/>
                <w:color w:val="auto"/>
                <w:sz w:val="24"/>
                <w:highlight w:val="none"/>
              </w:rPr>
              <w:t>。</w:t>
            </w:r>
          </w:p>
          <w:p>
            <w:pPr>
              <w:spacing w:line="360" w:lineRule="auto"/>
              <w:ind w:firstLine="480" w:firstLineChars="200"/>
              <w:rPr>
                <w:rFonts w:hint="eastAsia" w:ascii="Times New Roman" w:hAnsi="Times New Roman" w:cs="宋体"/>
                <w:color w:val="auto"/>
                <w:sz w:val="24"/>
                <w:highlight w:val="none"/>
                <w:lang w:val="en-US" w:eastAsia="zh-CN" w:bidi="ar"/>
              </w:rPr>
            </w:pPr>
          </w:p>
          <w:p>
            <w:pPr>
              <w:spacing w:line="360" w:lineRule="auto"/>
              <w:ind w:firstLine="480" w:firstLineChars="200"/>
              <w:rPr>
                <w:rFonts w:hint="eastAsia" w:ascii="Times New Roman" w:hAnsi="Times New Roman" w:cs="宋体"/>
                <w:color w:val="auto"/>
                <w:sz w:val="24"/>
                <w:highlight w:val="none"/>
                <w:lang w:val="en-US" w:eastAsia="zh-CN" w:bidi="ar"/>
              </w:rPr>
            </w:pPr>
          </w:p>
          <w:p>
            <w:pPr>
              <w:spacing w:line="360" w:lineRule="auto"/>
              <w:ind w:firstLine="480" w:firstLineChars="200"/>
              <w:rPr>
                <w:rFonts w:hint="eastAsia" w:ascii="Times New Roman" w:hAnsi="Times New Roman" w:cs="宋体"/>
                <w:color w:val="auto"/>
                <w:sz w:val="24"/>
                <w:highlight w:val="none"/>
                <w:lang w:val="en-US" w:eastAsia="zh-CN" w:bidi="ar"/>
              </w:rPr>
            </w:pPr>
          </w:p>
          <w:p>
            <w:pPr>
              <w:spacing w:line="360" w:lineRule="auto"/>
              <w:ind w:firstLine="480" w:firstLineChars="200"/>
              <w:rPr>
                <w:rFonts w:hint="eastAsia" w:ascii="Times New Roman" w:hAnsi="Times New Roman" w:cs="宋体"/>
                <w:color w:val="auto"/>
                <w:sz w:val="24"/>
                <w:highlight w:val="none"/>
                <w:lang w:val="en-US" w:eastAsia="zh-CN" w:bidi="ar"/>
              </w:rPr>
            </w:pPr>
          </w:p>
          <w:p>
            <w:pPr>
              <w:spacing w:line="360" w:lineRule="auto"/>
              <w:ind w:firstLine="480" w:firstLineChars="200"/>
              <w:rPr>
                <w:rFonts w:hint="eastAsia" w:ascii="Times New Roman" w:hAnsi="Times New Roman" w:cs="宋体"/>
                <w:color w:val="auto"/>
                <w:sz w:val="24"/>
                <w:highlight w:val="none"/>
                <w:lang w:val="en-US" w:eastAsia="zh-CN" w:bidi="ar"/>
              </w:rPr>
            </w:pPr>
          </w:p>
          <w:p>
            <w:pPr>
              <w:spacing w:line="360" w:lineRule="auto"/>
              <w:ind w:firstLine="480" w:firstLineChars="200"/>
              <w:rPr>
                <w:rFonts w:hint="eastAsia" w:ascii="Times New Roman" w:hAnsi="Times New Roman" w:cs="宋体"/>
                <w:color w:val="auto"/>
                <w:sz w:val="24"/>
                <w:highlight w:val="none"/>
                <w:lang w:val="en-US" w:eastAsia="zh-CN" w:bidi="ar"/>
              </w:rPr>
            </w:pPr>
          </w:p>
          <w:p>
            <w:pPr>
              <w:spacing w:line="360" w:lineRule="auto"/>
              <w:ind w:firstLine="480" w:firstLineChars="200"/>
              <w:rPr>
                <w:rFonts w:hint="eastAsia" w:ascii="Times New Roman" w:hAnsi="Times New Roman" w:cs="宋体"/>
                <w:color w:val="auto"/>
                <w:sz w:val="24"/>
                <w:highlight w:val="none"/>
                <w:lang w:val="en-US" w:eastAsia="zh-CN" w:bidi="ar"/>
              </w:rPr>
            </w:pPr>
          </w:p>
          <w:p>
            <w:pPr>
              <w:spacing w:line="360" w:lineRule="auto"/>
              <w:ind w:firstLine="480" w:firstLineChars="200"/>
              <w:rPr>
                <w:rFonts w:hint="eastAsia" w:ascii="Times New Roman" w:hAnsi="Times New Roman" w:cs="宋体"/>
                <w:color w:val="auto"/>
                <w:sz w:val="24"/>
                <w:highlight w:val="none"/>
                <w:lang w:val="en-US" w:eastAsia="zh-CN" w:bidi="ar"/>
              </w:rPr>
            </w:pPr>
          </w:p>
          <w:p>
            <w:pPr>
              <w:spacing w:line="360" w:lineRule="auto"/>
              <w:ind w:firstLine="480" w:firstLineChars="200"/>
              <w:rPr>
                <w:rFonts w:hint="eastAsia" w:ascii="Times New Roman" w:hAnsi="Times New Roman" w:cs="宋体"/>
                <w:color w:val="auto"/>
                <w:sz w:val="24"/>
                <w:highlight w:val="none"/>
                <w:lang w:val="en-US" w:eastAsia="zh-CN" w:bidi="ar"/>
              </w:rPr>
            </w:pPr>
          </w:p>
          <w:p>
            <w:pPr>
              <w:spacing w:line="360" w:lineRule="auto"/>
              <w:ind w:firstLine="480" w:firstLineChars="200"/>
              <w:rPr>
                <w:rFonts w:hint="eastAsia" w:ascii="Times New Roman" w:hAnsi="Times New Roman" w:cs="宋体"/>
                <w:color w:val="auto"/>
                <w:sz w:val="24"/>
                <w:highlight w:val="none"/>
                <w:lang w:val="en-US" w:eastAsia="zh-CN" w:bidi="ar"/>
              </w:rPr>
            </w:pPr>
          </w:p>
          <w:p>
            <w:pPr>
              <w:spacing w:line="360" w:lineRule="auto"/>
              <w:ind w:firstLine="480" w:firstLineChars="200"/>
              <w:rPr>
                <w:rFonts w:hint="eastAsia" w:ascii="Times New Roman" w:hAnsi="Times New Roman" w:cs="宋体"/>
                <w:color w:val="auto"/>
                <w:sz w:val="24"/>
                <w:highlight w:val="none"/>
                <w:lang w:val="en-US" w:eastAsia="zh-CN" w:bidi="ar"/>
              </w:rPr>
            </w:pPr>
          </w:p>
          <w:p>
            <w:pPr>
              <w:spacing w:line="360" w:lineRule="auto"/>
              <w:ind w:firstLine="480" w:firstLineChars="200"/>
              <w:rPr>
                <w:rFonts w:hint="eastAsia" w:ascii="Times New Roman" w:hAnsi="Times New Roman" w:cs="宋体"/>
                <w:color w:val="auto"/>
                <w:sz w:val="24"/>
                <w:highlight w:val="none"/>
                <w:lang w:val="en-US" w:eastAsia="zh-CN" w:bidi="ar"/>
              </w:rPr>
            </w:pPr>
          </w:p>
          <w:p>
            <w:pPr>
              <w:spacing w:line="360" w:lineRule="auto"/>
              <w:ind w:firstLine="480" w:firstLineChars="200"/>
              <w:rPr>
                <w:rFonts w:hint="eastAsia" w:ascii="Times New Roman" w:hAnsi="Times New Roman" w:cs="宋体"/>
                <w:color w:val="auto"/>
                <w:sz w:val="24"/>
                <w:highlight w:val="none"/>
                <w:lang w:val="en-US" w:eastAsia="zh-CN" w:bidi="ar"/>
              </w:rPr>
            </w:pPr>
          </w:p>
          <w:p>
            <w:pPr>
              <w:spacing w:line="360" w:lineRule="auto"/>
              <w:ind w:firstLine="480" w:firstLineChars="200"/>
              <w:rPr>
                <w:rFonts w:hint="eastAsia" w:ascii="Times New Roman" w:hAnsi="Times New Roman" w:cs="宋体"/>
                <w:color w:val="auto"/>
                <w:sz w:val="24"/>
                <w:highlight w:val="none"/>
                <w:lang w:val="en-US" w:eastAsia="zh-CN" w:bidi="ar"/>
              </w:rPr>
            </w:pPr>
          </w:p>
          <w:p>
            <w:pPr>
              <w:spacing w:line="360" w:lineRule="auto"/>
              <w:ind w:firstLine="480" w:firstLineChars="200"/>
              <w:rPr>
                <w:rFonts w:hint="eastAsia" w:ascii="Times New Roman" w:hAnsi="Times New Roman" w:cs="宋体"/>
                <w:color w:val="auto"/>
                <w:sz w:val="24"/>
                <w:highlight w:val="none"/>
                <w:lang w:val="en-US" w:eastAsia="zh-CN" w:bidi="ar"/>
              </w:rPr>
            </w:pPr>
          </w:p>
          <w:p>
            <w:pPr>
              <w:spacing w:line="360" w:lineRule="auto"/>
              <w:ind w:firstLine="480" w:firstLineChars="200"/>
              <w:rPr>
                <w:rFonts w:hint="eastAsia" w:ascii="Times New Roman" w:hAnsi="Times New Roman" w:cs="宋体"/>
                <w:color w:val="auto"/>
                <w:sz w:val="24"/>
                <w:highlight w:val="none"/>
                <w:lang w:val="en-US" w:eastAsia="zh-CN" w:bidi="ar"/>
              </w:rPr>
            </w:pPr>
          </w:p>
          <w:p>
            <w:pPr>
              <w:spacing w:line="360" w:lineRule="auto"/>
              <w:ind w:firstLine="480" w:firstLineChars="200"/>
              <w:rPr>
                <w:rFonts w:hint="eastAsia" w:ascii="Times New Roman" w:hAnsi="Times New Roman" w:cs="宋体"/>
                <w:color w:val="auto"/>
                <w:sz w:val="24"/>
                <w:highlight w:val="none"/>
                <w:lang w:val="en-US" w:eastAsia="zh-CN" w:bidi="ar"/>
              </w:rPr>
            </w:pPr>
          </w:p>
          <w:p>
            <w:pPr>
              <w:spacing w:line="360" w:lineRule="auto"/>
              <w:ind w:firstLine="480" w:firstLineChars="200"/>
              <w:rPr>
                <w:rFonts w:hint="eastAsia" w:ascii="Times New Roman" w:hAnsi="Times New Roman" w:cs="宋体"/>
                <w:color w:val="auto"/>
                <w:sz w:val="24"/>
                <w:highlight w:val="none"/>
                <w:lang w:val="en-US" w:eastAsia="zh-CN" w:bidi="ar"/>
              </w:rPr>
            </w:pPr>
          </w:p>
          <w:p>
            <w:pPr>
              <w:spacing w:line="360" w:lineRule="auto"/>
              <w:ind w:firstLine="480" w:firstLineChars="200"/>
              <w:rPr>
                <w:rFonts w:hint="eastAsia" w:ascii="Times New Roman" w:hAnsi="Times New Roman" w:cs="宋体"/>
                <w:color w:val="auto"/>
                <w:sz w:val="24"/>
                <w:highlight w:val="none"/>
                <w:lang w:val="en-US" w:eastAsia="zh-CN" w:bidi="ar"/>
              </w:rPr>
            </w:pPr>
          </w:p>
          <w:p>
            <w:pPr>
              <w:spacing w:line="360" w:lineRule="auto"/>
              <w:ind w:firstLine="480" w:firstLineChars="200"/>
              <w:rPr>
                <w:rFonts w:hint="eastAsia" w:ascii="Times New Roman" w:hAnsi="Times New Roman" w:cs="宋体"/>
                <w:color w:val="auto"/>
                <w:sz w:val="24"/>
                <w:highlight w:val="none"/>
                <w:lang w:val="en-US" w:eastAsia="zh-CN" w:bidi="ar"/>
              </w:rPr>
            </w:pPr>
          </w:p>
          <w:p>
            <w:pPr>
              <w:spacing w:line="360" w:lineRule="auto"/>
              <w:ind w:firstLine="480" w:firstLineChars="200"/>
              <w:rPr>
                <w:rFonts w:hint="eastAsia" w:ascii="Times New Roman" w:hAnsi="Times New Roman" w:cs="宋体"/>
                <w:color w:val="auto"/>
                <w:sz w:val="24"/>
                <w:highlight w:val="none"/>
                <w:lang w:val="en-US" w:eastAsia="zh-CN" w:bidi="ar"/>
              </w:rPr>
            </w:pPr>
          </w:p>
          <w:p>
            <w:pPr>
              <w:autoSpaceDE w:val="0"/>
              <w:autoSpaceDN w:val="0"/>
              <w:adjustRightInd w:val="0"/>
              <w:snapToGrid w:val="0"/>
              <w:jc w:val="center"/>
              <w:rPr>
                <w:rFonts w:ascii="宋体" w:hAnsi="宋体" w:cs="宋体"/>
                <w:color w:val="auto"/>
                <w:kern w:val="0"/>
                <w:szCs w:val="21"/>
                <w:highlight w:val="none"/>
              </w:rPr>
            </w:pPr>
          </w:p>
        </w:tc>
      </w:tr>
    </w:tbl>
    <w:p>
      <w:pPr>
        <w:pStyle w:val="19"/>
        <w:jc w:val="center"/>
        <w:outlineLvl w:val="0"/>
        <w:rPr>
          <w:rFonts w:ascii="黑体" w:hAnsi="黑体" w:eastAsia="黑体"/>
          <w:snapToGrid w:val="0"/>
          <w:color w:val="auto"/>
          <w:sz w:val="30"/>
          <w:szCs w:val="30"/>
          <w:highlight w:val="none"/>
        </w:rPr>
      </w:pPr>
      <w:r>
        <w:rPr>
          <w:rFonts w:hint="eastAsia" w:ascii="宋体" w:hAnsi="宋体" w:cs="宋体"/>
          <w:color w:val="auto"/>
          <w:kern w:val="0"/>
          <w:szCs w:val="21"/>
          <w:highlight w:val="none"/>
        </w:rPr>
        <w:br w:type="page"/>
      </w:r>
      <w:r>
        <w:rPr>
          <w:rFonts w:hint="eastAsia" w:ascii="黑体" w:hAnsi="黑体" w:eastAsia="黑体" w:cs="Times New Roman"/>
          <w:b w:val="0"/>
          <w:bCs w:val="0"/>
          <w:snapToGrid w:val="0"/>
          <w:color w:val="auto"/>
          <w:kern w:val="0"/>
          <w:sz w:val="30"/>
          <w:szCs w:val="30"/>
          <w:highlight w:val="none"/>
          <w:lang w:val="en-US" w:eastAsia="zh-CN" w:bidi="ar-SA"/>
        </w:rPr>
        <w:t>二、建设</w:t>
      </w:r>
      <w:r>
        <w:rPr>
          <w:rFonts w:hint="eastAsia" w:ascii="黑体" w:hAnsi="黑体" w:eastAsia="黑体" w:cs="Times New Roman"/>
          <w:snapToGrid w:val="0"/>
          <w:color w:val="auto"/>
          <w:sz w:val="30"/>
          <w:szCs w:val="30"/>
          <w:highlight w:val="none"/>
          <w:lang w:val="en-US" w:eastAsia="zh-CN"/>
        </w:rPr>
        <w:t>项目</w:t>
      </w:r>
      <w:r>
        <w:rPr>
          <w:rFonts w:hint="eastAsia" w:ascii="黑体" w:hAnsi="黑体" w:eastAsia="黑体" w:cs="Times New Roman"/>
          <w:b w:val="0"/>
          <w:bCs w:val="0"/>
          <w:snapToGrid w:val="0"/>
          <w:color w:val="auto"/>
          <w:kern w:val="0"/>
          <w:sz w:val="30"/>
          <w:szCs w:val="30"/>
          <w:highlight w:val="none"/>
          <w:lang w:val="en-US" w:eastAsia="zh-CN" w:bidi="ar-SA"/>
        </w:rPr>
        <w:t>工程分析</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4" w:type="dxa"/>
            <w:noWrap w:val="0"/>
            <w:vAlign w:val="center"/>
          </w:tcPr>
          <w:p>
            <w:pPr>
              <w:pStyle w:val="19"/>
              <w:adjustRightInd w:val="0"/>
              <w:snapToGrid w:val="0"/>
              <w:spacing w:before="0" w:beforeAutospacing="0" w:after="0" w:afterAutospacing="0"/>
              <w:jc w:val="center"/>
              <w:rPr>
                <w:rFonts w:cs="宋体"/>
                <w:color w:val="auto"/>
                <w:sz w:val="21"/>
                <w:szCs w:val="21"/>
                <w:highlight w:val="none"/>
              </w:rPr>
            </w:pPr>
            <w:r>
              <w:rPr>
                <w:rFonts w:hint="eastAsia" w:cs="宋体"/>
                <w:color w:val="auto"/>
                <w:sz w:val="21"/>
                <w:szCs w:val="21"/>
                <w:highlight w:val="none"/>
              </w:rPr>
              <w:t>建设内容</w:t>
            </w:r>
          </w:p>
        </w:tc>
        <w:tc>
          <w:tcPr>
            <w:tcW w:w="8636"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eastAsia="宋体"/>
                <w:b/>
                <w:color w:val="auto"/>
                <w:sz w:val="24"/>
                <w:highlight w:val="none"/>
                <w:lang w:val="en-US" w:eastAsia="zh-CN"/>
              </w:rPr>
            </w:pPr>
            <w:r>
              <w:rPr>
                <w:rFonts w:hint="eastAsia"/>
                <w:b/>
                <w:color w:val="auto"/>
                <w:sz w:val="24"/>
                <w:highlight w:val="none"/>
                <w:lang w:val="en-US" w:eastAsia="zh-CN"/>
              </w:rPr>
              <w:t>1、项目由来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olor w:val="auto"/>
                <w:sz w:val="24"/>
                <w:szCs w:val="22"/>
                <w:highlight w:val="none"/>
                <w:lang w:val="en-US" w:eastAsia="zh-CN"/>
              </w:rPr>
            </w:pPr>
            <w:r>
              <w:rPr>
                <w:rFonts w:hint="eastAsia"/>
                <w:b w:val="0"/>
                <w:bCs/>
                <w:color w:val="auto"/>
                <w:sz w:val="24"/>
                <w:highlight w:val="none"/>
              </w:rPr>
              <w:t>四川省胡婆婆食品有限责任公司成立于</w:t>
            </w:r>
            <w:r>
              <w:rPr>
                <w:rFonts w:hint="default"/>
                <w:b w:val="0"/>
                <w:bCs/>
                <w:color w:val="auto"/>
                <w:sz w:val="24"/>
                <w:highlight w:val="none"/>
              </w:rPr>
              <w:t>2004</w:t>
            </w:r>
            <w:r>
              <w:rPr>
                <w:rFonts w:hint="eastAsia"/>
                <w:b w:val="0"/>
                <w:bCs/>
                <w:color w:val="auto"/>
                <w:sz w:val="24"/>
                <w:highlight w:val="none"/>
              </w:rPr>
              <w:t>年，是一家集研发、生产、销售一体的休闲食品生产企业。四川省胡婆婆食品有限责任公司</w:t>
            </w:r>
            <w:r>
              <w:rPr>
                <w:rFonts w:hint="eastAsia"/>
                <w:b w:val="0"/>
                <w:bCs/>
                <w:color w:val="auto"/>
                <w:sz w:val="24"/>
                <w:highlight w:val="none"/>
                <w:lang w:val="en-US" w:eastAsia="zh-CN"/>
              </w:rPr>
              <w:t>位于</w:t>
            </w:r>
            <w:r>
              <w:rPr>
                <w:rFonts w:hint="eastAsia" w:ascii="宋体" w:hAnsi="宋体"/>
                <w:color w:val="auto"/>
                <w:sz w:val="24"/>
                <w:szCs w:val="24"/>
                <w:highlight w:val="none"/>
              </w:rPr>
              <w:t>巴中市恩阳食品工业园</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现已建设“四川省胡婆婆食品有限责任</w:t>
            </w:r>
            <w:r>
              <w:rPr>
                <w:rFonts w:hint="eastAsia" w:ascii="Times New Roman" w:hAnsi="Times New Roman" w:eastAsia="宋体" w:cs="Times New Roman"/>
                <w:b w:val="0"/>
                <w:bCs/>
                <w:color w:val="auto"/>
                <w:sz w:val="24"/>
                <w:highlight w:val="none"/>
                <w:lang w:val="en-US" w:eastAsia="zh-CN"/>
              </w:rPr>
              <w:t>公司新建项目”，占地面积27107.7m</w:t>
            </w:r>
            <w:r>
              <w:rPr>
                <w:rFonts w:hint="eastAsia" w:ascii="Times New Roman" w:hAnsi="Times New Roman" w:eastAsia="宋体" w:cs="Times New Roman"/>
                <w:b w:val="0"/>
                <w:bCs/>
                <w:color w:val="auto"/>
                <w:sz w:val="24"/>
                <w:highlight w:val="none"/>
                <w:vertAlign w:val="superscript"/>
                <w:lang w:val="en-US" w:eastAsia="zh-CN"/>
              </w:rPr>
              <w:t>2</w:t>
            </w:r>
            <w:r>
              <w:rPr>
                <w:rFonts w:hint="eastAsia" w:ascii="Times New Roman" w:hAnsi="Times New Roman" w:eastAsia="宋体" w:cs="Times New Roman"/>
                <w:b w:val="0"/>
                <w:bCs/>
                <w:color w:val="auto"/>
                <w:sz w:val="24"/>
                <w:highlight w:val="none"/>
                <w:vertAlign w:val="baseline"/>
                <w:lang w:val="en-US" w:eastAsia="zh-CN"/>
              </w:rPr>
              <w:t>，</w:t>
            </w:r>
            <w:r>
              <w:rPr>
                <w:rFonts w:hint="eastAsia" w:ascii="Times New Roman" w:hAnsi="Times New Roman" w:eastAsia="宋体" w:cs="Times New Roman"/>
                <w:b w:val="0"/>
                <w:bCs/>
                <w:color w:val="auto"/>
                <w:sz w:val="24"/>
                <w:highlight w:val="none"/>
                <w:lang w:val="en-US" w:eastAsia="zh-CN"/>
              </w:rPr>
              <w:t>建设内容包含生产厂房、综合办公楼、员工生活用房等配套用房等，形成年产豆制品6000t、蛋制品2000t、薯类制品500t、蔬菜制品1500t的生产能力。于2019年元月10日取得巴中市环境保护局恩阳分局《关于</w:t>
            </w:r>
            <w:r>
              <w:rPr>
                <w:rFonts w:hint="eastAsia" w:ascii="宋体" w:hAnsi="宋体"/>
                <w:color w:val="auto"/>
                <w:sz w:val="24"/>
                <w:szCs w:val="24"/>
                <w:highlight w:val="none"/>
                <w:lang w:val="en-US" w:eastAsia="zh-CN"/>
              </w:rPr>
              <w:t>四川省胡婆婆食品有限责任</w:t>
            </w:r>
            <w:r>
              <w:rPr>
                <w:rFonts w:hint="eastAsia" w:ascii="Times New Roman" w:hAnsi="Times New Roman" w:eastAsia="宋体" w:cs="Times New Roman"/>
                <w:b w:val="0"/>
                <w:bCs/>
                <w:color w:val="auto"/>
                <w:sz w:val="24"/>
                <w:highlight w:val="none"/>
                <w:lang w:val="en-US" w:eastAsia="zh-CN"/>
              </w:rPr>
              <w:t>公司新建项目环境影响报告表的批复》</w:t>
            </w:r>
            <w:r>
              <w:rPr>
                <w:rFonts w:eastAsia="宋体"/>
                <w:color w:val="auto"/>
                <w:sz w:val="24"/>
                <w:szCs w:val="22"/>
                <w:highlight w:val="none"/>
                <w:lang w:val="en-US"/>
              </w:rPr>
              <w:t>（</w:t>
            </w:r>
            <w:r>
              <w:rPr>
                <w:rFonts w:hint="eastAsia" w:eastAsia="宋体"/>
                <w:color w:val="auto"/>
                <w:sz w:val="24"/>
                <w:szCs w:val="22"/>
                <w:highlight w:val="none"/>
                <w:lang w:val="en-US" w:eastAsia="zh-CN"/>
              </w:rPr>
              <w:t>恩</w:t>
            </w:r>
            <w:r>
              <w:rPr>
                <w:rFonts w:eastAsia="宋体"/>
                <w:color w:val="auto"/>
                <w:sz w:val="24"/>
                <w:szCs w:val="22"/>
                <w:highlight w:val="none"/>
                <w:lang w:val="en-US"/>
              </w:rPr>
              <w:t>环</w:t>
            </w:r>
            <w:r>
              <w:rPr>
                <w:rFonts w:hint="eastAsia" w:eastAsia="宋体"/>
                <w:color w:val="auto"/>
                <w:sz w:val="24"/>
                <w:szCs w:val="22"/>
                <w:highlight w:val="none"/>
                <w:lang w:val="en-US" w:eastAsia="zh-CN"/>
              </w:rPr>
              <w:t>审批</w:t>
            </w:r>
            <w:r>
              <w:rPr>
                <w:rFonts w:eastAsia="宋体"/>
                <w:color w:val="auto"/>
                <w:sz w:val="24"/>
                <w:szCs w:val="22"/>
                <w:highlight w:val="none"/>
              </w:rPr>
              <w:t>〔</w:t>
            </w:r>
            <w:r>
              <w:rPr>
                <w:rFonts w:eastAsia="宋体"/>
                <w:color w:val="auto"/>
                <w:sz w:val="24"/>
                <w:szCs w:val="22"/>
                <w:highlight w:val="none"/>
                <w:lang w:val="en-US"/>
              </w:rPr>
              <w:t>201</w:t>
            </w:r>
            <w:r>
              <w:rPr>
                <w:rFonts w:hint="eastAsia" w:eastAsia="宋体"/>
                <w:color w:val="auto"/>
                <w:sz w:val="24"/>
                <w:szCs w:val="22"/>
                <w:highlight w:val="none"/>
                <w:lang w:val="en-US" w:eastAsia="zh-CN"/>
              </w:rPr>
              <w:t>9</w:t>
            </w:r>
            <w:r>
              <w:rPr>
                <w:rFonts w:eastAsia="宋体"/>
                <w:color w:val="auto"/>
                <w:sz w:val="24"/>
                <w:szCs w:val="22"/>
                <w:highlight w:val="none"/>
              </w:rPr>
              <w:t>〕</w:t>
            </w:r>
            <w:r>
              <w:rPr>
                <w:rFonts w:hint="eastAsia" w:eastAsia="宋体"/>
                <w:color w:val="auto"/>
                <w:sz w:val="24"/>
                <w:szCs w:val="22"/>
                <w:highlight w:val="none"/>
                <w:lang w:val="en-US" w:eastAsia="zh-CN"/>
              </w:rPr>
              <w:t>6</w:t>
            </w:r>
            <w:r>
              <w:rPr>
                <w:rFonts w:eastAsia="宋体"/>
                <w:color w:val="auto"/>
                <w:sz w:val="24"/>
                <w:szCs w:val="22"/>
                <w:highlight w:val="none"/>
                <w:lang w:val="en-US"/>
              </w:rPr>
              <w:t>号）</w:t>
            </w:r>
            <w:r>
              <w:rPr>
                <w:rFonts w:hint="eastAsia" w:eastAsia="宋体"/>
                <w:color w:val="auto"/>
                <w:sz w:val="24"/>
                <w:szCs w:val="22"/>
                <w:highlight w:val="none"/>
                <w:lang w:val="en-US" w:eastAsia="zh-CN"/>
              </w:rPr>
              <w:t>，并于2019年11月完成验收，于2021年2月23日取得巴中市生态环境局下发的《排污许可证》（证书编号：91511900L077917763001W）。</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color w:val="auto"/>
                <w:sz w:val="24"/>
                <w:szCs w:val="22"/>
                <w:highlight w:val="none"/>
                <w:u w:val="single"/>
                <w:lang w:val="en-US" w:eastAsia="zh-CN"/>
              </w:rPr>
            </w:pPr>
            <w:r>
              <w:rPr>
                <w:rFonts w:hint="eastAsia" w:eastAsia="宋体"/>
                <w:color w:val="auto"/>
                <w:sz w:val="24"/>
                <w:szCs w:val="22"/>
                <w:highlight w:val="none"/>
                <w:u w:val="single"/>
                <w:lang w:val="en-US" w:eastAsia="zh-CN"/>
              </w:rPr>
              <w:t>为了满足企业的发展需求，现</w:t>
            </w:r>
            <w:r>
              <w:rPr>
                <w:rFonts w:hint="eastAsia"/>
                <w:b w:val="0"/>
                <w:bCs/>
                <w:color w:val="auto"/>
                <w:sz w:val="24"/>
                <w:highlight w:val="none"/>
                <w:u w:val="single"/>
              </w:rPr>
              <w:t>四川省胡婆婆食品有限责任公司</w:t>
            </w:r>
            <w:r>
              <w:rPr>
                <w:rFonts w:hint="eastAsia"/>
                <w:b w:val="0"/>
                <w:bCs/>
                <w:color w:val="auto"/>
                <w:sz w:val="24"/>
                <w:highlight w:val="none"/>
                <w:u w:val="single"/>
                <w:lang w:val="en-US" w:eastAsia="zh-CN"/>
              </w:rPr>
              <w:t>拟投资8000万元，在</w:t>
            </w:r>
            <w:r>
              <w:rPr>
                <w:rFonts w:hint="eastAsia" w:ascii="宋体" w:hAnsi="宋体"/>
                <w:color w:val="auto"/>
                <w:sz w:val="24"/>
                <w:szCs w:val="24"/>
                <w:highlight w:val="none"/>
                <w:u w:val="single"/>
              </w:rPr>
              <w:t>巴中市恩阳食品工业园</w:t>
            </w:r>
            <w:r>
              <w:rPr>
                <w:rFonts w:hint="eastAsia" w:ascii="宋体" w:hAnsi="宋体"/>
                <w:color w:val="auto"/>
                <w:sz w:val="24"/>
                <w:szCs w:val="24"/>
                <w:highlight w:val="none"/>
                <w:u w:val="single"/>
                <w:lang w:val="en-US" w:eastAsia="zh-CN"/>
              </w:rPr>
              <w:t>新增</w:t>
            </w:r>
            <w:r>
              <w:rPr>
                <w:rFonts w:hint="eastAsia"/>
                <w:b w:val="0"/>
                <w:bCs/>
                <w:color w:val="auto"/>
                <w:sz w:val="24"/>
                <w:highlight w:val="none"/>
                <w:u w:val="single"/>
                <w:lang w:val="en-US" w:eastAsia="zh-CN"/>
              </w:rPr>
              <w:t>37285.11m</w:t>
            </w:r>
            <w:r>
              <w:rPr>
                <w:rFonts w:hint="eastAsia"/>
                <w:b w:val="0"/>
                <w:bCs/>
                <w:color w:val="auto"/>
                <w:sz w:val="24"/>
                <w:highlight w:val="none"/>
                <w:u w:val="single"/>
                <w:vertAlign w:val="superscript"/>
                <w:lang w:val="en-US" w:eastAsia="zh-CN"/>
              </w:rPr>
              <w:t>2</w:t>
            </w:r>
            <w:r>
              <w:rPr>
                <w:rFonts w:hint="eastAsia"/>
                <w:b w:val="0"/>
                <w:bCs/>
                <w:color w:val="auto"/>
                <w:sz w:val="24"/>
                <w:highlight w:val="none"/>
                <w:u w:val="single"/>
                <w:vertAlign w:val="baseline"/>
                <w:lang w:val="en-US" w:eastAsia="zh-CN"/>
              </w:rPr>
              <w:t>用地</w:t>
            </w:r>
            <w:r>
              <w:rPr>
                <w:rFonts w:hint="eastAsia"/>
                <w:b w:val="0"/>
                <w:bCs/>
                <w:color w:val="auto"/>
                <w:sz w:val="24"/>
                <w:highlight w:val="none"/>
                <w:u w:val="single"/>
                <w:lang w:val="en-US" w:eastAsia="zh-CN"/>
              </w:rPr>
              <w:t>，建设“胡婆婆食品二期扩能及产业延伸项目”。项目主要建设散装称量豆干和手撕素肉生产线，配置夹层锅、烘烤线、拌料桶、清洗线等设备，项目建成后年产散装称量豆干3000吨、手撕素肉500吨。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olor w:val="auto"/>
                <w:sz w:val="24"/>
                <w:szCs w:val="22"/>
                <w:highlight w:val="none"/>
                <w:lang w:val="en-US" w:eastAsia="zh-CN"/>
              </w:rPr>
            </w:pPr>
            <w:r>
              <w:rPr>
                <w:color w:val="auto"/>
                <w:sz w:val="24"/>
                <w:highlight w:val="none"/>
              </w:rPr>
              <w:t>根据《中华人民共和国环境保护法》、《中华人民共和国环境影响评价法》及《建设项目环境保护管理条例》相关内容，为了加强建设项目的环境保护管理，严格控制新的污染，保护和改善环境，项目建设前应开展环境影响评价工作。根据《建设项目环境影响评价分类管理名录（2021年版）》（</w:t>
            </w:r>
            <w:r>
              <w:rPr>
                <w:rFonts w:hint="eastAsia" w:eastAsia="宋体"/>
                <w:color w:val="auto"/>
                <w:sz w:val="24"/>
                <w:szCs w:val="22"/>
                <w:highlight w:val="none"/>
              </w:rPr>
              <w:t>生态环境部部令 第16号</w:t>
            </w:r>
            <w:r>
              <w:rPr>
                <w:color w:val="auto"/>
                <w:sz w:val="24"/>
                <w:highlight w:val="none"/>
              </w:rPr>
              <w:t>）的相关规定，本项目属于</w:t>
            </w:r>
            <w:r>
              <w:rPr>
                <w:rFonts w:hint="eastAsia"/>
                <w:color w:val="auto"/>
                <w:sz w:val="24"/>
                <w:highlight w:val="none"/>
              </w:rPr>
              <w:t>十、农副食品加工业，20 其他农副食品加工</w:t>
            </w:r>
            <w:r>
              <w:rPr>
                <w:rFonts w:hint="eastAsia"/>
                <w:color w:val="auto"/>
                <w:sz w:val="24"/>
                <w:highlight w:val="none"/>
                <w:lang w:val="en-US" w:eastAsia="zh-CN"/>
              </w:rPr>
              <w:t>-豆制品制造</w:t>
            </w:r>
            <w:r>
              <w:rPr>
                <w:color w:val="auto"/>
                <w:sz w:val="24"/>
                <w:highlight w:val="none"/>
              </w:rPr>
              <w:t>，应编制环境影响报告表。</w:t>
            </w:r>
          </w:p>
          <w:p>
            <w:pPr>
              <w:spacing w:line="360" w:lineRule="auto"/>
              <w:ind w:firstLine="480" w:firstLineChars="200"/>
              <w:rPr>
                <w:rFonts w:eastAsia="宋体"/>
                <w:color w:val="auto"/>
                <w:sz w:val="24"/>
                <w:szCs w:val="22"/>
                <w:highlight w:val="none"/>
              </w:rPr>
            </w:pPr>
            <w:r>
              <w:rPr>
                <w:rFonts w:eastAsia="宋体"/>
                <w:color w:val="auto"/>
                <w:sz w:val="24"/>
                <w:szCs w:val="22"/>
                <w:highlight w:val="none"/>
              </w:rPr>
              <w:t>为此，</w:t>
            </w:r>
            <w:r>
              <w:rPr>
                <w:rFonts w:hint="eastAsia"/>
                <w:b w:val="0"/>
                <w:bCs/>
                <w:color w:val="auto"/>
                <w:sz w:val="24"/>
                <w:highlight w:val="none"/>
              </w:rPr>
              <w:t>四川省胡婆婆食品有限责任公司</w:t>
            </w:r>
            <w:r>
              <w:rPr>
                <w:rFonts w:eastAsia="宋体"/>
                <w:color w:val="auto"/>
                <w:sz w:val="24"/>
                <w:szCs w:val="22"/>
                <w:highlight w:val="none"/>
              </w:rPr>
              <w:t>委托我单位承担该项目的环境影响评价工作，我单位接受委托后，进行了现场踏勘、资料收集工作，在对建设项目进行了工程分析及相关环境要素分析后，编制了本环境影响报告表。</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b/>
                <w:color w:val="auto"/>
                <w:sz w:val="24"/>
                <w:highlight w:val="none"/>
                <w:lang w:val="en-US" w:eastAsia="zh-CN"/>
              </w:rPr>
            </w:pPr>
            <w:r>
              <w:rPr>
                <w:rFonts w:hint="eastAsia"/>
                <w:b/>
                <w:color w:val="auto"/>
                <w:sz w:val="24"/>
                <w:highlight w:val="none"/>
                <w:lang w:val="en-US" w:eastAsia="zh-CN"/>
              </w:rPr>
              <w:t>2</w:t>
            </w:r>
            <w:r>
              <w:rPr>
                <w:b/>
                <w:color w:val="auto"/>
                <w:sz w:val="24"/>
                <w:highlight w:val="none"/>
              </w:rPr>
              <w:t>、项目</w:t>
            </w:r>
            <w:r>
              <w:rPr>
                <w:rFonts w:hint="eastAsia"/>
                <w:b/>
                <w:color w:val="auto"/>
                <w:sz w:val="24"/>
                <w:highlight w:val="none"/>
                <w:lang w:val="en-US" w:eastAsia="zh-CN"/>
              </w:rPr>
              <w:t>基本信息</w:t>
            </w:r>
          </w:p>
          <w:p>
            <w:pPr>
              <w:spacing w:line="360" w:lineRule="auto"/>
              <w:ind w:firstLine="480" w:firstLineChars="200"/>
              <w:rPr>
                <w:bCs/>
                <w:color w:val="auto"/>
                <w:sz w:val="24"/>
                <w:highlight w:val="none"/>
              </w:rPr>
            </w:pPr>
            <w:r>
              <w:rPr>
                <w:bCs/>
                <w:color w:val="auto"/>
                <w:sz w:val="24"/>
                <w:highlight w:val="none"/>
              </w:rPr>
              <w:t>（1）项目名称：</w:t>
            </w:r>
            <w:r>
              <w:rPr>
                <w:rFonts w:hint="eastAsia"/>
                <w:bCs/>
                <w:color w:val="auto"/>
                <w:sz w:val="24"/>
                <w:highlight w:val="none"/>
              </w:rPr>
              <w:t>胡婆婆食品二期扩能及产业延伸项目</w:t>
            </w:r>
          </w:p>
          <w:p>
            <w:pPr>
              <w:spacing w:line="360" w:lineRule="auto"/>
              <w:ind w:firstLine="480" w:firstLineChars="200"/>
              <w:rPr>
                <w:bCs/>
                <w:color w:val="auto"/>
                <w:sz w:val="24"/>
                <w:highlight w:val="none"/>
              </w:rPr>
            </w:pPr>
            <w:r>
              <w:rPr>
                <w:bCs/>
                <w:color w:val="auto"/>
                <w:sz w:val="24"/>
                <w:highlight w:val="none"/>
              </w:rPr>
              <w:t>（2）建设单位：</w:t>
            </w:r>
            <w:r>
              <w:rPr>
                <w:rFonts w:hint="eastAsia"/>
                <w:bCs/>
                <w:color w:val="auto"/>
                <w:sz w:val="24"/>
                <w:highlight w:val="none"/>
              </w:rPr>
              <w:t>四川省胡婆婆食品有限责任公司</w:t>
            </w:r>
          </w:p>
          <w:p>
            <w:pPr>
              <w:spacing w:line="360" w:lineRule="auto"/>
              <w:ind w:firstLine="480" w:firstLineChars="200"/>
              <w:rPr>
                <w:bCs/>
                <w:color w:val="auto"/>
                <w:sz w:val="24"/>
                <w:highlight w:val="none"/>
              </w:rPr>
            </w:pPr>
            <w:r>
              <w:rPr>
                <w:bCs/>
                <w:color w:val="auto"/>
                <w:sz w:val="24"/>
                <w:highlight w:val="none"/>
              </w:rPr>
              <w:t>（3）建设性质：</w:t>
            </w:r>
            <w:r>
              <w:rPr>
                <w:rFonts w:hint="eastAsia"/>
                <w:bCs/>
                <w:color w:val="auto"/>
                <w:sz w:val="24"/>
                <w:highlight w:val="none"/>
              </w:rPr>
              <w:t>扩建</w:t>
            </w:r>
          </w:p>
          <w:p>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（4）建设地点：</w:t>
            </w:r>
            <w:r>
              <w:rPr>
                <w:rFonts w:hint="eastAsia" w:ascii="Times New Roman" w:hAnsi="Times New Roman" w:eastAsia="宋体" w:cs="Times New Roman"/>
                <w:bCs/>
                <w:color w:val="auto"/>
                <w:sz w:val="24"/>
                <w:highlight w:val="none"/>
              </w:rPr>
              <w:t>巴中市恩阳食品工业园</w:t>
            </w:r>
          </w:p>
          <w:p>
            <w:pPr>
              <w:spacing w:line="360" w:lineRule="auto"/>
              <w:ind w:firstLine="480" w:firstLineChars="200"/>
              <w:rPr>
                <w:rFonts w:hint="default" w:eastAsia="宋体"/>
                <w:bCs/>
                <w:color w:val="auto"/>
                <w:sz w:val="24"/>
                <w:highlight w:val="none"/>
                <w:lang w:val="en-US" w:eastAsia="zh-CN"/>
              </w:rPr>
            </w:pP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5</w:t>
            </w:r>
            <w:r>
              <w:rPr>
                <w:rFonts w:hint="eastAsia" w:ascii="Times New Roman" w:hAnsi="Times New Roman" w:eastAsia="宋体" w:cs="Times New Roman"/>
                <w:bCs/>
                <w:color w:val="auto"/>
                <w:sz w:val="24"/>
                <w:highlight w:val="none"/>
                <w:lang w:eastAsia="zh-CN"/>
              </w:rPr>
              <w:t>）</w:t>
            </w:r>
            <w:r>
              <w:rPr>
                <w:bCs/>
                <w:color w:val="auto"/>
                <w:sz w:val="24"/>
                <w:highlight w:val="none"/>
              </w:rPr>
              <w:t>建设内容及规模：</w:t>
            </w:r>
            <w:r>
              <w:rPr>
                <w:rFonts w:hint="eastAsia"/>
                <w:bCs/>
                <w:color w:val="auto"/>
                <w:sz w:val="24"/>
                <w:highlight w:val="none"/>
              </w:rPr>
              <w:t>四川省胡婆婆食品有限责任公司</w:t>
            </w:r>
            <w:r>
              <w:rPr>
                <w:rFonts w:hint="eastAsia"/>
                <w:bCs/>
                <w:color w:val="auto"/>
                <w:sz w:val="24"/>
                <w:highlight w:val="none"/>
                <w:lang w:val="en-US" w:eastAsia="zh-CN"/>
              </w:rPr>
              <w:t>选址于</w:t>
            </w:r>
            <w:r>
              <w:rPr>
                <w:rFonts w:hint="eastAsia" w:ascii="Times New Roman" w:hAnsi="Times New Roman" w:eastAsia="宋体" w:cs="Times New Roman"/>
                <w:bCs/>
                <w:color w:val="auto"/>
                <w:sz w:val="24"/>
                <w:highlight w:val="none"/>
              </w:rPr>
              <w:t>巴中市恩阳食品工业园</w:t>
            </w:r>
            <w:r>
              <w:rPr>
                <w:rFonts w:hint="eastAsia" w:ascii="Times New Roman" w:hAnsi="Times New Roman" w:eastAsia="宋体" w:cs="Times New Roman"/>
                <w:bCs/>
                <w:color w:val="auto"/>
                <w:sz w:val="24"/>
                <w:highlight w:val="none"/>
                <w:lang w:eastAsia="zh-CN"/>
              </w:rPr>
              <w:t>，</w:t>
            </w:r>
            <w:r>
              <w:rPr>
                <w:rFonts w:hint="eastAsia" w:ascii="宋体" w:hAnsi="宋体"/>
                <w:color w:val="auto"/>
                <w:sz w:val="24"/>
                <w:szCs w:val="24"/>
                <w:highlight w:val="none"/>
                <w:lang w:val="en-US" w:eastAsia="zh-CN"/>
              </w:rPr>
              <w:t>新增</w:t>
            </w:r>
            <w:r>
              <w:rPr>
                <w:rFonts w:hint="eastAsia"/>
                <w:b w:val="0"/>
                <w:bCs/>
                <w:color w:val="auto"/>
                <w:sz w:val="24"/>
                <w:highlight w:val="none"/>
                <w:lang w:val="en-US" w:eastAsia="zh-CN"/>
              </w:rPr>
              <w:t>37285.11m</w:t>
            </w:r>
            <w:r>
              <w:rPr>
                <w:rFonts w:hint="eastAsia"/>
                <w:b w:val="0"/>
                <w:bCs/>
                <w:color w:val="auto"/>
                <w:sz w:val="24"/>
                <w:highlight w:val="none"/>
                <w:vertAlign w:val="superscript"/>
                <w:lang w:val="en-US" w:eastAsia="zh-CN"/>
              </w:rPr>
              <w:t>2</w:t>
            </w:r>
            <w:r>
              <w:rPr>
                <w:rFonts w:hint="eastAsia"/>
                <w:b w:val="0"/>
                <w:bCs/>
                <w:color w:val="auto"/>
                <w:sz w:val="24"/>
                <w:highlight w:val="none"/>
                <w:vertAlign w:val="baseline"/>
                <w:lang w:val="en-US" w:eastAsia="zh-CN"/>
              </w:rPr>
              <w:t>用地</w:t>
            </w:r>
            <w:r>
              <w:rPr>
                <w:rFonts w:hint="eastAsia"/>
                <w:b w:val="0"/>
                <w:bCs/>
                <w:color w:val="auto"/>
                <w:sz w:val="24"/>
                <w:highlight w:val="none"/>
                <w:lang w:val="en-US" w:eastAsia="zh-CN"/>
              </w:rPr>
              <w:t>，</w:t>
            </w:r>
            <w:r>
              <w:rPr>
                <w:bCs/>
                <w:color w:val="auto"/>
                <w:sz w:val="24"/>
                <w:highlight w:val="none"/>
              </w:rPr>
              <w:t>建设</w:t>
            </w:r>
            <w:r>
              <w:rPr>
                <w:rFonts w:hint="eastAsia"/>
                <w:bCs/>
                <w:color w:val="auto"/>
                <w:sz w:val="24"/>
                <w:highlight w:val="none"/>
                <w:lang w:eastAsia="zh-CN"/>
              </w:rPr>
              <w:t>“</w:t>
            </w:r>
            <w:r>
              <w:rPr>
                <w:rFonts w:hint="eastAsia"/>
                <w:bCs/>
                <w:color w:val="auto"/>
                <w:sz w:val="24"/>
                <w:highlight w:val="none"/>
              </w:rPr>
              <w:t>胡婆婆食品二期扩能及产业延伸项目</w:t>
            </w:r>
            <w:r>
              <w:rPr>
                <w:rFonts w:hint="eastAsia"/>
                <w:bCs/>
                <w:color w:val="auto"/>
                <w:sz w:val="24"/>
                <w:highlight w:val="none"/>
                <w:lang w:eastAsia="zh-CN"/>
              </w:rPr>
              <w:t>”。</w:t>
            </w:r>
            <w:r>
              <w:rPr>
                <w:rFonts w:hint="eastAsia"/>
                <w:bCs/>
                <w:color w:val="auto"/>
                <w:sz w:val="24"/>
                <w:highlight w:val="none"/>
                <w:lang w:val="en-US" w:eastAsia="zh-CN"/>
              </w:rPr>
              <w:t>项目主要</w:t>
            </w:r>
            <w:r>
              <w:rPr>
                <w:rFonts w:hint="eastAsia"/>
                <w:b w:val="0"/>
                <w:bCs/>
                <w:color w:val="auto"/>
                <w:sz w:val="24"/>
                <w:highlight w:val="none"/>
                <w:lang w:val="en-US" w:eastAsia="zh-CN"/>
              </w:rPr>
              <w:t>建设散装称量豆干和手撕素肉生产线，配置夹层锅、烘烤线、拌料桶、清洗线等设备，项目建成后年产散装称量豆干3000吨、手撕素肉500吨。</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b/>
                <w:bCs w:val="0"/>
                <w:color w:val="auto"/>
                <w:sz w:val="24"/>
                <w:highlight w:val="none"/>
                <w:lang w:val="en-US" w:eastAsia="zh-CN"/>
              </w:rPr>
            </w:pPr>
            <w:r>
              <w:rPr>
                <w:rFonts w:hint="eastAsia"/>
                <w:b/>
                <w:bCs w:val="0"/>
                <w:color w:val="auto"/>
                <w:sz w:val="24"/>
                <w:highlight w:val="none"/>
                <w:lang w:val="en-US" w:eastAsia="zh-CN"/>
              </w:rPr>
              <w:t>3</w:t>
            </w:r>
            <w:r>
              <w:rPr>
                <w:rFonts w:hint="default"/>
                <w:b/>
                <w:bCs w:val="0"/>
                <w:color w:val="auto"/>
                <w:sz w:val="24"/>
                <w:highlight w:val="none"/>
                <w:lang w:val="en-US" w:eastAsia="zh-CN"/>
              </w:rPr>
              <w:t>、产品方案</w:t>
            </w:r>
          </w:p>
          <w:p>
            <w:pPr>
              <w:pStyle w:val="41"/>
              <w:bidi w:val="0"/>
              <w:rPr>
                <w:color w:val="auto"/>
                <w:highlight w:val="none"/>
              </w:rPr>
            </w:pPr>
            <w:r>
              <w:rPr>
                <w:color w:val="auto"/>
                <w:highlight w:val="none"/>
              </w:rPr>
              <w:t>表2-1  项目产品方案</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1058"/>
              <w:gridCol w:w="1537"/>
              <w:gridCol w:w="1315"/>
              <w:gridCol w:w="1315"/>
              <w:gridCol w:w="1315"/>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 w:type="pct"/>
                  <w:vMerge w:val="restart"/>
                  <w:noWrap w:val="0"/>
                  <w:vAlign w:val="center"/>
                </w:tcPr>
                <w:p>
                  <w:pPr>
                    <w:adjustRightInd w:val="0"/>
                    <w:snapToGrid w:val="0"/>
                    <w:jc w:val="center"/>
                    <w:rPr>
                      <w:b/>
                      <w:color w:val="auto"/>
                      <w:szCs w:val="21"/>
                      <w:highlight w:val="none"/>
                    </w:rPr>
                  </w:pPr>
                  <w:r>
                    <w:rPr>
                      <w:b/>
                      <w:snapToGrid w:val="0"/>
                      <w:color w:val="auto"/>
                      <w:kern w:val="0"/>
                      <w:szCs w:val="21"/>
                      <w:highlight w:val="none"/>
                    </w:rPr>
                    <w:t>序号</w:t>
                  </w:r>
                </w:p>
              </w:tc>
              <w:tc>
                <w:tcPr>
                  <w:tcW w:w="1543" w:type="pct"/>
                  <w:gridSpan w:val="2"/>
                  <w:vMerge w:val="restart"/>
                  <w:noWrap w:val="0"/>
                  <w:vAlign w:val="center"/>
                </w:tcPr>
                <w:p>
                  <w:pPr>
                    <w:adjustRightInd w:val="0"/>
                    <w:snapToGrid w:val="0"/>
                    <w:jc w:val="center"/>
                    <w:rPr>
                      <w:b/>
                      <w:snapToGrid w:val="0"/>
                      <w:color w:val="auto"/>
                      <w:kern w:val="0"/>
                      <w:szCs w:val="21"/>
                      <w:highlight w:val="none"/>
                    </w:rPr>
                  </w:pPr>
                  <w:r>
                    <w:rPr>
                      <w:b/>
                      <w:snapToGrid w:val="0"/>
                      <w:color w:val="auto"/>
                      <w:kern w:val="0"/>
                      <w:szCs w:val="21"/>
                      <w:highlight w:val="none"/>
                    </w:rPr>
                    <w:t>产品名称</w:t>
                  </w:r>
                </w:p>
              </w:tc>
              <w:tc>
                <w:tcPr>
                  <w:tcW w:w="2346" w:type="pct"/>
                  <w:gridSpan w:val="3"/>
                  <w:noWrap w:val="0"/>
                  <w:vAlign w:val="center"/>
                </w:tcPr>
                <w:p>
                  <w:pPr>
                    <w:adjustRightInd w:val="0"/>
                    <w:snapToGrid w:val="0"/>
                    <w:jc w:val="center"/>
                    <w:rPr>
                      <w:b/>
                      <w:snapToGrid w:val="0"/>
                      <w:color w:val="auto"/>
                      <w:kern w:val="0"/>
                      <w:szCs w:val="21"/>
                      <w:highlight w:val="none"/>
                    </w:rPr>
                  </w:pPr>
                  <w:r>
                    <w:rPr>
                      <w:b/>
                      <w:snapToGrid w:val="0"/>
                      <w:color w:val="auto"/>
                      <w:kern w:val="0"/>
                      <w:szCs w:val="21"/>
                      <w:highlight w:val="none"/>
                    </w:rPr>
                    <w:t>年产量</w:t>
                  </w:r>
                  <w:r>
                    <w:rPr>
                      <w:rFonts w:hint="eastAsia"/>
                      <w:b/>
                      <w:snapToGrid w:val="0"/>
                      <w:color w:val="auto"/>
                      <w:kern w:val="0"/>
                      <w:szCs w:val="21"/>
                      <w:highlight w:val="none"/>
                      <w:lang w:eastAsia="zh-CN"/>
                    </w:rPr>
                    <w:t>（</w:t>
                  </w:r>
                  <w:r>
                    <w:rPr>
                      <w:rFonts w:hint="eastAsia"/>
                      <w:b/>
                      <w:snapToGrid w:val="0"/>
                      <w:color w:val="auto"/>
                      <w:kern w:val="0"/>
                      <w:szCs w:val="21"/>
                      <w:highlight w:val="none"/>
                      <w:lang w:val="en-US" w:eastAsia="zh-CN"/>
                    </w:rPr>
                    <w:t>t/a</w:t>
                  </w:r>
                  <w:r>
                    <w:rPr>
                      <w:rFonts w:hint="eastAsia"/>
                      <w:b/>
                      <w:snapToGrid w:val="0"/>
                      <w:color w:val="auto"/>
                      <w:kern w:val="0"/>
                      <w:szCs w:val="21"/>
                      <w:highlight w:val="none"/>
                      <w:lang w:eastAsia="zh-CN"/>
                    </w:rPr>
                    <w:t>）</w:t>
                  </w:r>
                </w:p>
              </w:tc>
              <w:tc>
                <w:tcPr>
                  <w:tcW w:w="826" w:type="pct"/>
                  <w:vMerge w:val="restart"/>
                  <w:noWrap w:val="0"/>
                  <w:vAlign w:val="center"/>
                </w:tcPr>
                <w:p>
                  <w:pPr>
                    <w:adjustRightInd w:val="0"/>
                    <w:snapToGrid w:val="0"/>
                    <w:jc w:val="center"/>
                    <w:rPr>
                      <w:rFonts w:hint="eastAsia" w:eastAsia="宋体"/>
                      <w:b/>
                      <w:snapToGrid w:val="0"/>
                      <w:color w:val="auto"/>
                      <w:kern w:val="0"/>
                      <w:szCs w:val="21"/>
                      <w:highlight w:val="none"/>
                      <w:lang w:val="en-US" w:eastAsia="zh-CN"/>
                    </w:rPr>
                  </w:pPr>
                  <w:r>
                    <w:rPr>
                      <w:rFonts w:hint="eastAsia"/>
                      <w:b/>
                      <w:snapToGrid w:val="0"/>
                      <w:color w:val="auto"/>
                      <w:kern w:val="0"/>
                      <w:szCs w:val="21"/>
                      <w:highlight w:val="none"/>
                      <w:lang w:val="en-US" w:eastAsia="zh-CN"/>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 w:type="pct"/>
                  <w:vMerge w:val="continue"/>
                  <w:noWrap w:val="0"/>
                  <w:vAlign w:val="center"/>
                </w:tcPr>
                <w:p>
                  <w:pPr>
                    <w:adjustRightInd w:val="0"/>
                    <w:snapToGrid w:val="0"/>
                    <w:jc w:val="center"/>
                    <w:rPr>
                      <w:b/>
                      <w:snapToGrid w:val="0"/>
                      <w:color w:val="auto"/>
                      <w:kern w:val="0"/>
                      <w:szCs w:val="21"/>
                      <w:highlight w:val="none"/>
                    </w:rPr>
                  </w:pPr>
                </w:p>
              </w:tc>
              <w:tc>
                <w:tcPr>
                  <w:tcW w:w="1543" w:type="pct"/>
                  <w:gridSpan w:val="2"/>
                  <w:vMerge w:val="continue"/>
                  <w:noWrap w:val="0"/>
                  <w:vAlign w:val="center"/>
                </w:tcPr>
                <w:p>
                  <w:pPr>
                    <w:adjustRightInd w:val="0"/>
                    <w:snapToGrid w:val="0"/>
                    <w:jc w:val="center"/>
                    <w:rPr>
                      <w:b/>
                      <w:snapToGrid w:val="0"/>
                      <w:color w:val="auto"/>
                      <w:kern w:val="0"/>
                      <w:szCs w:val="21"/>
                      <w:highlight w:val="none"/>
                    </w:rPr>
                  </w:pPr>
                </w:p>
              </w:tc>
              <w:tc>
                <w:tcPr>
                  <w:tcW w:w="782" w:type="pct"/>
                  <w:noWrap w:val="0"/>
                  <w:vAlign w:val="center"/>
                </w:tcPr>
                <w:p>
                  <w:pPr>
                    <w:adjustRightInd w:val="0"/>
                    <w:snapToGrid w:val="0"/>
                    <w:jc w:val="center"/>
                    <w:rPr>
                      <w:rFonts w:hint="default" w:eastAsia="宋体"/>
                      <w:b/>
                      <w:color w:val="auto"/>
                      <w:szCs w:val="21"/>
                      <w:highlight w:val="none"/>
                      <w:lang w:val="en-US" w:eastAsia="zh-CN"/>
                    </w:rPr>
                  </w:pPr>
                  <w:r>
                    <w:rPr>
                      <w:rFonts w:hint="eastAsia"/>
                      <w:b/>
                      <w:color w:val="auto"/>
                      <w:szCs w:val="21"/>
                      <w:highlight w:val="none"/>
                      <w:lang w:val="en-US" w:eastAsia="zh-CN"/>
                    </w:rPr>
                    <w:t>现有项目</w:t>
                  </w:r>
                </w:p>
              </w:tc>
              <w:tc>
                <w:tcPr>
                  <w:tcW w:w="782" w:type="pct"/>
                  <w:noWrap w:val="0"/>
                  <w:vAlign w:val="center"/>
                </w:tcPr>
                <w:p>
                  <w:pPr>
                    <w:adjustRightInd w:val="0"/>
                    <w:snapToGrid w:val="0"/>
                    <w:jc w:val="center"/>
                    <w:rPr>
                      <w:rFonts w:hint="eastAsia" w:eastAsia="宋体"/>
                      <w:b/>
                      <w:snapToGrid w:val="0"/>
                      <w:color w:val="auto"/>
                      <w:kern w:val="0"/>
                      <w:szCs w:val="21"/>
                      <w:highlight w:val="none"/>
                      <w:lang w:val="en-US" w:eastAsia="zh-CN"/>
                    </w:rPr>
                  </w:pPr>
                  <w:r>
                    <w:rPr>
                      <w:rFonts w:hint="eastAsia"/>
                      <w:b/>
                      <w:snapToGrid w:val="0"/>
                      <w:color w:val="auto"/>
                      <w:kern w:val="0"/>
                      <w:szCs w:val="21"/>
                      <w:highlight w:val="none"/>
                      <w:lang w:val="en-US" w:eastAsia="zh-CN"/>
                    </w:rPr>
                    <w:t>本项目</w:t>
                  </w:r>
                </w:p>
              </w:tc>
              <w:tc>
                <w:tcPr>
                  <w:tcW w:w="782" w:type="pct"/>
                  <w:noWrap w:val="0"/>
                  <w:vAlign w:val="center"/>
                </w:tcPr>
                <w:p>
                  <w:pPr>
                    <w:adjustRightInd w:val="0"/>
                    <w:snapToGrid w:val="0"/>
                    <w:jc w:val="center"/>
                    <w:rPr>
                      <w:rFonts w:hint="default" w:eastAsia="宋体"/>
                      <w:b/>
                      <w:snapToGrid w:val="0"/>
                      <w:color w:val="auto"/>
                      <w:kern w:val="0"/>
                      <w:szCs w:val="21"/>
                      <w:highlight w:val="none"/>
                      <w:lang w:val="en-US" w:eastAsia="zh-CN"/>
                    </w:rPr>
                  </w:pPr>
                  <w:r>
                    <w:rPr>
                      <w:rFonts w:hint="eastAsia"/>
                      <w:b/>
                      <w:snapToGrid w:val="0"/>
                      <w:color w:val="auto"/>
                      <w:kern w:val="0"/>
                      <w:szCs w:val="21"/>
                      <w:highlight w:val="none"/>
                      <w:lang w:val="en-US" w:eastAsia="zh-CN"/>
                    </w:rPr>
                    <w:t>扩建后全厂</w:t>
                  </w:r>
                </w:p>
              </w:tc>
              <w:tc>
                <w:tcPr>
                  <w:tcW w:w="826" w:type="pct"/>
                  <w:vMerge w:val="continue"/>
                  <w:noWrap w:val="0"/>
                  <w:vAlign w:val="center"/>
                </w:tcPr>
                <w:p>
                  <w:pPr>
                    <w:adjustRightInd w:val="0"/>
                    <w:snapToGrid w:val="0"/>
                    <w:jc w:val="center"/>
                    <w:rPr>
                      <w:rFonts w:hint="eastAsia"/>
                      <w:b/>
                      <w:snapToGrid w:val="0"/>
                      <w:color w:val="auto"/>
                      <w:kern w:val="0"/>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Merge w:val="restart"/>
                  <w:noWrap w:val="0"/>
                  <w:vAlign w:val="center"/>
                </w:tcPr>
                <w:p>
                  <w:pPr>
                    <w:adjustRightInd w:val="0"/>
                    <w:snapToGrid w:val="0"/>
                    <w:jc w:val="center"/>
                    <w:rPr>
                      <w:bCs/>
                      <w:color w:val="auto"/>
                      <w:szCs w:val="21"/>
                      <w:highlight w:val="none"/>
                    </w:rPr>
                  </w:pPr>
                  <w:r>
                    <w:rPr>
                      <w:bCs/>
                      <w:color w:val="auto"/>
                      <w:szCs w:val="21"/>
                      <w:highlight w:val="none"/>
                    </w:rPr>
                    <w:t>1</w:t>
                  </w:r>
                </w:p>
              </w:tc>
              <w:tc>
                <w:tcPr>
                  <w:tcW w:w="629" w:type="pct"/>
                  <w:vMerge w:val="restar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豆制品</w:t>
                  </w:r>
                </w:p>
              </w:tc>
              <w:tc>
                <w:tcPr>
                  <w:tcW w:w="914"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散装称量豆干</w:t>
                  </w:r>
                </w:p>
              </w:tc>
              <w:tc>
                <w:tcPr>
                  <w:tcW w:w="782" w:type="pct"/>
                  <w:noWrap w:val="0"/>
                  <w:vAlign w:val="center"/>
                </w:tcPr>
                <w:p>
                  <w:pPr>
                    <w:adjustRightInd w:val="0"/>
                    <w:snapToGrid w:val="0"/>
                    <w:jc w:val="center"/>
                    <w:rPr>
                      <w:rFonts w:hint="default" w:eastAsia="宋体"/>
                      <w:bCs/>
                      <w:color w:val="auto"/>
                      <w:szCs w:val="21"/>
                      <w:highlight w:val="none"/>
                      <w:lang w:val="en-US" w:eastAsia="zh-CN"/>
                    </w:rPr>
                  </w:pPr>
                  <w:r>
                    <w:rPr>
                      <w:rFonts w:hint="eastAsia" w:eastAsia="宋体"/>
                      <w:bCs/>
                      <w:color w:val="auto"/>
                      <w:szCs w:val="21"/>
                      <w:highlight w:val="none"/>
                      <w:lang w:val="en-US" w:eastAsia="zh-CN"/>
                    </w:rPr>
                    <w:t>3000</w:t>
                  </w:r>
                </w:p>
              </w:tc>
              <w:tc>
                <w:tcPr>
                  <w:tcW w:w="782" w:type="pct"/>
                  <w:noWrap w:val="0"/>
                  <w:vAlign w:val="center"/>
                </w:tcPr>
                <w:p>
                  <w:pPr>
                    <w:adjustRightInd w:val="0"/>
                    <w:snapToGrid w:val="0"/>
                    <w:jc w:val="center"/>
                    <w:rPr>
                      <w:rFonts w:hint="eastAsia" w:eastAsia="宋体"/>
                      <w:b/>
                      <w:bCs w:val="0"/>
                      <w:color w:val="auto"/>
                      <w:szCs w:val="21"/>
                      <w:highlight w:val="none"/>
                      <w:lang w:val="en-US" w:eastAsia="zh-CN"/>
                    </w:rPr>
                  </w:pPr>
                  <w:r>
                    <w:rPr>
                      <w:rFonts w:hint="eastAsia"/>
                      <w:b/>
                      <w:bCs w:val="0"/>
                      <w:color w:val="auto"/>
                      <w:szCs w:val="21"/>
                      <w:highlight w:val="none"/>
                      <w:lang w:val="en-US" w:eastAsia="zh-CN"/>
                    </w:rPr>
                    <w:t>3000</w:t>
                  </w:r>
                </w:p>
              </w:tc>
              <w:tc>
                <w:tcPr>
                  <w:tcW w:w="782" w:type="pct"/>
                  <w:noWrap w:val="0"/>
                  <w:vAlign w:val="center"/>
                </w:tcPr>
                <w:p>
                  <w:pPr>
                    <w:adjustRightInd w:val="0"/>
                    <w:snapToGrid w:val="0"/>
                    <w:jc w:val="center"/>
                    <w:rPr>
                      <w:rFonts w:hint="default" w:eastAsia="宋体"/>
                      <w:bCs/>
                      <w:color w:val="auto"/>
                      <w:kern w:val="2"/>
                      <w:sz w:val="21"/>
                      <w:szCs w:val="21"/>
                      <w:highlight w:val="none"/>
                      <w:lang w:val="en-US" w:eastAsia="zh-CN" w:bidi="ar-SA"/>
                    </w:rPr>
                  </w:pPr>
                  <w:r>
                    <w:rPr>
                      <w:rFonts w:hint="eastAsia" w:eastAsia="宋体"/>
                      <w:bCs/>
                      <w:color w:val="auto"/>
                      <w:szCs w:val="21"/>
                      <w:highlight w:val="none"/>
                      <w:lang w:val="en-US" w:eastAsia="zh-CN"/>
                    </w:rPr>
                    <w:t>6000</w:t>
                  </w:r>
                </w:p>
              </w:tc>
              <w:tc>
                <w:tcPr>
                  <w:tcW w:w="826"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23~28g/小袋，10kg/箱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Merge w:val="continue"/>
                  <w:noWrap w:val="0"/>
                  <w:vAlign w:val="center"/>
                </w:tcPr>
                <w:p>
                  <w:pPr>
                    <w:adjustRightInd w:val="0"/>
                    <w:snapToGrid w:val="0"/>
                    <w:jc w:val="center"/>
                    <w:rPr>
                      <w:bCs/>
                      <w:color w:val="auto"/>
                      <w:szCs w:val="21"/>
                      <w:highlight w:val="none"/>
                    </w:rPr>
                  </w:pPr>
                </w:p>
              </w:tc>
              <w:tc>
                <w:tcPr>
                  <w:tcW w:w="629" w:type="pct"/>
                  <w:vMerge w:val="continue"/>
                  <w:noWrap w:val="0"/>
                  <w:vAlign w:val="center"/>
                </w:tcPr>
                <w:p>
                  <w:pPr>
                    <w:adjustRightInd w:val="0"/>
                    <w:snapToGrid w:val="0"/>
                    <w:jc w:val="center"/>
                    <w:rPr>
                      <w:rFonts w:hint="eastAsia"/>
                      <w:bCs/>
                      <w:color w:val="auto"/>
                      <w:szCs w:val="21"/>
                      <w:highlight w:val="none"/>
                      <w:lang w:val="en-US" w:eastAsia="zh-CN"/>
                    </w:rPr>
                  </w:pPr>
                </w:p>
              </w:tc>
              <w:tc>
                <w:tcPr>
                  <w:tcW w:w="914"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散装手撕豆干</w:t>
                  </w:r>
                </w:p>
              </w:tc>
              <w:tc>
                <w:tcPr>
                  <w:tcW w:w="782" w:type="pct"/>
                  <w:noWrap w:val="0"/>
                  <w:vAlign w:val="center"/>
                </w:tcPr>
                <w:p>
                  <w:pPr>
                    <w:adjustRightInd w:val="0"/>
                    <w:snapToGrid w:val="0"/>
                    <w:jc w:val="center"/>
                    <w:rPr>
                      <w:rFonts w:hint="default" w:eastAsia="宋体"/>
                      <w:bCs/>
                      <w:color w:val="auto"/>
                      <w:szCs w:val="21"/>
                      <w:highlight w:val="none"/>
                      <w:lang w:val="en-US" w:eastAsia="zh-CN"/>
                    </w:rPr>
                  </w:pPr>
                  <w:r>
                    <w:rPr>
                      <w:rFonts w:hint="eastAsia" w:eastAsia="宋体"/>
                      <w:bCs/>
                      <w:color w:val="auto"/>
                      <w:szCs w:val="21"/>
                      <w:highlight w:val="none"/>
                      <w:lang w:val="en-US" w:eastAsia="zh-CN"/>
                    </w:rPr>
                    <w:t>2000</w:t>
                  </w:r>
                </w:p>
              </w:tc>
              <w:tc>
                <w:tcPr>
                  <w:tcW w:w="782" w:type="pct"/>
                  <w:noWrap w:val="0"/>
                  <w:vAlign w:val="center"/>
                </w:tcPr>
                <w:p>
                  <w:pPr>
                    <w:adjustRightInd w:val="0"/>
                    <w:snapToGrid w:val="0"/>
                    <w:jc w:val="center"/>
                    <w:rPr>
                      <w:rFonts w:hint="default" w:eastAsia="宋体"/>
                      <w:b/>
                      <w:bCs w:val="0"/>
                      <w:color w:val="auto"/>
                      <w:szCs w:val="21"/>
                      <w:highlight w:val="none"/>
                      <w:lang w:val="en-US" w:eastAsia="zh-CN"/>
                    </w:rPr>
                  </w:pPr>
                  <w:r>
                    <w:rPr>
                      <w:rFonts w:hint="eastAsia"/>
                      <w:b/>
                      <w:bCs w:val="0"/>
                      <w:color w:val="auto"/>
                      <w:szCs w:val="21"/>
                      <w:highlight w:val="none"/>
                      <w:lang w:val="en-US" w:eastAsia="zh-CN"/>
                    </w:rPr>
                    <w:t>0</w:t>
                  </w:r>
                </w:p>
              </w:tc>
              <w:tc>
                <w:tcPr>
                  <w:tcW w:w="782" w:type="pct"/>
                  <w:noWrap w:val="0"/>
                  <w:vAlign w:val="center"/>
                </w:tcPr>
                <w:p>
                  <w:pPr>
                    <w:adjustRightInd w:val="0"/>
                    <w:snapToGrid w:val="0"/>
                    <w:jc w:val="center"/>
                    <w:rPr>
                      <w:rFonts w:hint="default" w:eastAsia="宋体"/>
                      <w:bCs/>
                      <w:color w:val="auto"/>
                      <w:kern w:val="2"/>
                      <w:sz w:val="21"/>
                      <w:szCs w:val="21"/>
                      <w:highlight w:val="none"/>
                      <w:lang w:val="en-US" w:eastAsia="zh-CN" w:bidi="ar-SA"/>
                    </w:rPr>
                  </w:pPr>
                  <w:r>
                    <w:rPr>
                      <w:rFonts w:hint="eastAsia" w:eastAsia="宋体"/>
                      <w:bCs/>
                      <w:color w:val="auto"/>
                      <w:szCs w:val="21"/>
                      <w:highlight w:val="none"/>
                      <w:lang w:val="en-US" w:eastAsia="zh-CN"/>
                    </w:rPr>
                    <w:t>2000</w:t>
                  </w:r>
                </w:p>
              </w:tc>
              <w:tc>
                <w:tcPr>
                  <w:tcW w:w="826"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18~22g/小袋，10kg/箱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83" w:type="pct"/>
                  <w:vMerge w:val="continue"/>
                  <w:noWrap w:val="0"/>
                  <w:vAlign w:val="center"/>
                </w:tcPr>
                <w:p>
                  <w:pPr>
                    <w:adjustRightInd w:val="0"/>
                    <w:snapToGrid w:val="0"/>
                    <w:jc w:val="center"/>
                    <w:rPr>
                      <w:bCs/>
                      <w:color w:val="auto"/>
                      <w:szCs w:val="21"/>
                      <w:highlight w:val="none"/>
                    </w:rPr>
                  </w:pPr>
                </w:p>
              </w:tc>
              <w:tc>
                <w:tcPr>
                  <w:tcW w:w="629" w:type="pct"/>
                  <w:vMerge w:val="continue"/>
                  <w:noWrap w:val="0"/>
                  <w:vAlign w:val="center"/>
                </w:tcPr>
                <w:p>
                  <w:pPr>
                    <w:adjustRightInd w:val="0"/>
                    <w:snapToGrid w:val="0"/>
                    <w:jc w:val="center"/>
                    <w:rPr>
                      <w:rFonts w:hint="eastAsia"/>
                      <w:bCs/>
                      <w:color w:val="auto"/>
                      <w:szCs w:val="21"/>
                      <w:highlight w:val="none"/>
                      <w:lang w:val="en-US" w:eastAsia="zh-CN"/>
                    </w:rPr>
                  </w:pPr>
                </w:p>
              </w:tc>
              <w:tc>
                <w:tcPr>
                  <w:tcW w:w="914"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手撕素肉</w:t>
                  </w:r>
                </w:p>
              </w:tc>
              <w:tc>
                <w:tcPr>
                  <w:tcW w:w="782" w:type="pct"/>
                  <w:noWrap w:val="0"/>
                  <w:vAlign w:val="center"/>
                </w:tcPr>
                <w:p>
                  <w:pPr>
                    <w:adjustRightInd w:val="0"/>
                    <w:snapToGrid w:val="0"/>
                    <w:jc w:val="center"/>
                    <w:rPr>
                      <w:rFonts w:hint="default" w:eastAsia="宋体"/>
                      <w:bCs/>
                      <w:color w:val="auto"/>
                      <w:szCs w:val="21"/>
                      <w:highlight w:val="none"/>
                      <w:lang w:val="en-US" w:eastAsia="zh-CN"/>
                    </w:rPr>
                  </w:pPr>
                  <w:r>
                    <w:rPr>
                      <w:rFonts w:hint="eastAsia" w:eastAsia="宋体"/>
                      <w:bCs/>
                      <w:color w:val="auto"/>
                      <w:szCs w:val="21"/>
                      <w:highlight w:val="none"/>
                      <w:lang w:val="en-US" w:eastAsia="zh-CN"/>
                    </w:rPr>
                    <w:t>1000</w:t>
                  </w:r>
                </w:p>
              </w:tc>
              <w:tc>
                <w:tcPr>
                  <w:tcW w:w="782" w:type="pct"/>
                  <w:noWrap w:val="0"/>
                  <w:vAlign w:val="center"/>
                </w:tcPr>
                <w:p>
                  <w:pPr>
                    <w:adjustRightInd w:val="0"/>
                    <w:snapToGrid w:val="0"/>
                    <w:jc w:val="center"/>
                    <w:rPr>
                      <w:rFonts w:hint="default" w:eastAsia="宋体"/>
                      <w:b/>
                      <w:bCs w:val="0"/>
                      <w:color w:val="auto"/>
                      <w:szCs w:val="21"/>
                      <w:highlight w:val="none"/>
                      <w:lang w:val="en-US" w:eastAsia="zh-CN"/>
                    </w:rPr>
                  </w:pPr>
                  <w:r>
                    <w:rPr>
                      <w:rFonts w:hint="eastAsia"/>
                      <w:b/>
                      <w:bCs w:val="0"/>
                      <w:color w:val="auto"/>
                      <w:szCs w:val="21"/>
                      <w:highlight w:val="none"/>
                      <w:lang w:val="en-US" w:eastAsia="zh-CN"/>
                    </w:rPr>
                    <w:t>500</w:t>
                  </w:r>
                </w:p>
              </w:tc>
              <w:tc>
                <w:tcPr>
                  <w:tcW w:w="782" w:type="pct"/>
                  <w:noWrap w:val="0"/>
                  <w:vAlign w:val="center"/>
                </w:tcPr>
                <w:p>
                  <w:pPr>
                    <w:adjustRightInd w:val="0"/>
                    <w:snapToGrid w:val="0"/>
                    <w:jc w:val="center"/>
                    <w:rPr>
                      <w:rFonts w:hint="default" w:eastAsia="宋体"/>
                      <w:bCs/>
                      <w:color w:val="auto"/>
                      <w:kern w:val="2"/>
                      <w:sz w:val="21"/>
                      <w:szCs w:val="21"/>
                      <w:highlight w:val="none"/>
                      <w:lang w:val="en-US" w:eastAsia="zh-CN" w:bidi="ar-SA"/>
                    </w:rPr>
                  </w:pPr>
                  <w:r>
                    <w:rPr>
                      <w:rFonts w:hint="eastAsia" w:eastAsia="宋体"/>
                      <w:bCs/>
                      <w:color w:val="auto"/>
                      <w:szCs w:val="21"/>
                      <w:highlight w:val="none"/>
                      <w:lang w:val="en-US" w:eastAsia="zh-CN"/>
                    </w:rPr>
                    <w:t>1500</w:t>
                  </w:r>
                </w:p>
              </w:tc>
              <w:tc>
                <w:tcPr>
                  <w:tcW w:w="826"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18~22g/小袋，10kg/箱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 w:type="pct"/>
                  <w:noWrap w:val="0"/>
                  <w:vAlign w:val="center"/>
                </w:tcPr>
                <w:p>
                  <w:pPr>
                    <w:adjustRightInd w:val="0"/>
                    <w:snapToGrid w:val="0"/>
                    <w:jc w:val="center"/>
                    <w:rPr>
                      <w:bCs/>
                      <w:color w:val="auto"/>
                      <w:szCs w:val="21"/>
                      <w:highlight w:val="none"/>
                    </w:rPr>
                  </w:pPr>
                  <w:r>
                    <w:rPr>
                      <w:bCs/>
                      <w:color w:val="auto"/>
                      <w:szCs w:val="21"/>
                      <w:highlight w:val="none"/>
                    </w:rPr>
                    <w:t>2</w:t>
                  </w:r>
                </w:p>
              </w:tc>
              <w:tc>
                <w:tcPr>
                  <w:tcW w:w="629"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蛋制品</w:t>
                  </w:r>
                </w:p>
              </w:tc>
              <w:tc>
                <w:tcPr>
                  <w:tcW w:w="914"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散装鸡蛋干</w:t>
                  </w:r>
                </w:p>
              </w:tc>
              <w:tc>
                <w:tcPr>
                  <w:tcW w:w="782"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2000</w:t>
                  </w:r>
                </w:p>
              </w:tc>
              <w:tc>
                <w:tcPr>
                  <w:tcW w:w="782" w:type="pct"/>
                  <w:noWrap w:val="0"/>
                  <w:vAlign w:val="center"/>
                </w:tcPr>
                <w:p>
                  <w:pPr>
                    <w:adjustRightInd w:val="0"/>
                    <w:snapToGrid w:val="0"/>
                    <w:jc w:val="center"/>
                    <w:rPr>
                      <w:rFonts w:hint="eastAsia" w:eastAsia="宋体"/>
                      <w:b/>
                      <w:bCs w:val="0"/>
                      <w:color w:val="auto"/>
                      <w:szCs w:val="21"/>
                      <w:highlight w:val="none"/>
                      <w:lang w:val="en-US" w:eastAsia="zh-CN"/>
                    </w:rPr>
                  </w:pPr>
                  <w:r>
                    <w:rPr>
                      <w:rFonts w:hint="eastAsia"/>
                      <w:b/>
                      <w:bCs w:val="0"/>
                      <w:color w:val="auto"/>
                      <w:szCs w:val="21"/>
                      <w:highlight w:val="none"/>
                      <w:lang w:val="en-US" w:eastAsia="zh-CN"/>
                    </w:rPr>
                    <w:t>0</w:t>
                  </w:r>
                </w:p>
              </w:tc>
              <w:tc>
                <w:tcPr>
                  <w:tcW w:w="782" w:type="pct"/>
                  <w:noWrap w:val="0"/>
                  <w:vAlign w:val="center"/>
                </w:tcPr>
                <w:p>
                  <w:pPr>
                    <w:adjustRightInd w:val="0"/>
                    <w:snapToGrid w:val="0"/>
                    <w:jc w:val="center"/>
                    <w:rPr>
                      <w:rFonts w:hint="default" w:eastAsia="宋体"/>
                      <w:bCs/>
                      <w:color w:val="auto"/>
                      <w:kern w:val="2"/>
                      <w:sz w:val="21"/>
                      <w:szCs w:val="21"/>
                      <w:highlight w:val="none"/>
                      <w:lang w:val="en-US" w:eastAsia="zh-CN" w:bidi="ar-SA"/>
                    </w:rPr>
                  </w:pPr>
                  <w:r>
                    <w:rPr>
                      <w:rFonts w:hint="eastAsia"/>
                      <w:bCs/>
                      <w:color w:val="auto"/>
                      <w:szCs w:val="21"/>
                      <w:highlight w:val="none"/>
                      <w:lang w:val="en-US" w:eastAsia="zh-CN"/>
                    </w:rPr>
                    <w:t>2000</w:t>
                  </w:r>
                </w:p>
              </w:tc>
              <w:tc>
                <w:tcPr>
                  <w:tcW w:w="826" w:type="pct"/>
                  <w:noWrap w:val="0"/>
                  <w:vAlign w:val="center"/>
                </w:tcPr>
                <w:p>
                  <w:pPr>
                    <w:adjustRightInd w:val="0"/>
                    <w:snapToGrid w:val="0"/>
                    <w:jc w:val="center"/>
                    <w:rPr>
                      <w:rFonts w:hint="eastAsia"/>
                      <w:bCs/>
                      <w:color w:val="auto"/>
                      <w:szCs w:val="21"/>
                      <w:highlight w:val="none"/>
                      <w:lang w:val="en-US" w:eastAsia="zh-CN"/>
                    </w:rPr>
                  </w:pPr>
                  <w:r>
                    <w:rPr>
                      <w:rFonts w:hint="eastAsia"/>
                      <w:bCs/>
                      <w:color w:val="auto"/>
                      <w:szCs w:val="21"/>
                      <w:highlight w:val="none"/>
                      <w:lang w:val="en-US" w:eastAsia="zh-CN"/>
                    </w:rPr>
                    <w:t>18~22g/小袋，10kg/箱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noWrap w:val="0"/>
                  <w:vAlign w:val="center"/>
                </w:tcPr>
                <w:p>
                  <w:pPr>
                    <w:adjustRightInd w:val="0"/>
                    <w:snapToGrid w:val="0"/>
                    <w:jc w:val="center"/>
                    <w:rPr>
                      <w:rFonts w:hint="eastAsia"/>
                      <w:bCs/>
                      <w:color w:val="auto"/>
                      <w:szCs w:val="21"/>
                      <w:highlight w:val="none"/>
                    </w:rPr>
                  </w:pPr>
                  <w:r>
                    <w:rPr>
                      <w:rFonts w:hint="eastAsia"/>
                      <w:bCs/>
                      <w:color w:val="auto"/>
                      <w:szCs w:val="21"/>
                      <w:highlight w:val="none"/>
                    </w:rPr>
                    <w:t>3</w:t>
                  </w:r>
                </w:p>
              </w:tc>
              <w:tc>
                <w:tcPr>
                  <w:tcW w:w="629"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薯类制品</w:t>
                  </w:r>
                </w:p>
              </w:tc>
              <w:tc>
                <w:tcPr>
                  <w:tcW w:w="914"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魔芋精粉制品</w:t>
                  </w:r>
                </w:p>
              </w:tc>
              <w:tc>
                <w:tcPr>
                  <w:tcW w:w="782"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500</w:t>
                  </w:r>
                </w:p>
              </w:tc>
              <w:tc>
                <w:tcPr>
                  <w:tcW w:w="782" w:type="pct"/>
                  <w:noWrap w:val="0"/>
                  <w:vAlign w:val="center"/>
                </w:tcPr>
                <w:p>
                  <w:pPr>
                    <w:adjustRightInd w:val="0"/>
                    <w:snapToGrid w:val="0"/>
                    <w:jc w:val="center"/>
                    <w:rPr>
                      <w:rFonts w:hint="eastAsia" w:eastAsia="宋体"/>
                      <w:b/>
                      <w:bCs w:val="0"/>
                      <w:color w:val="auto"/>
                      <w:szCs w:val="21"/>
                      <w:highlight w:val="none"/>
                      <w:lang w:val="en-US" w:eastAsia="zh-CN"/>
                    </w:rPr>
                  </w:pPr>
                  <w:r>
                    <w:rPr>
                      <w:rFonts w:hint="eastAsia"/>
                      <w:b/>
                      <w:bCs w:val="0"/>
                      <w:color w:val="auto"/>
                      <w:szCs w:val="21"/>
                      <w:highlight w:val="none"/>
                      <w:lang w:val="en-US" w:eastAsia="zh-CN"/>
                    </w:rPr>
                    <w:t>0</w:t>
                  </w:r>
                </w:p>
              </w:tc>
              <w:tc>
                <w:tcPr>
                  <w:tcW w:w="782" w:type="pct"/>
                  <w:noWrap w:val="0"/>
                  <w:vAlign w:val="center"/>
                </w:tcPr>
                <w:p>
                  <w:pPr>
                    <w:adjustRightInd w:val="0"/>
                    <w:snapToGrid w:val="0"/>
                    <w:jc w:val="center"/>
                    <w:rPr>
                      <w:rFonts w:hint="default" w:eastAsia="宋体"/>
                      <w:bCs/>
                      <w:color w:val="auto"/>
                      <w:kern w:val="2"/>
                      <w:sz w:val="21"/>
                      <w:szCs w:val="21"/>
                      <w:highlight w:val="none"/>
                      <w:lang w:val="en-US" w:eastAsia="zh-CN" w:bidi="ar-SA"/>
                    </w:rPr>
                  </w:pPr>
                  <w:r>
                    <w:rPr>
                      <w:rFonts w:hint="eastAsia"/>
                      <w:bCs/>
                      <w:color w:val="auto"/>
                      <w:szCs w:val="21"/>
                      <w:highlight w:val="none"/>
                      <w:lang w:val="en-US" w:eastAsia="zh-CN"/>
                    </w:rPr>
                    <w:t>500</w:t>
                  </w:r>
                </w:p>
              </w:tc>
              <w:tc>
                <w:tcPr>
                  <w:tcW w:w="826" w:type="pct"/>
                  <w:noWrap w:val="0"/>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25kg/袋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Merge w:val="restart"/>
                  <w:noWrap w:val="0"/>
                  <w:vAlign w:val="center"/>
                </w:tcPr>
                <w:p>
                  <w:pPr>
                    <w:adjustRightInd w:val="0"/>
                    <w:snapToGrid w:val="0"/>
                    <w:jc w:val="center"/>
                    <w:rPr>
                      <w:rFonts w:hint="eastAsia"/>
                      <w:bCs/>
                      <w:color w:val="auto"/>
                      <w:szCs w:val="21"/>
                      <w:highlight w:val="none"/>
                    </w:rPr>
                  </w:pPr>
                  <w:r>
                    <w:rPr>
                      <w:rFonts w:hint="eastAsia"/>
                      <w:bCs/>
                      <w:color w:val="auto"/>
                      <w:szCs w:val="21"/>
                      <w:highlight w:val="none"/>
                    </w:rPr>
                    <w:t>4</w:t>
                  </w:r>
                </w:p>
              </w:tc>
              <w:tc>
                <w:tcPr>
                  <w:tcW w:w="629" w:type="pct"/>
                  <w:vMerge w:val="restar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蔬菜制品</w:t>
                  </w:r>
                </w:p>
              </w:tc>
              <w:tc>
                <w:tcPr>
                  <w:tcW w:w="914"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香菇豆脯</w:t>
                  </w:r>
                </w:p>
              </w:tc>
              <w:tc>
                <w:tcPr>
                  <w:tcW w:w="782"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500</w:t>
                  </w:r>
                </w:p>
              </w:tc>
              <w:tc>
                <w:tcPr>
                  <w:tcW w:w="782" w:type="pct"/>
                  <w:noWrap w:val="0"/>
                  <w:vAlign w:val="center"/>
                </w:tcPr>
                <w:p>
                  <w:pPr>
                    <w:adjustRightInd w:val="0"/>
                    <w:snapToGrid w:val="0"/>
                    <w:jc w:val="center"/>
                    <w:rPr>
                      <w:rFonts w:hint="eastAsia" w:eastAsia="宋体"/>
                      <w:b/>
                      <w:bCs w:val="0"/>
                      <w:color w:val="auto"/>
                      <w:szCs w:val="21"/>
                      <w:highlight w:val="none"/>
                      <w:lang w:val="en-US" w:eastAsia="zh-CN"/>
                    </w:rPr>
                  </w:pPr>
                  <w:r>
                    <w:rPr>
                      <w:rFonts w:hint="eastAsia"/>
                      <w:b/>
                      <w:bCs w:val="0"/>
                      <w:color w:val="auto"/>
                      <w:szCs w:val="21"/>
                      <w:highlight w:val="none"/>
                      <w:lang w:val="en-US" w:eastAsia="zh-CN"/>
                    </w:rPr>
                    <w:t>0</w:t>
                  </w:r>
                </w:p>
              </w:tc>
              <w:tc>
                <w:tcPr>
                  <w:tcW w:w="782" w:type="pct"/>
                  <w:noWrap w:val="0"/>
                  <w:vAlign w:val="center"/>
                </w:tcPr>
                <w:p>
                  <w:pPr>
                    <w:adjustRightInd w:val="0"/>
                    <w:snapToGrid w:val="0"/>
                    <w:jc w:val="center"/>
                    <w:rPr>
                      <w:rFonts w:hint="default" w:eastAsia="宋体"/>
                      <w:bCs/>
                      <w:color w:val="auto"/>
                      <w:kern w:val="2"/>
                      <w:sz w:val="21"/>
                      <w:szCs w:val="21"/>
                      <w:highlight w:val="none"/>
                      <w:lang w:val="en-US" w:eastAsia="zh-CN" w:bidi="ar-SA"/>
                    </w:rPr>
                  </w:pPr>
                  <w:r>
                    <w:rPr>
                      <w:rFonts w:hint="eastAsia"/>
                      <w:bCs/>
                      <w:color w:val="auto"/>
                      <w:szCs w:val="21"/>
                      <w:highlight w:val="none"/>
                      <w:lang w:val="en-US" w:eastAsia="zh-CN"/>
                    </w:rPr>
                    <w:t>500</w:t>
                  </w:r>
                </w:p>
              </w:tc>
              <w:tc>
                <w:tcPr>
                  <w:tcW w:w="826" w:type="pct"/>
                  <w:noWrap w:val="0"/>
                  <w:vAlign w:val="center"/>
                </w:tcPr>
                <w:p>
                  <w:pPr>
                    <w:adjustRightInd w:val="0"/>
                    <w:snapToGrid w:val="0"/>
                    <w:jc w:val="center"/>
                    <w:rPr>
                      <w:rFonts w:hint="eastAsia"/>
                      <w:bCs/>
                      <w:color w:val="auto"/>
                      <w:szCs w:val="21"/>
                      <w:highlight w:val="none"/>
                      <w:lang w:val="en-US" w:eastAsia="zh-CN"/>
                    </w:rPr>
                  </w:pPr>
                  <w:r>
                    <w:rPr>
                      <w:rFonts w:hint="eastAsia"/>
                      <w:bCs/>
                      <w:color w:val="auto"/>
                      <w:szCs w:val="21"/>
                      <w:highlight w:val="none"/>
                      <w:lang w:val="en-US" w:eastAsia="zh-CN"/>
                    </w:rPr>
                    <w:t>18~20g/小袋，10kg/箱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Merge w:val="continue"/>
                  <w:noWrap w:val="0"/>
                  <w:vAlign w:val="center"/>
                </w:tcPr>
                <w:p>
                  <w:pPr>
                    <w:adjustRightInd w:val="0"/>
                    <w:snapToGrid w:val="0"/>
                    <w:jc w:val="center"/>
                    <w:rPr>
                      <w:rFonts w:hint="eastAsia"/>
                      <w:bCs/>
                      <w:color w:val="auto"/>
                      <w:szCs w:val="21"/>
                      <w:highlight w:val="none"/>
                    </w:rPr>
                  </w:pPr>
                </w:p>
              </w:tc>
              <w:tc>
                <w:tcPr>
                  <w:tcW w:w="629" w:type="pct"/>
                  <w:vMerge w:val="continue"/>
                  <w:noWrap w:val="0"/>
                  <w:vAlign w:val="center"/>
                </w:tcPr>
                <w:p>
                  <w:pPr>
                    <w:adjustRightInd w:val="0"/>
                    <w:snapToGrid w:val="0"/>
                    <w:jc w:val="center"/>
                    <w:rPr>
                      <w:rFonts w:hint="eastAsia"/>
                      <w:bCs/>
                      <w:color w:val="auto"/>
                      <w:szCs w:val="21"/>
                      <w:highlight w:val="none"/>
                      <w:lang w:val="en-US" w:eastAsia="zh-CN"/>
                    </w:rPr>
                  </w:pPr>
                </w:p>
              </w:tc>
              <w:tc>
                <w:tcPr>
                  <w:tcW w:w="914"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香菇豆干</w:t>
                  </w:r>
                </w:p>
              </w:tc>
              <w:tc>
                <w:tcPr>
                  <w:tcW w:w="782"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500</w:t>
                  </w:r>
                </w:p>
              </w:tc>
              <w:tc>
                <w:tcPr>
                  <w:tcW w:w="782" w:type="pct"/>
                  <w:noWrap w:val="0"/>
                  <w:vAlign w:val="center"/>
                </w:tcPr>
                <w:p>
                  <w:pPr>
                    <w:adjustRightInd w:val="0"/>
                    <w:snapToGrid w:val="0"/>
                    <w:jc w:val="center"/>
                    <w:rPr>
                      <w:rFonts w:hint="eastAsia" w:eastAsia="宋体"/>
                      <w:b/>
                      <w:bCs w:val="0"/>
                      <w:color w:val="auto"/>
                      <w:szCs w:val="21"/>
                      <w:highlight w:val="none"/>
                      <w:lang w:val="en-US" w:eastAsia="zh-CN"/>
                    </w:rPr>
                  </w:pPr>
                  <w:r>
                    <w:rPr>
                      <w:rFonts w:hint="eastAsia"/>
                      <w:b/>
                      <w:bCs w:val="0"/>
                      <w:color w:val="auto"/>
                      <w:szCs w:val="21"/>
                      <w:highlight w:val="none"/>
                      <w:lang w:val="en-US" w:eastAsia="zh-CN"/>
                    </w:rPr>
                    <w:t>0</w:t>
                  </w:r>
                </w:p>
              </w:tc>
              <w:tc>
                <w:tcPr>
                  <w:tcW w:w="782" w:type="pct"/>
                  <w:noWrap w:val="0"/>
                  <w:vAlign w:val="center"/>
                </w:tcPr>
                <w:p>
                  <w:pPr>
                    <w:adjustRightInd w:val="0"/>
                    <w:snapToGrid w:val="0"/>
                    <w:jc w:val="center"/>
                    <w:rPr>
                      <w:rFonts w:hint="default" w:eastAsia="宋体"/>
                      <w:bCs/>
                      <w:color w:val="auto"/>
                      <w:kern w:val="2"/>
                      <w:sz w:val="21"/>
                      <w:szCs w:val="21"/>
                      <w:highlight w:val="none"/>
                      <w:lang w:val="en-US" w:eastAsia="zh-CN" w:bidi="ar-SA"/>
                    </w:rPr>
                  </w:pPr>
                  <w:r>
                    <w:rPr>
                      <w:rFonts w:hint="eastAsia"/>
                      <w:bCs/>
                      <w:color w:val="auto"/>
                      <w:szCs w:val="21"/>
                      <w:highlight w:val="none"/>
                      <w:lang w:val="en-US" w:eastAsia="zh-CN"/>
                    </w:rPr>
                    <w:t>500</w:t>
                  </w:r>
                </w:p>
              </w:tc>
              <w:tc>
                <w:tcPr>
                  <w:tcW w:w="826" w:type="pct"/>
                  <w:noWrap w:val="0"/>
                  <w:vAlign w:val="center"/>
                </w:tcPr>
                <w:p>
                  <w:pPr>
                    <w:adjustRightInd w:val="0"/>
                    <w:snapToGrid w:val="0"/>
                    <w:jc w:val="center"/>
                    <w:rPr>
                      <w:rFonts w:hint="eastAsia"/>
                      <w:bCs/>
                      <w:color w:val="auto"/>
                      <w:szCs w:val="21"/>
                      <w:highlight w:val="none"/>
                      <w:lang w:val="en-US" w:eastAsia="zh-CN"/>
                    </w:rPr>
                  </w:pPr>
                  <w:r>
                    <w:rPr>
                      <w:rFonts w:hint="eastAsia"/>
                      <w:bCs/>
                      <w:color w:val="auto"/>
                      <w:szCs w:val="21"/>
                      <w:highlight w:val="none"/>
                      <w:lang w:val="en-US" w:eastAsia="zh-CN"/>
                    </w:rPr>
                    <w:t>18~20g/小袋，10kg/箱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vMerge w:val="continue"/>
                  <w:noWrap w:val="0"/>
                  <w:vAlign w:val="center"/>
                </w:tcPr>
                <w:p>
                  <w:pPr>
                    <w:adjustRightInd w:val="0"/>
                    <w:snapToGrid w:val="0"/>
                    <w:jc w:val="center"/>
                    <w:rPr>
                      <w:rFonts w:hint="eastAsia"/>
                      <w:bCs/>
                      <w:color w:val="auto"/>
                      <w:szCs w:val="21"/>
                      <w:highlight w:val="none"/>
                    </w:rPr>
                  </w:pPr>
                </w:p>
              </w:tc>
              <w:tc>
                <w:tcPr>
                  <w:tcW w:w="629" w:type="pct"/>
                  <w:vMerge w:val="continue"/>
                  <w:noWrap w:val="0"/>
                  <w:vAlign w:val="center"/>
                </w:tcPr>
                <w:p>
                  <w:pPr>
                    <w:adjustRightInd w:val="0"/>
                    <w:snapToGrid w:val="0"/>
                    <w:jc w:val="center"/>
                    <w:rPr>
                      <w:rFonts w:hint="eastAsia"/>
                      <w:bCs/>
                      <w:color w:val="auto"/>
                      <w:szCs w:val="21"/>
                      <w:highlight w:val="none"/>
                      <w:lang w:val="en-US" w:eastAsia="zh-CN"/>
                    </w:rPr>
                  </w:pPr>
                </w:p>
              </w:tc>
              <w:tc>
                <w:tcPr>
                  <w:tcW w:w="914"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竹笋豆干</w:t>
                  </w:r>
                </w:p>
              </w:tc>
              <w:tc>
                <w:tcPr>
                  <w:tcW w:w="782"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500</w:t>
                  </w:r>
                </w:p>
              </w:tc>
              <w:tc>
                <w:tcPr>
                  <w:tcW w:w="782" w:type="pct"/>
                  <w:noWrap w:val="0"/>
                  <w:vAlign w:val="center"/>
                </w:tcPr>
                <w:p>
                  <w:pPr>
                    <w:adjustRightInd w:val="0"/>
                    <w:snapToGrid w:val="0"/>
                    <w:jc w:val="center"/>
                    <w:rPr>
                      <w:rFonts w:hint="eastAsia" w:eastAsia="宋体"/>
                      <w:b/>
                      <w:bCs w:val="0"/>
                      <w:color w:val="auto"/>
                      <w:szCs w:val="21"/>
                      <w:highlight w:val="none"/>
                      <w:lang w:val="en-US" w:eastAsia="zh-CN"/>
                    </w:rPr>
                  </w:pPr>
                  <w:r>
                    <w:rPr>
                      <w:rFonts w:hint="eastAsia"/>
                      <w:b/>
                      <w:bCs w:val="0"/>
                      <w:color w:val="auto"/>
                      <w:szCs w:val="21"/>
                      <w:highlight w:val="none"/>
                      <w:lang w:val="en-US" w:eastAsia="zh-CN"/>
                    </w:rPr>
                    <w:t>0</w:t>
                  </w:r>
                </w:p>
              </w:tc>
              <w:tc>
                <w:tcPr>
                  <w:tcW w:w="782" w:type="pct"/>
                  <w:noWrap w:val="0"/>
                  <w:vAlign w:val="center"/>
                </w:tcPr>
                <w:p>
                  <w:pPr>
                    <w:adjustRightInd w:val="0"/>
                    <w:snapToGrid w:val="0"/>
                    <w:jc w:val="center"/>
                    <w:rPr>
                      <w:rFonts w:hint="default" w:eastAsia="宋体"/>
                      <w:bCs/>
                      <w:color w:val="auto"/>
                      <w:kern w:val="2"/>
                      <w:sz w:val="21"/>
                      <w:szCs w:val="21"/>
                      <w:highlight w:val="none"/>
                      <w:lang w:val="en-US" w:eastAsia="zh-CN" w:bidi="ar-SA"/>
                    </w:rPr>
                  </w:pPr>
                  <w:r>
                    <w:rPr>
                      <w:rFonts w:hint="eastAsia"/>
                      <w:bCs/>
                      <w:color w:val="auto"/>
                      <w:szCs w:val="21"/>
                      <w:highlight w:val="none"/>
                      <w:lang w:val="en-US" w:eastAsia="zh-CN"/>
                    </w:rPr>
                    <w:t>500</w:t>
                  </w:r>
                </w:p>
              </w:tc>
              <w:tc>
                <w:tcPr>
                  <w:tcW w:w="826" w:type="pct"/>
                  <w:noWrap w:val="0"/>
                  <w:vAlign w:val="center"/>
                </w:tcPr>
                <w:p>
                  <w:pPr>
                    <w:adjustRightInd w:val="0"/>
                    <w:snapToGrid w:val="0"/>
                    <w:jc w:val="center"/>
                    <w:rPr>
                      <w:rFonts w:hint="eastAsia"/>
                      <w:bCs/>
                      <w:color w:val="auto"/>
                      <w:szCs w:val="21"/>
                      <w:highlight w:val="none"/>
                      <w:lang w:val="en-US" w:eastAsia="zh-CN"/>
                    </w:rPr>
                  </w:pPr>
                  <w:r>
                    <w:rPr>
                      <w:rFonts w:hint="eastAsia"/>
                      <w:bCs/>
                      <w:color w:val="auto"/>
                      <w:szCs w:val="21"/>
                      <w:highlight w:val="none"/>
                      <w:lang w:val="en-US" w:eastAsia="zh-CN"/>
                    </w:rPr>
                    <w:t>18~20g/小袋，10kg/箱</w:t>
                  </w:r>
                </w:p>
              </w:tc>
            </w:tr>
          </w:tbl>
          <w:p>
            <w:pPr>
              <w:spacing w:line="360" w:lineRule="auto"/>
              <w:ind w:firstLine="480" w:firstLineChars="200"/>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lang w:val="en-US" w:eastAsia="zh-CN"/>
              </w:rPr>
              <w:t>产品执行国家相关标准，标准见表2-2：</w:t>
            </w:r>
          </w:p>
          <w:p>
            <w:pPr>
              <w:pStyle w:val="41"/>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表2-2  产品执行标准</w:t>
            </w:r>
          </w:p>
          <w:tbl>
            <w:tblPr>
              <w:tblStyle w:val="2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117"/>
              <w:gridCol w:w="1542"/>
              <w:gridCol w:w="5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pct"/>
                  <w:noWrap w:val="0"/>
                  <w:vAlign w:val="center"/>
                </w:tcPr>
                <w:p>
                  <w:pPr>
                    <w:adjustRightInd w:val="0"/>
                    <w:snapToGrid w:val="0"/>
                    <w:jc w:val="center"/>
                    <w:rPr>
                      <w:rFonts w:hint="default" w:ascii="Times New Roman" w:hAnsi="Times New Roman" w:eastAsia="宋体" w:cs="Times New Roman"/>
                      <w:b/>
                      <w:snapToGrid w:val="0"/>
                      <w:color w:val="auto"/>
                      <w:kern w:val="0"/>
                      <w:szCs w:val="21"/>
                      <w:highlight w:val="none"/>
                      <w:lang w:val="en-US" w:eastAsia="zh-CN"/>
                    </w:rPr>
                  </w:pPr>
                  <w:r>
                    <w:rPr>
                      <w:rFonts w:hint="default" w:ascii="Times New Roman" w:hAnsi="Times New Roman" w:eastAsia="宋体" w:cs="Times New Roman"/>
                      <w:b/>
                      <w:snapToGrid w:val="0"/>
                      <w:color w:val="auto"/>
                      <w:kern w:val="0"/>
                      <w:szCs w:val="21"/>
                      <w:highlight w:val="none"/>
                      <w:lang w:val="en-US" w:eastAsia="zh-CN"/>
                    </w:rPr>
                    <w:t>序号</w:t>
                  </w:r>
                </w:p>
              </w:tc>
              <w:tc>
                <w:tcPr>
                  <w:tcW w:w="1581" w:type="pct"/>
                  <w:gridSpan w:val="2"/>
                  <w:noWrap w:val="0"/>
                  <w:vAlign w:val="center"/>
                </w:tcPr>
                <w:p>
                  <w:pPr>
                    <w:adjustRightInd w:val="0"/>
                    <w:snapToGrid w:val="0"/>
                    <w:jc w:val="center"/>
                    <w:rPr>
                      <w:rFonts w:hint="default" w:ascii="Times New Roman" w:hAnsi="Times New Roman" w:eastAsia="宋体" w:cs="Times New Roman"/>
                      <w:b/>
                      <w:snapToGrid w:val="0"/>
                      <w:color w:val="auto"/>
                      <w:kern w:val="0"/>
                      <w:szCs w:val="21"/>
                      <w:highlight w:val="none"/>
                      <w:lang w:val="en-US" w:eastAsia="zh-CN"/>
                    </w:rPr>
                  </w:pPr>
                  <w:r>
                    <w:rPr>
                      <w:rFonts w:hint="default" w:ascii="Times New Roman" w:hAnsi="Times New Roman" w:eastAsia="宋体" w:cs="Times New Roman"/>
                      <w:b/>
                      <w:snapToGrid w:val="0"/>
                      <w:color w:val="auto"/>
                      <w:kern w:val="0"/>
                      <w:szCs w:val="21"/>
                      <w:highlight w:val="none"/>
                      <w:lang w:val="en-US" w:eastAsia="zh-CN"/>
                    </w:rPr>
                    <w:t>产品</w:t>
                  </w:r>
                  <w:r>
                    <w:rPr>
                      <w:b/>
                      <w:snapToGrid w:val="0"/>
                      <w:color w:val="auto"/>
                      <w:kern w:val="0"/>
                      <w:szCs w:val="21"/>
                      <w:highlight w:val="none"/>
                    </w:rPr>
                    <w:t>名称</w:t>
                  </w:r>
                </w:p>
              </w:tc>
              <w:tc>
                <w:tcPr>
                  <w:tcW w:w="2986" w:type="pct"/>
                  <w:noWrap w:val="0"/>
                  <w:vAlign w:val="center"/>
                </w:tcPr>
                <w:p>
                  <w:pPr>
                    <w:adjustRightInd w:val="0"/>
                    <w:snapToGrid w:val="0"/>
                    <w:jc w:val="center"/>
                    <w:rPr>
                      <w:rFonts w:hint="default" w:ascii="Times New Roman" w:hAnsi="Times New Roman" w:eastAsia="宋体" w:cs="Times New Roman"/>
                      <w:b/>
                      <w:snapToGrid w:val="0"/>
                      <w:color w:val="auto"/>
                      <w:kern w:val="0"/>
                      <w:szCs w:val="21"/>
                      <w:highlight w:val="none"/>
                      <w:lang w:val="en-US" w:eastAsia="zh-CN"/>
                    </w:rPr>
                  </w:pPr>
                  <w:r>
                    <w:rPr>
                      <w:rFonts w:hint="default" w:ascii="Times New Roman" w:hAnsi="Times New Roman" w:eastAsia="宋体" w:cs="Times New Roman"/>
                      <w:b/>
                      <w:snapToGrid w:val="0"/>
                      <w:color w:val="auto"/>
                      <w:kern w:val="0"/>
                      <w:szCs w:val="21"/>
                      <w:highlight w:val="no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31" w:type="pct"/>
                  <w:vMerge w:val="restart"/>
                  <w:noWrap w:val="0"/>
                  <w:vAlign w:val="center"/>
                </w:tcPr>
                <w:p>
                  <w:pPr>
                    <w:pStyle w:val="4"/>
                    <w:numPr>
                      <w:ilvl w:val="0"/>
                      <w:numId w:val="0"/>
                    </w:num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w:t>
                  </w:r>
                </w:p>
              </w:tc>
              <w:tc>
                <w:tcPr>
                  <w:tcW w:w="664" w:type="pct"/>
                  <w:vMerge w:val="restart"/>
                  <w:noWrap w:val="0"/>
                  <w:vAlign w:val="center"/>
                </w:tcPr>
                <w:p>
                  <w:pPr>
                    <w:pStyle w:val="4"/>
                    <w:numPr>
                      <w:ilvl w:val="0"/>
                      <w:numId w:val="0"/>
                    </w:num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豆制品</w:t>
                  </w:r>
                </w:p>
              </w:tc>
              <w:tc>
                <w:tcPr>
                  <w:tcW w:w="917" w:type="pct"/>
                  <w:noWrap w:val="0"/>
                  <w:vAlign w:val="center"/>
                </w:tcPr>
                <w:p>
                  <w:pPr>
                    <w:pStyle w:val="4"/>
                    <w:numPr>
                      <w:ilvl w:val="0"/>
                      <w:numId w:val="0"/>
                    </w:num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散装称量豆干</w:t>
                  </w:r>
                </w:p>
              </w:tc>
              <w:tc>
                <w:tcPr>
                  <w:tcW w:w="2986" w:type="pct"/>
                  <w:vMerge w:val="restart"/>
                  <w:noWrap w:val="0"/>
                  <w:vAlign w:val="center"/>
                </w:tcPr>
                <w:p>
                  <w:pPr>
                    <w:pStyle w:val="4"/>
                    <w:numPr>
                      <w:ilvl w:val="0"/>
                      <w:numId w:val="0"/>
                    </w:num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r>
                    <w:rPr>
                      <w:rFonts w:hint="eastAsia" w:ascii="Times New Roman" w:hAnsi="Times New Roman" w:eastAsia="宋体" w:cs="Times New Roman"/>
                      <w:b w:val="0"/>
                      <w:bCs/>
                      <w:color w:val="auto"/>
                      <w:sz w:val="21"/>
                      <w:szCs w:val="21"/>
                      <w:highlight w:val="none"/>
                      <w:vertAlign w:val="baseline"/>
                      <w:lang w:val="en-US" w:eastAsia="zh-CN"/>
                    </w:rPr>
                    <w:t>大豆蛋白制品</w:t>
                  </w:r>
                  <w:r>
                    <w:rPr>
                      <w:rFonts w:hint="default" w:ascii="Times New Roman" w:hAnsi="Times New Roman" w:eastAsia="宋体" w:cs="Times New Roman"/>
                      <w:b w:val="0"/>
                      <w:bCs/>
                      <w:color w:val="auto"/>
                      <w:sz w:val="21"/>
                      <w:szCs w:val="21"/>
                      <w:highlight w:val="none"/>
                      <w:vertAlign w:val="baseline"/>
                      <w:lang w:val="en-US" w:eastAsia="zh-CN"/>
                    </w:rPr>
                    <w:t>》（</w:t>
                  </w:r>
                  <w:r>
                    <w:rPr>
                      <w:rFonts w:hint="eastAsia" w:ascii="Times New Roman" w:hAnsi="Times New Roman" w:eastAsia="宋体" w:cs="Times New Roman"/>
                      <w:b w:val="0"/>
                      <w:bCs/>
                      <w:color w:val="auto"/>
                      <w:sz w:val="21"/>
                      <w:szCs w:val="21"/>
                      <w:highlight w:val="none"/>
                      <w:vertAlign w:val="baseline"/>
                      <w:lang w:val="en-US" w:eastAsia="zh-CN"/>
                    </w:rPr>
                    <w:t>SB/T 10649-2012</w:t>
                  </w:r>
                  <w:r>
                    <w:rPr>
                      <w:rFonts w:hint="default" w:ascii="Times New Roman" w:hAnsi="Times New Roman" w:eastAsia="宋体" w:cs="Times New Roman"/>
                      <w:b w:val="0"/>
                      <w:bCs/>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31" w:type="pct"/>
                  <w:vMerge w:val="continue"/>
                  <w:noWrap w:val="0"/>
                  <w:vAlign w:val="center"/>
                </w:tcPr>
                <w:p>
                  <w:pPr>
                    <w:pStyle w:val="4"/>
                    <w:numPr>
                      <w:ilvl w:val="0"/>
                      <w:numId w:val="0"/>
                    </w:numPr>
                    <w:jc w:val="center"/>
                    <w:rPr>
                      <w:rFonts w:hint="default" w:ascii="Times New Roman" w:hAnsi="Times New Roman" w:eastAsia="宋体" w:cs="Times New Roman"/>
                      <w:b w:val="0"/>
                      <w:bCs/>
                      <w:color w:val="auto"/>
                      <w:sz w:val="21"/>
                      <w:szCs w:val="21"/>
                      <w:highlight w:val="none"/>
                      <w:vertAlign w:val="baseline"/>
                      <w:lang w:val="en-US" w:eastAsia="zh-CN"/>
                    </w:rPr>
                  </w:pPr>
                </w:p>
              </w:tc>
              <w:tc>
                <w:tcPr>
                  <w:tcW w:w="664" w:type="pct"/>
                  <w:vMerge w:val="continue"/>
                  <w:noWrap w:val="0"/>
                  <w:vAlign w:val="center"/>
                </w:tcPr>
                <w:p>
                  <w:pPr>
                    <w:pStyle w:val="4"/>
                    <w:numPr>
                      <w:ilvl w:val="0"/>
                      <w:numId w:val="0"/>
                    </w:numPr>
                    <w:jc w:val="center"/>
                    <w:rPr>
                      <w:rFonts w:hint="default" w:ascii="Times New Roman" w:hAnsi="Times New Roman" w:eastAsia="宋体" w:cs="Times New Roman"/>
                      <w:b w:val="0"/>
                      <w:bCs/>
                      <w:color w:val="auto"/>
                      <w:sz w:val="21"/>
                      <w:szCs w:val="21"/>
                      <w:highlight w:val="none"/>
                      <w:vertAlign w:val="baseline"/>
                      <w:lang w:val="en-US" w:eastAsia="zh-CN"/>
                    </w:rPr>
                  </w:pPr>
                </w:p>
              </w:tc>
              <w:tc>
                <w:tcPr>
                  <w:tcW w:w="917" w:type="pct"/>
                  <w:noWrap w:val="0"/>
                  <w:vAlign w:val="center"/>
                </w:tcPr>
                <w:p>
                  <w:pPr>
                    <w:pStyle w:val="4"/>
                    <w:numPr>
                      <w:ilvl w:val="0"/>
                      <w:numId w:val="0"/>
                    </w:num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手撕素肉</w:t>
                  </w:r>
                </w:p>
              </w:tc>
              <w:tc>
                <w:tcPr>
                  <w:tcW w:w="2986" w:type="pct"/>
                  <w:vMerge w:val="continue"/>
                  <w:noWrap w:val="0"/>
                  <w:vAlign w:val="center"/>
                </w:tcPr>
                <w:p>
                  <w:pPr>
                    <w:pStyle w:val="4"/>
                    <w:numPr>
                      <w:ilvl w:val="0"/>
                      <w:numId w:val="0"/>
                    </w:numPr>
                    <w:jc w:val="center"/>
                    <w:rPr>
                      <w:rFonts w:hint="default" w:ascii="Times New Roman" w:hAnsi="Times New Roman" w:eastAsia="宋体" w:cs="Times New Roman"/>
                      <w:b w:val="0"/>
                      <w:bCs/>
                      <w:color w:val="auto"/>
                      <w:sz w:val="21"/>
                      <w:szCs w:val="21"/>
                      <w:highlight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b w:val="0"/>
                <w:bCs/>
                <w:color w:val="auto"/>
                <w:sz w:val="24"/>
                <w:highlight w:val="none"/>
                <w:lang w:val="en-US" w:eastAsia="zh-CN"/>
              </w:rPr>
            </w:pPr>
            <w:r>
              <w:rPr>
                <w:rFonts w:hint="eastAsia"/>
                <w:b/>
                <w:bCs/>
                <w:color w:val="auto"/>
                <w:sz w:val="24"/>
                <w:szCs w:val="28"/>
                <w:highlight w:val="none"/>
                <w:lang w:val="en-US" w:eastAsia="zh-CN"/>
              </w:rPr>
              <w:t>4</w:t>
            </w:r>
            <w:r>
              <w:rPr>
                <w:b/>
                <w:bCs/>
                <w:color w:val="auto"/>
                <w:sz w:val="24"/>
                <w:szCs w:val="28"/>
                <w:highlight w:val="none"/>
              </w:rPr>
              <w:t>、项目组成及主要环境问题</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本项目全检时使用X光机，本次评价不包含X光机产生的辐射评价，X光机需单独另行环评。</w:t>
            </w:r>
          </w:p>
          <w:p>
            <w:pPr>
              <w:pStyle w:val="41"/>
              <w:bidi w:val="0"/>
              <w:rPr>
                <w:bCs/>
                <w:color w:val="auto"/>
                <w:szCs w:val="21"/>
                <w:highlight w:val="none"/>
              </w:rPr>
            </w:pPr>
            <w:r>
              <w:rPr>
                <w:b/>
                <w:bCs/>
                <w:color w:val="auto"/>
                <w:kern w:val="0"/>
                <w:szCs w:val="21"/>
                <w:highlight w:val="none"/>
              </w:rPr>
              <w:t>表2-</w:t>
            </w:r>
            <w:r>
              <w:rPr>
                <w:rFonts w:hint="eastAsia"/>
                <w:b/>
                <w:bCs/>
                <w:color w:val="auto"/>
                <w:kern w:val="0"/>
                <w:szCs w:val="21"/>
                <w:highlight w:val="none"/>
                <w:lang w:val="en-US" w:eastAsia="zh-CN"/>
              </w:rPr>
              <w:t>3</w:t>
            </w:r>
            <w:r>
              <w:rPr>
                <w:b/>
                <w:bCs/>
                <w:color w:val="auto"/>
                <w:kern w:val="0"/>
                <w:szCs w:val="21"/>
                <w:highlight w:val="none"/>
              </w:rPr>
              <w:t xml:space="preserve">  项目组成及主要环境问题</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169"/>
              <w:gridCol w:w="3462"/>
              <w:gridCol w:w="1105"/>
              <w:gridCol w:w="1090"/>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6" w:type="pct"/>
                  <w:gridSpan w:val="2"/>
                  <w:vMerge w:val="restart"/>
                  <w:noWrap w:val="0"/>
                  <w:vAlign w:val="center"/>
                </w:tcPr>
                <w:p>
                  <w:pPr>
                    <w:adjustRightInd w:val="0"/>
                    <w:snapToGrid w:val="0"/>
                    <w:jc w:val="center"/>
                    <w:rPr>
                      <w:b/>
                      <w:color w:val="auto"/>
                      <w:szCs w:val="21"/>
                      <w:highlight w:val="none"/>
                    </w:rPr>
                  </w:pPr>
                  <w:r>
                    <w:rPr>
                      <w:b/>
                      <w:color w:val="auto"/>
                      <w:szCs w:val="21"/>
                      <w:highlight w:val="none"/>
                    </w:rPr>
                    <w:t>名称</w:t>
                  </w:r>
                </w:p>
              </w:tc>
              <w:tc>
                <w:tcPr>
                  <w:tcW w:w="2059" w:type="pct"/>
                  <w:vMerge w:val="restart"/>
                  <w:noWrap w:val="0"/>
                  <w:vAlign w:val="center"/>
                </w:tcPr>
                <w:p>
                  <w:pPr>
                    <w:adjustRightInd w:val="0"/>
                    <w:snapToGrid w:val="0"/>
                    <w:jc w:val="center"/>
                    <w:rPr>
                      <w:b/>
                      <w:color w:val="auto"/>
                      <w:szCs w:val="21"/>
                      <w:highlight w:val="none"/>
                    </w:rPr>
                  </w:pPr>
                  <w:r>
                    <w:rPr>
                      <w:b/>
                      <w:color w:val="auto"/>
                      <w:szCs w:val="21"/>
                      <w:highlight w:val="none"/>
                    </w:rPr>
                    <w:t>建设内容及规模</w:t>
                  </w:r>
                </w:p>
              </w:tc>
              <w:tc>
                <w:tcPr>
                  <w:tcW w:w="1305" w:type="pct"/>
                  <w:gridSpan w:val="2"/>
                  <w:noWrap w:val="0"/>
                  <w:vAlign w:val="center"/>
                </w:tcPr>
                <w:p>
                  <w:pPr>
                    <w:adjustRightInd w:val="0"/>
                    <w:snapToGrid w:val="0"/>
                    <w:jc w:val="center"/>
                    <w:rPr>
                      <w:b/>
                      <w:color w:val="auto"/>
                      <w:szCs w:val="21"/>
                      <w:highlight w:val="none"/>
                    </w:rPr>
                  </w:pPr>
                  <w:r>
                    <w:rPr>
                      <w:b/>
                      <w:color w:val="auto"/>
                      <w:szCs w:val="21"/>
                      <w:highlight w:val="none"/>
                    </w:rPr>
                    <w:t>可能产生的环境问题</w:t>
                  </w:r>
                </w:p>
              </w:tc>
              <w:tc>
                <w:tcPr>
                  <w:tcW w:w="518" w:type="pct"/>
                  <w:vMerge w:val="restart"/>
                  <w:noWrap w:val="0"/>
                  <w:vAlign w:val="center"/>
                </w:tcPr>
                <w:p>
                  <w:pPr>
                    <w:adjustRightInd w:val="0"/>
                    <w:snapToGrid w:val="0"/>
                    <w:jc w:val="center"/>
                    <w:rPr>
                      <w:rFonts w:hint="eastAsia"/>
                      <w:b/>
                      <w:color w:val="auto"/>
                      <w:szCs w:val="21"/>
                      <w:highlight w:val="none"/>
                    </w:rPr>
                  </w:pPr>
                  <w:r>
                    <w:rPr>
                      <w:rFonts w:hint="eastAsia"/>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6" w:type="pct"/>
                  <w:gridSpan w:val="2"/>
                  <w:vMerge w:val="continue"/>
                  <w:noWrap w:val="0"/>
                  <w:vAlign w:val="center"/>
                </w:tcPr>
                <w:p>
                  <w:pPr>
                    <w:adjustRightInd w:val="0"/>
                    <w:snapToGrid w:val="0"/>
                    <w:jc w:val="center"/>
                    <w:rPr>
                      <w:b/>
                      <w:color w:val="auto"/>
                      <w:szCs w:val="21"/>
                      <w:highlight w:val="none"/>
                    </w:rPr>
                  </w:pPr>
                </w:p>
              </w:tc>
              <w:tc>
                <w:tcPr>
                  <w:tcW w:w="2059" w:type="pct"/>
                  <w:vMerge w:val="continue"/>
                  <w:noWrap w:val="0"/>
                  <w:vAlign w:val="center"/>
                </w:tcPr>
                <w:p>
                  <w:pPr>
                    <w:adjustRightInd w:val="0"/>
                    <w:snapToGrid w:val="0"/>
                    <w:jc w:val="center"/>
                    <w:rPr>
                      <w:b/>
                      <w:color w:val="auto"/>
                      <w:szCs w:val="21"/>
                      <w:highlight w:val="none"/>
                    </w:rPr>
                  </w:pPr>
                </w:p>
              </w:tc>
              <w:tc>
                <w:tcPr>
                  <w:tcW w:w="657" w:type="pct"/>
                  <w:noWrap w:val="0"/>
                  <w:vAlign w:val="center"/>
                </w:tcPr>
                <w:p>
                  <w:pPr>
                    <w:adjustRightInd w:val="0"/>
                    <w:snapToGrid w:val="0"/>
                    <w:jc w:val="center"/>
                    <w:rPr>
                      <w:b/>
                      <w:color w:val="auto"/>
                      <w:szCs w:val="21"/>
                      <w:highlight w:val="none"/>
                    </w:rPr>
                  </w:pPr>
                  <w:r>
                    <w:rPr>
                      <w:b/>
                      <w:color w:val="auto"/>
                      <w:szCs w:val="21"/>
                      <w:highlight w:val="none"/>
                    </w:rPr>
                    <w:t>施工期</w:t>
                  </w:r>
                </w:p>
              </w:tc>
              <w:tc>
                <w:tcPr>
                  <w:tcW w:w="648" w:type="pct"/>
                  <w:noWrap w:val="0"/>
                  <w:vAlign w:val="center"/>
                </w:tcPr>
                <w:p>
                  <w:pPr>
                    <w:adjustRightInd w:val="0"/>
                    <w:snapToGrid w:val="0"/>
                    <w:jc w:val="center"/>
                    <w:rPr>
                      <w:b/>
                      <w:color w:val="auto"/>
                      <w:szCs w:val="21"/>
                      <w:highlight w:val="none"/>
                    </w:rPr>
                  </w:pPr>
                  <w:r>
                    <w:rPr>
                      <w:b/>
                      <w:color w:val="auto"/>
                      <w:szCs w:val="21"/>
                      <w:highlight w:val="none"/>
                    </w:rPr>
                    <w:t>营运期</w:t>
                  </w:r>
                </w:p>
              </w:tc>
              <w:tc>
                <w:tcPr>
                  <w:tcW w:w="518" w:type="pct"/>
                  <w:vMerge w:val="continue"/>
                  <w:noWrap w:val="0"/>
                  <w:vAlign w:val="center"/>
                </w:tcPr>
                <w:p>
                  <w:pPr>
                    <w:adjustRightInd w:val="0"/>
                    <w:snapToGrid w:val="0"/>
                    <w:jc w:val="center"/>
                    <w:rPr>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restart"/>
                  <w:noWrap w:val="0"/>
                  <w:vAlign w:val="center"/>
                </w:tcPr>
                <w:p>
                  <w:pPr>
                    <w:adjustRightInd w:val="0"/>
                    <w:snapToGrid w:val="0"/>
                    <w:jc w:val="center"/>
                    <w:rPr>
                      <w:bCs/>
                      <w:color w:val="auto"/>
                      <w:szCs w:val="21"/>
                      <w:highlight w:val="none"/>
                    </w:rPr>
                  </w:pPr>
                  <w:r>
                    <w:rPr>
                      <w:bCs/>
                      <w:color w:val="auto"/>
                      <w:szCs w:val="21"/>
                      <w:highlight w:val="none"/>
                    </w:rPr>
                    <w:t>主体工程</w:t>
                  </w:r>
                </w:p>
              </w:tc>
              <w:tc>
                <w:tcPr>
                  <w:tcW w:w="695"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1号车间</w:t>
                  </w:r>
                </w:p>
              </w:tc>
              <w:tc>
                <w:tcPr>
                  <w:tcW w:w="2059" w:type="pct"/>
                  <w:noWrap w:val="0"/>
                  <w:vAlign w:val="center"/>
                </w:tcPr>
                <w:p>
                  <w:pPr>
                    <w:adjustRightInd w:val="0"/>
                    <w:snapToGrid w:val="0"/>
                    <w:jc w:val="center"/>
                    <w:rPr>
                      <w:rFonts w:hint="default" w:eastAsia="宋体"/>
                      <w:bCs/>
                      <w:color w:val="auto"/>
                      <w:szCs w:val="21"/>
                      <w:highlight w:val="none"/>
                      <w:vertAlign w:val="baseline"/>
                      <w:lang w:val="en-US" w:eastAsia="zh-CN"/>
                    </w:rPr>
                  </w:pPr>
                  <w:r>
                    <w:rPr>
                      <w:rFonts w:hint="eastAsia"/>
                      <w:bCs/>
                      <w:color w:val="auto"/>
                      <w:szCs w:val="21"/>
                      <w:highlight w:val="none"/>
                      <w:lang w:val="en-US" w:eastAsia="zh-CN"/>
                    </w:rPr>
                    <w:t>1F，建筑面积13997.7m</w:t>
                  </w:r>
                  <w:r>
                    <w:rPr>
                      <w:rFonts w:hint="eastAsia"/>
                      <w:bCs/>
                      <w:color w:val="auto"/>
                      <w:szCs w:val="21"/>
                      <w:highlight w:val="none"/>
                      <w:vertAlign w:val="superscript"/>
                      <w:lang w:val="en-US" w:eastAsia="zh-CN"/>
                    </w:rPr>
                    <w:t>2</w:t>
                  </w:r>
                  <w:r>
                    <w:rPr>
                      <w:rFonts w:hint="eastAsia"/>
                      <w:bCs/>
                      <w:color w:val="auto"/>
                      <w:szCs w:val="21"/>
                      <w:highlight w:val="none"/>
                      <w:vertAlign w:val="baseline"/>
                      <w:lang w:val="en-US" w:eastAsia="zh-CN"/>
                    </w:rPr>
                    <w:t>，高9.7/5.7m，主要设置散装称量豆干和手撕素肉生产线、原料仓库，用于生产散装称量豆干和手撕素肉</w:t>
                  </w:r>
                </w:p>
              </w:tc>
              <w:tc>
                <w:tcPr>
                  <w:tcW w:w="657" w:type="pct"/>
                  <w:vMerge w:val="restart"/>
                  <w:noWrap w:val="0"/>
                  <w:vAlign w:val="center"/>
                </w:tcPr>
                <w:p>
                  <w:pPr>
                    <w:widowControl/>
                    <w:jc w:val="center"/>
                    <w:rPr>
                      <w:bCs/>
                      <w:color w:val="auto"/>
                      <w:szCs w:val="21"/>
                      <w:highlight w:val="none"/>
                    </w:rPr>
                  </w:pPr>
                  <w:r>
                    <w:rPr>
                      <w:bCs/>
                      <w:color w:val="auto"/>
                      <w:szCs w:val="21"/>
                      <w:highlight w:val="none"/>
                    </w:rPr>
                    <w:t>废气</w:t>
                  </w:r>
                  <w:r>
                    <w:rPr>
                      <w:rFonts w:hint="eastAsia"/>
                      <w:bCs/>
                      <w:color w:val="auto"/>
                      <w:szCs w:val="21"/>
                      <w:highlight w:val="none"/>
                    </w:rPr>
                    <w:t>、</w:t>
                  </w:r>
                  <w:r>
                    <w:rPr>
                      <w:bCs/>
                      <w:color w:val="auto"/>
                      <w:szCs w:val="21"/>
                      <w:highlight w:val="none"/>
                    </w:rPr>
                    <w:t>废水</w:t>
                  </w:r>
                  <w:r>
                    <w:rPr>
                      <w:rFonts w:hint="eastAsia"/>
                      <w:bCs/>
                      <w:color w:val="auto"/>
                      <w:szCs w:val="21"/>
                      <w:highlight w:val="none"/>
                    </w:rPr>
                    <w:t>、</w:t>
                  </w:r>
                  <w:r>
                    <w:rPr>
                      <w:bCs/>
                      <w:color w:val="auto"/>
                      <w:szCs w:val="21"/>
                      <w:highlight w:val="none"/>
                    </w:rPr>
                    <w:t>噪声</w:t>
                  </w:r>
                  <w:r>
                    <w:rPr>
                      <w:rFonts w:hint="eastAsia"/>
                      <w:bCs/>
                      <w:color w:val="auto"/>
                      <w:szCs w:val="21"/>
                      <w:highlight w:val="none"/>
                    </w:rPr>
                    <w:t>、</w:t>
                  </w:r>
                  <w:r>
                    <w:rPr>
                      <w:bCs/>
                      <w:color w:val="auto"/>
                      <w:szCs w:val="21"/>
                      <w:highlight w:val="none"/>
                    </w:rPr>
                    <w:t>固废</w:t>
                  </w:r>
                </w:p>
              </w:tc>
              <w:tc>
                <w:tcPr>
                  <w:tcW w:w="648"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废气、废水、噪声、固废</w:t>
                  </w:r>
                </w:p>
              </w:tc>
              <w:tc>
                <w:tcPr>
                  <w:tcW w:w="51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pct"/>
                  <w:vMerge w:val="continue"/>
                  <w:noWrap w:val="0"/>
                  <w:vAlign w:val="center"/>
                </w:tcPr>
                <w:p>
                  <w:pPr>
                    <w:adjustRightInd w:val="0"/>
                    <w:snapToGrid w:val="0"/>
                    <w:jc w:val="center"/>
                    <w:rPr>
                      <w:bCs/>
                      <w:color w:val="auto"/>
                      <w:szCs w:val="21"/>
                      <w:highlight w:val="none"/>
                    </w:rPr>
                  </w:pPr>
                </w:p>
              </w:tc>
              <w:tc>
                <w:tcPr>
                  <w:tcW w:w="695"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2号车间</w:t>
                  </w:r>
                </w:p>
              </w:tc>
              <w:tc>
                <w:tcPr>
                  <w:tcW w:w="2059" w:type="pct"/>
                  <w:noWrap w:val="0"/>
                  <w:vAlign w:val="center"/>
                </w:tcPr>
                <w:p>
                  <w:pPr>
                    <w:adjustRightInd w:val="0"/>
                    <w:snapToGrid w:val="0"/>
                    <w:jc w:val="center"/>
                    <w:rPr>
                      <w:rFonts w:hint="default"/>
                      <w:bCs/>
                      <w:color w:val="auto"/>
                      <w:szCs w:val="21"/>
                      <w:highlight w:val="none"/>
                      <w:lang w:val="en-US"/>
                    </w:rPr>
                  </w:pPr>
                  <w:r>
                    <w:rPr>
                      <w:rFonts w:hint="eastAsia"/>
                      <w:bCs/>
                      <w:color w:val="auto"/>
                      <w:szCs w:val="21"/>
                      <w:highlight w:val="none"/>
                      <w:lang w:val="en-US" w:eastAsia="zh-CN"/>
                    </w:rPr>
                    <w:t>1F，建筑面积7963.41m</w:t>
                  </w:r>
                  <w:r>
                    <w:rPr>
                      <w:rFonts w:hint="eastAsia"/>
                      <w:bCs/>
                      <w:color w:val="auto"/>
                      <w:szCs w:val="21"/>
                      <w:highlight w:val="none"/>
                      <w:vertAlign w:val="superscript"/>
                      <w:lang w:val="en-US" w:eastAsia="zh-CN"/>
                    </w:rPr>
                    <w:t>2</w:t>
                  </w:r>
                  <w:r>
                    <w:rPr>
                      <w:rFonts w:hint="eastAsia"/>
                      <w:bCs/>
                      <w:color w:val="auto"/>
                      <w:szCs w:val="21"/>
                      <w:highlight w:val="none"/>
                      <w:vertAlign w:val="baseline"/>
                      <w:lang w:val="en-US" w:eastAsia="zh-CN"/>
                    </w:rPr>
                    <w:t>，高5.7m，用于储存成品</w:t>
                  </w:r>
                </w:p>
              </w:tc>
              <w:tc>
                <w:tcPr>
                  <w:tcW w:w="657" w:type="pct"/>
                  <w:vMerge w:val="continue"/>
                  <w:noWrap w:val="0"/>
                  <w:vAlign w:val="center"/>
                </w:tcPr>
                <w:p>
                  <w:pPr>
                    <w:widowControl/>
                    <w:jc w:val="center"/>
                    <w:rPr>
                      <w:bCs/>
                      <w:color w:val="auto"/>
                      <w:szCs w:val="21"/>
                      <w:highlight w:val="none"/>
                    </w:rPr>
                  </w:pPr>
                </w:p>
              </w:tc>
              <w:tc>
                <w:tcPr>
                  <w:tcW w:w="64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固废</w:t>
                  </w:r>
                </w:p>
              </w:tc>
              <w:tc>
                <w:tcPr>
                  <w:tcW w:w="51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pct"/>
                  <w:vMerge w:val="restart"/>
                  <w:noWrap w:val="0"/>
                  <w:vAlign w:val="center"/>
                </w:tcPr>
                <w:p>
                  <w:pPr>
                    <w:adjustRightInd w:val="0"/>
                    <w:snapToGrid w:val="0"/>
                    <w:jc w:val="center"/>
                    <w:rPr>
                      <w:bCs/>
                      <w:color w:val="auto"/>
                      <w:szCs w:val="21"/>
                      <w:highlight w:val="none"/>
                    </w:rPr>
                  </w:pPr>
                  <w:r>
                    <w:rPr>
                      <w:rFonts w:hint="eastAsia"/>
                      <w:bCs/>
                      <w:color w:val="auto"/>
                      <w:szCs w:val="21"/>
                      <w:highlight w:val="none"/>
                    </w:rPr>
                    <w:t>辅助工程</w:t>
                  </w:r>
                </w:p>
              </w:tc>
              <w:tc>
                <w:tcPr>
                  <w:tcW w:w="695"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预处理房</w:t>
                  </w:r>
                </w:p>
              </w:tc>
              <w:tc>
                <w:tcPr>
                  <w:tcW w:w="2059" w:type="pct"/>
                  <w:noWrap w:val="0"/>
                  <w:vAlign w:val="center"/>
                </w:tcPr>
                <w:p>
                  <w:pPr>
                    <w:snapToGrid w:val="0"/>
                    <w:jc w:val="center"/>
                    <w:rPr>
                      <w:rFonts w:hint="default" w:eastAsia="宋体"/>
                      <w:color w:val="auto"/>
                      <w:szCs w:val="21"/>
                      <w:highlight w:val="none"/>
                      <w:vertAlign w:val="baseline"/>
                      <w:lang w:val="en-US" w:eastAsia="zh-CN"/>
                    </w:rPr>
                  </w:pPr>
                  <w:r>
                    <w:rPr>
                      <w:rFonts w:hint="eastAsia"/>
                      <w:color w:val="auto"/>
                      <w:szCs w:val="21"/>
                      <w:highlight w:val="none"/>
                      <w:vertAlign w:val="baseline"/>
                      <w:lang w:val="en-US" w:eastAsia="zh-CN"/>
                    </w:rPr>
                    <w:t>位于厂区西南侧，</w:t>
                  </w:r>
                  <w:r>
                    <w:rPr>
                      <w:rFonts w:hint="eastAsia"/>
                      <w:bCs/>
                      <w:color w:val="auto"/>
                      <w:szCs w:val="21"/>
                      <w:highlight w:val="none"/>
                      <w:lang w:val="en-US" w:eastAsia="zh-CN"/>
                    </w:rPr>
                    <w:t>1F，建筑面积225.33m</w:t>
                  </w:r>
                  <w:r>
                    <w:rPr>
                      <w:rFonts w:hint="eastAsia"/>
                      <w:bCs/>
                      <w:color w:val="auto"/>
                      <w:szCs w:val="21"/>
                      <w:highlight w:val="none"/>
                      <w:vertAlign w:val="superscript"/>
                      <w:lang w:val="en-US" w:eastAsia="zh-CN"/>
                    </w:rPr>
                    <w:t>2</w:t>
                  </w:r>
                  <w:r>
                    <w:rPr>
                      <w:rFonts w:hint="eastAsia"/>
                      <w:bCs/>
                      <w:color w:val="auto"/>
                      <w:szCs w:val="21"/>
                      <w:highlight w:val="none"/>
                      <w:vertAlign w:val="baseline"/>
                      <w:lang w:val="en-US" w:eastAsia="zh-CN"/>
                    </w:rPr>
                    <w:t>，用于储存植物油</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固废</w:t>
                  </w:r>
                </w:p>
              </w:tc>
              <w:tc>
                <w:tcPr>
                  <w:tcW w:w="518" w:type="pct"/>
                  <w:noWrap w:val="0"/>
                  <w:vAlign w:val="center"/>
                </w:tcPr>
                <w:p>
                  <w:pPr>
                    <w:adjustRightInd w:val="0"/>
                    <w:snapToGrid w:val="0"/>
                    <w:jc w:val="center"/>
                    <w:rPr>
                      <w:bCs/>
                      <w:color w:val="auto"/>
                      <w:szCs w:val="21"/>
                      <w:highlight w:val="none"/>
                    </w:rPr>
                  </w:pPr>
                  <w:r>
                    <w:rPr>
                      <w:rFonts w:hint="eastAsia"/>
                      <w:bCs/>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pct"/>
                  <w:vMerge w:val="continue"/>
                  <w:noWrap w:val="0"/>
                  <w:vAlign w:val="center"/>
                </w:tcPr>
                <w:p>
                  <w:pPr>
                    <w:adjustRightInd w:val="0"/>
                    <w:snapToGrid w:val="0"/>
                    <w:jc w:val="center"/>
                    <w:rPr>
                      <w:rFonts w:hint="eastAsia"/>
                      <w:bCs/>
                      <w:color w:val="auto"/>
                      <w:szCs w:val="21"/>
                      <w:highlight w:val="none"/>
                    </w:rPr>
                  </w:pPr>
                </w:p>
              </w:tc>
              <w:tc>
                <w:tcPr>
                  <w:tcW w:w="695" w:type="pct"/>
                  <w:noWrap w:val="0"/>
                  <w:vAlign w:val="center"/>
                </w:tcPr>
                <w:p>
                  <w:pPr>
                    <w:adjustRightInd w:val="0"/>
                    <w:snapToGrid w:val="0"/>
                    <w:jc w:val="center"/>
                    <w:rPr>
                      <w:rFonts w:hint="default"/>
                      <w:bCs/>
                      <w:color w:val="auto"/>
                      <w:szCs w:val="21"/>
                      <w:highlight w:val="none"/>
                      <w:lang w:val="en-US" w:eastAsia="zh-CN"/>
                    </w:rPr>
                  </w:pPr>
                  <w:r>
                    <w:rPr>
                      <w:rFonts w:hint="eastAsia"/>
                      <w:bCs/>
                      <w:i w:val="0"/>
                      <w:iCs w:val="0"/>
                      <w:color w:val="auto"/>
                      <w:szCs w:val="21"/>
                      <w:highlight w:val="none"/>
                      <w:lang w:val="en-US" w:eastAsia="zh-CN"/>
                    </w:rPr>
                    <w:t>循环冷却池</w:t>
                  </w:r>
                </w:p>
              </w:tc>
              <w:tc>
                <w:tcPr>
                  <w:tcW w:w="2059" w:type="pct"/>
                  <w:noWrap w:val="0"/>
                  <w:vAlign w:val="center"/>
                </w:tcPr>
                <w:p>
                  <w:pPr>
                    <w:snapToGrid w:val="0"/>
                    <w:jc w:val="center"/>
                    <w:rPr>
                      <w:rFonts w:hint="default"/>
                      <w:color w:val="auto"/>
                      <w:szCs w:val="21"/>
                      <w:highlight w:val="none"/>
                      <w:vertAlign w:val="baseline"/>
                      <w:lang w:val="en-US" w:eastAsia="zh-CN"/>
                    </w:rPr>
                  </w:pPr>
                  <w:r>
                    <w:rPr>
                      <w:rFonts w:hint="eastAsia"/>
                      <w:color w:val="auto"/>
                      <w:szCs w:val="21"/>
                      <w:highlight w:val="none"/>
                      <w:vertAlign w:val="baseline"/>
                      <w:lang w:val="en-US" w:eastAsia="zh-CN"/>
                    </w:rPr>
                    <w:t>设置一个循环冷却池，容积为50m</w:t>
                  </w:r>
                  <w:r>
                    <w:rPr>
                      <w:rFonts w:hint="eastAsia"/>
                      <w:color w:val="auto"/>
                      <w:szCs w:val="21"/>
                      <w:highlight w:val="none"/>
                      <w:vertAlign w:val="superscript"/>
                      <w:lang w:val="en-US" w:eastAsia="zh-CN"/>
                    </w:rPr>
                    <w:t>3</w:t>
                  </w:r>
                  <w:r>
                    <w:rPr>
                      <w:rFonts w:hint="eastAsia"/>
                      <w:color w:val="auto"/>
                      <w:szCs w:val="21"/>
                      <w:highlight w:val="none"/>
                      <w:vertAlign w:val="baseline"/>
                      <w:lang w:val="en-US" w:eastAsia="zh-CN"/>
                    </w:rPr>
                    <w:t>，用于储存和提供循环冷却水</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废水</w:t>
                  </w:r>
                </w:p>
              </w:tc>
              <w:tc>
                <w:tcPr>
                  <w:tcW w:w="518" w:type="pct"/>
                  <w:noWrap w:val="0"/>
                  <w:vAlign w:val="center"/>
                </w:tcPr>
                <w:p>
                  <w:pPr>
                    <w:adjustRightInd w:val="0"/>
                    <w:snapToGrid w:val="0"/>
                    <w:jc w:val="center"/>
                    <w:rPr>
                      <w:rFonts w:hint="eastAsia"/>
                      <w:bCs/>
                      <w:color w:val="auto"/>
                      <w:szCs w:val="21"/>
                      <w:highlight w:val="none"/>
                      <w:lang w:val="en-US" w:eastAsia="zh-CN"/>
                    </w:rPr>
                  </w:pPr>
                  <w:r>
                    <w:rPr>
                      <w:rFonts w:hint="eastAsia"/>
                      <w:bCs/>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421" w:type="pct"/>
                  <w:vMerge w:val="continue"/>
                  <w:noWrap w:val="0"/>
                  <w:vAlign w:val="center"/>
                </w:tcPr>
                <w:p>
                  <w:pPr>
                    <w:adjustRightInd w:val="0"/>
                    <w:snapToGrid w:val="0"/>
                    <w:jc w:val="center"/>
                    <w:rPr>
                      <w:rFonts w:hint="eastAsia"/>
                      <w:bCs/>
                      <w:color w:val="auto"/>
                      <w:szCs w:val="21"/>
                      <w:highlight w:val="none"/>
                    </w:rPr>
                  </w:pPr>
                </w:p>
              </w:tc>
              <w:tc>
                <w:tcPr>
                  <w:tcW w:w="695" w:type="pct"/>
                  <w:noWrap w:val="0"/>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化验室</w:t>
                  </w:r>
                </w:p>
              </w:tc>
              <w:tc>
                <w:tcPr>
                  <w:tcW w:w="2059" w:type="pct"/>
                  <w:noWrap w:val="0"/>
                  <w:vAlign w:val="center"/>
                </w:tcPr>
                <w:p>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依托现有项目已建化验室</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废气、废液</w:t>
                  </w:r>
                </w:p>
              </w:tc>
              <w:tc>
                <w:tcPr>
                  <w:tcW w:w="51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421" w:type="pct"/>
                  <w:vMerge w:val="continue"/>
                  <w:noWrap w:val="0"/>
                  <w:vAlign w:val="center"/>
                </w:tcPr>
                <w:p>
                  <w:pPr>
                    <w:adjustRightInd w:val="0"/>
                    <w:snapToGrid w:val="0"/>
                    <w:jc w:val="center"/>
                    <w:rPr>
                      <w:rFonts w:hint="eastAsia"/>
                      <w:bCs/>
                      <w:color w:val="auto"/>
                      <w:szCs w:val="21"/>
                      <w:highlight w:val="none"/>
                    </w:rPr>
                  </w:pPr>
                </w:p>
              </w:tc>
              <w:tc>
                <w:tcPr>
                  <w:tcW w:w="695" w:type="pct"/>
                  <w:noWrap w:val="0"/>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锅炉房</w:t>
                  </w:r>
                </w:p>
              </w:tc>
              <w:tc>
                <w:tcPr>
                  <w:tcW w:w="2059" w:type="pct"/>
                  <w:noWrap w:val="0"/>
                  <w:vAlign w:val="center"/>
                </w:tcPr>
                <w:p>
                  <w:pPr>
                    <w:snapToGrid w:val="0"/>
                    <w:jc w:val="center"/>
                    <w:rPr>
                      <w:rFonts w:hint="default"/>
                      <w:color w:val="auto"/>
                      <w:szCs w:val="21"/>
                      <w:highlight w:val="none"/>
                      <w:lang w:val="en-US"/>
                    </w:rPr>
                  </w:pPr>
                  <w:r>
                    <w:rPr>
                      <w:rFonts w:hint="eastAsia"/>
                      <w:color w:val="auto"/>
                      <w:szCs w:val="21"/>
                      <w:highlight w:val="none"/>
                      <w:lang w:val="en-US" w:eastAsia="zh-CN"/>
                    </w:rPr>
                    <w:t>依托现有项目已建锅炉房，已设置2台6t/h锅炉，一用一备</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废气、废水、噪声、固废</w:t>
                  </w:r>
                </w:p>
              </w:tc>
              <w:tc>
                <w:tcPr>
                  <w:tcW w:w="518" w:type="pct"/>
                  <w:noWrap w:val="0"/>
                  <w:vAlign w:val="center"/>
                </w:tcPr>
                <w:p>
                  <w:pPr>
                    <w:adjustRightInd w:val="0"/>
                    <w:snapToGrid w:val="0"/>
                    <w:jc w:val="center"/>
                    <w:rPr>
                      <w:rFonts w:hint="eastAsia"/>
                      <w:bCs/>
                      <w:color w:val="auto"/>
                      <w:szCs w:val="21"/>
                      <w:highlight w:val="none"/>
                    </w:rPr>
                  </w:pPr>
                  <w:r>
                    <w:rPr>
                      <w:rFonts w:hint="eastAsia"/>
                      <w:bCs/>
                      <w:color w:val="auto"/>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421" w:type="pct"/>
                  <w:vMerge w:val="continue"/>
                  <w:noWrap w:val="0"/>
                  <w:vAlign w:val="center"/>
                </w:tcPr>
                <w:p>
                  <w:pPr>
                    <w:adjustRightInd w:val="0"/>
                    <w:snapToGrid w:val="0"/>
                    <w:jc w:val="center"/>
                    <w:rPr>
                      <w:rFonts w:hint="eastAsia"/>
                      <w:bCs/>
                      <w:color w:val="auto"/>
                      <w:szCs w:val="21"/>
                      <w:highlight w:val="none"/>
                    </w:rPr>
                  </w:pPr>
                </w:p>
              </w:tc>
              <w:tc>
                <w:tcPr>
                  <w:tcW w:w="695" w:type="pct"/>
                  <w:noWrap w:val="0"/>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冻库</w:t>
                  </w:r>
                </w:p>
              </w:tc>
              <w:tc>
                <w:tcPr>
                  <w:tcW w:w="2059" w:type="pct"/>
                  <w:noWrap w:val="0"/>
                  <w:vAlign w:val="center"/>
                </w:tcPr>
                <w:p>
                  <w:pPr>
                    <w:snapToGrid w:val="0"/>
                    <w:jc w:val="center"/>
                    <w:rPr>
                      <w:rFonts w:hint="default"/>
                      <w:color w:val="auto"/>
                      <w:szCs w:val="21"/>
                      <w:highlight w:val="none"/>
                      <w:lang w:val="en-US"/>
                    </w:rPr>
                  </w:pPr>
                  <w:r>
                    <w:rPr>
                      <w:rFonts w:hint="eastAsia"/>
                      <w:color w:val="auto"/>
                      <w:szCs w:val="21"/>
                      <w:highlight w:val="none"/>
                      <w:lang w:val="en-US" w:eastAsia="zh-CN"/>
                    </w:rPr>
                    <w:t>依托现有项目已建冻库，制冷剂为R22</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518" w:type="pct"/>
                  <w:noWrap w:val="0"/>
                  <w:vAlign w:val="center"/>
                </w:tcPr>
                <w:p>
                  <w:pPr>
                    <w:adjustRightInd w:val="0"/>
                    <w:snapToGrid w:val="0"/>
                    <w:jc w:val="center"/>
                    <w:rPr>
                      <w:rFonts w:hint="eastAsia"/>
                      <w:bCs/>
                      <w:color w:val="auto"/>
                      <w:szCs w:val="21"/>
                      <w:highlight w:val="none"/>
                    </w:rPr>
                  </w:pPr>
                  <w:r>
                    <w:rPr>
                      <w:rFonts w:hint="eastAsia"/>
                      <w:bCs/>
                      <w:color w:val="auto"/>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421" w:type="pct"/>
                  <w:vMerge w:val="restart"/>
                  <w:noWrap w:val="0"/>
                  <w:vAlign w:val="center"/>
                </w:tcPr>
                <w:p>
                  <w:pPr>
                    <w:adjustRightInd w:val="0"/>
                    <w:snapToGrid w:val="0"/>
                    <w:jc w:val="center"/>
                    <w:rPr>
                      <w:bCs/>
                      <w:color w:val="auto"/>
                      <w:szCs w:val="21"/>
                      <w:highlight w:val="none"/>
                    </w:rPr>
                  </w:pPr>
                  <w:r>
                    <w:rPr>
                      <w:rFonts w:hint="eastAsia"/>
                      <w:bCs/>
                      <w:color w:val="auto"/>
                      <w:szCs w:val="21"/>
                      <w:highlight w:val="none"/>
                    </w:rPr>
                    <w:t>公用</w:t>
                  </w:r>
                  <w:r>
                    <w:rPr>
                      <w:bCs/>
                      <w:color w:val="auto"/>
                      <w:szCs w:val="21"/>
                      <w:highlight w:val="none"/>
                    </w:rPr>
                    <w:t>工程</w:t>
                  </w:r>
                </w:p>
              </w:tc>
              <w:tc>
                <w:tcPr>
                  <w:tcW w:w="695" w:type="pct"/>
                  <w:noWrap w:val="0"/>
                  <w:vAlign w:val="center"/>
                </w:tcPr>
                <w:p>
                  <w:pPr>
                    <w:adjustRightInd w:val="0"/>
                    <w:snapToGrid w:val="0"/>
                    <w:jc w:val="center"/>
                    <w:rPr>
                      <w:rFonts w:hint="eastAsia"/>
                      <w:color w:val="auto"/>
                      <w:kern w:val="2"/>
                      <w:sz w:val="21"/>
                      <w:szCs w:val="24"/>
                      <w:highlight w:val="none"/>
                      <w:lang w:val="en-US" w:eastAsia="zh-CN" w:bidi="ar-SA"/>
                    </w:rPr>
                  </w:pPr>
                  <w:r>
                    <w:rPr>
                      <w:color w:val="auto"/>
                      <w:highlight w:val="none"/>
                    </w:rPr>
                    <w:t>供电系统</w:t>
                  </w:r>
                </w:p>
              </w:tc>
              <w:tc>
                <w:tcPr>
                  <w:tcW w:w="2059" w:type="pct"/>
                  <w:noWrap w:val="0"/>
                  <w:vAlign w:val="center"/>
                </w:tcPr>
                <w:p>
                  <w:pPr>
                    <w:snapToGrid w:val="0"/>
                    <w:jc w:val="center"/>
                    <w:rPr>
                      <w:rFonts w:ascii="Times New Roman" w:hAnsi="Times New Roman" w:eastAsia="宋体"/>
                      <w:bCs/>
                      <w:color w:val="auto"/>
                      <w:kern w:val="2"/>
                      <w:sz w:val="21"/>
                      <w:szCs w:val="21"/>
                      <w:highlight w:val="none"/>
                      <w:lang w:val="en-US" w:eastAsia="zh-CN" w:bidi="ar-SA"/>
                    </w:rPr>
                  </w:pPr>
                  <w:r>
                    <w:rPr>
                      <w:color w:val="auto"/>
                      <w:szCs w:val="21"/>
                      <w:highlight w:val="none"/>
                    </w:rPr>
                    <w:t>市政电网供电</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518" w:type="pct"/>
                  <w:noWrap w:val="0"/>
                  <w:vAlign w:val="center"/>
                </w:tcPr>
                <w:p>
                  <w:pPr>
                    <w:adjustRightInd w:val="0"/>
                    <w:snapToGrid w:val="0"/>
                    <w:jc w:val="center"/>
                    <w:rPr>
                      <w:bCs/>
                      <w:color w:val="auto"/>
                      <w:szCs w:val="21"/>
                      <w:highlight w:val="none"/>
                    </w:rPr>
                  </w:pPr>
                  <w:r>
                    <w:rPr>
                      <w:rFonts w:hint="eastAsia"/>
                      <w:bCs/>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421" w:type="pct"/>
                  <w:vMerge w:val="continue"/>
                  <w:noWrap w:val="0"/>
                  <w:vAlign w:val="center"/>
                </w:tcPr>
                <w:p>
                  <w:pPr>
                    <w:adjustRightInd w:val="0"/>
                    <w:snapToGrid w:val="0"/>
                    <w:jc w:val="center"/>
                    <w:rPr>
                      <w:bCs/>
                      <w:color w:val="auto"/>
                      <w:szCs w:val="21"/>
                      <w:highlight w:val="none"/>
                    </w:rPr>
                  </w:pPr>
                </w:p>
              </w:tc>
              <w:tc>
                <w:tcPr>
                  <w:tcW w:w="695" w:type="pct"/>
                  <w:noWrap w:val="0"/>
                  <w:vAlign w:val="center"/>
                </w:tcPr>
                <w:p>
                  <w:pPr>
                    <w:adjustRightInd w:val="0"/>
                    <w:snapToGrid w:val="0"/>
                    <w:jc w:val="center"/>
                    <w:rPr>
                      <w:rFonts w:hint="eastAsia"/>
                      <w:color w:val="auto"/>
                      <w:kern w:val="2"/>
                      <w:sz w:val="21"/>
                      <w:szCs w:val="24"/>
                      <w:highlight w:val="none"/>
                      <w:lang w:val="en-US" w:eastAsia="zh-CN" w:bidi="ar-SA"/>
                    </w:rPr>
                  </w:pPr>
                  <w:r>
                    <w:rPr>
                      <w:color w:val="auto"/>
                      <w:highlight w:val="none"/>
                    </w:rPr>
                    <w:t>供水系统</w:t>
                  </w:r>
                </w:p>
              </w:tc>
              <w:tc>
                <w:tcPr>
                  <w:tcW w:w="2059" w:type="pct"/>
                  <w:noWrap w:val="0"/>
                  <w:vAlign w:val="center"/>
                </w:tcPr>
                <w:p>
                  <w:pPr>
                    <w:snapToGrid w:val="0"/>
                    <w:jc w:val="center"/>
                    <w:rPr>
                      <w:rFonts w:ascii="Times New Roman" w:hAnsi="Times New Roman" w:eastAsia="宋体"/>
                      <w:bCs/>
                      <w:color w:val="auto"/>
                      <w:kern w:val="2"/>
                      <w:sz w:val="21"/>
                      <w:szCs w:val="21"/>
                      <w:highlight w:val="none"/>
                      <w:lang w:val="en-US" w:eastAsia="zh-CN" w:bidi="ar-SA"/>
                    </w:rPr>
                  </w:pPr>
                  <w:r>
                    <w:rPr>
                      <w:color w:val="auto"/>
                      <w:szCs w:val="21"/>
                      <w:highlight w:val="none"/>
                    </w:rPr>
                    <w:t>市政自来水管网</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518" w:type="pct"/>
                  <w:noWrap w:val="0"/>
                  <w:vAlign w:val="center"/>
                </w:tcPr>
                <w:p>
                  <w:pPr>
                    <w:adjustRightInd w:val="0"/>
                    <w:snapToGrid w:val="0"/>
                    <w:jc w:val="center"/>
                    <w:rPr>
                      <w:rFonts w:hint="eastAsia"/>
                      <w:bCs/>
                      <w:color w:val="auto"/>
                      <w:szCs w:val="21"/>
                      <w:highlight w:val="none"/>
                    </w:rPr>
                  </w:pPr>
                  <w:r>
                    <w:rPr>
                      <w:rFonts w:hint="eastAsia"/>
                      <w:bCs/>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noWrap w:val="0"/>
                  <w:vAlign w:val="center"/>
                </w:tcPr>
                <w:p>
                  <w:pPr>
                    <w:adjustRightInd w:val="0"/>
                    <w:snapToGrid w:val="0"/>
                    <w:jc w:val="center"/>
                    <w:rPr>
                      <w:bCs/>
                      <w:color w:val="auto"/>
                      <w:szCs w:val="21"/>
                      <w:highlight w:val="none"/>
                    </w:rPr>
                  </w:pPr>
                </w:p>
              </w:tc>
              <w:tc>
                <w:tcPr>
                  <w:tcW w:w="695" w:type="pct"/>
                  <w:noWrap w:val="0"/>
                  <w:vAlign w:val="center"/>
                </w:tcPr>
                <w:p>
                  <w:pPr>
                    <w:adjustRightInd w:val="0"/>
                    <w:snapToGrid w:val="0"/>
                    <w:jc w:val="center"/>
                    <w:rPr>
                      <w:rFonts w:hint="eastAsia"/>
                      <w:color w:val="auto"/>
                      <w:kern w:val="2"/>
                      <w:sz w:val="21"/>
                      <w:szCs w:val="24"/>
                      <w:highlight w:val="none"/>
                      <w:lang w:val="en-US" w:eastAsia="zh-CN" w:bidi="ar-SA"/>
                    </w:rPr>
                  </w:pPr>
                  <w:r>
                    <w:rPr>
                      <w:color w:val="auto"/>
                      <w:highlight w:val="none"/>
                    </w:rPr>
                    <w:t>供气系统</w:t>
                  </w:r>
                </w:p>
              </w:tc>
              <w:tc>
                <w:tcPr>
                  <w:tcW w:w="2059" w:type="pct"/>
                  <w:noWrap w:val="0"/>
                  <w:vAlign w:val="center"/>
                </w:tcPr>
                <w:p>
                  <w:pPr>
                    <w:adjustRightInd w:val="0"/>
                    <w:snapToGrid w:val="0"/>
                    <w:jc w:val="center"/>
                    <w:rPr>
                      <w:rFonts w:ascii="Times New Roman" w:hAnsi="Times New Roman" w:eastAsia="宋体"/>
                      <w:bCs/>
                      <w:color w:val="auto"/>
                      <w:kern w:val="2"/>
                      <w:sz w:val="21"/>
                      <w:szCs w:val="21"/>
                      <w:highlight w:val="none"/>
                      <w:lang w:val="en-US" w:eastAsia="zh-CN" w:bidi="ar-SA"/>
                    </w:rPr>
                  </w:pPr>
                  <w:r>
                    <w:rPr>
                      <w:color w:val="auto"/>
                      <w:highlight w:val="none"/>
                    </w:rPr>
                    <w:t>市政燃气管网</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518" w:type="pct"/>
                  <w:noWrap w:val="0"/>
                  <w:vAlign w:val="center"/>
                </w:tcPr>
                <w:p>
                  <w:pPr>
                    <w:adjustRightInd w:val="0"/>
                    <w:snapToGrid w:val="0"/>
                    <w:jc w:val="center"/>
                    <w:rPr>
                      <w:rFonts w:hint="eastAsia"/>
                      <w:bCs/>
                      <w:color w:val="auto"/>
                      <w:szCs w:val="21"/>
                      <w:highlight w:val="none"/>
                    </w:rPr>
                  </w:pPr>
                  <w:r>
                    <w:rPr>
                      <w:rFonts w:hint="eastAsia"/>
                      <w:bCs/>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noWrap w:val="0"/>
                  <w:vAlign w:val="center"/>
                </w:tcPr>
                <w:p>
                  <w:pPr>
                    <w:adjustRightInd w:val="0"/>
                    <w:snapToGrid w:val="0"/>
                    <w:jc w:val="center"/>
                    <w:rPr>
                      <w:bCs/>
                      <w:color w:val="auto"/>
                      <w:szCs w:val="21"/>
                      <w:highlight w:val="none"/>
                    </w:rPr>
                  </w:pPr>
                </w:p>
              </w:tc>
              <w:tc>
                <w:tcPr>
                  <w:tcW w:w="695" w:type="pct"/>
                  <w:noWrap w:val="0"/>
                  <w:vAlign w:val="center"/>
                </w:tcPr>
                <w:p>
                  <w:pPr>
                    <w:adjustRightInd w:val="0"/>
                    <w:snapToGrid w:val="0"/>
                    <w:jc w:val="center"/>
                    <w:rPr>
                      <w:rFonts w:hint="eastAsia"/>
                      <w:color w:val="auto"/>
                      <w:kern w:val="2"/>
                      <w:sz w:val="21"/>
                      <w:szCs w:val="24"/>
                      <w:highlight w:val="none"/>
                      <w:lang w:val="en-US" w:eastAsia="zh-CN" w:bidi="ar-SA"/>
                    </w:rPr>
                  </w:pPr>
                  <w:r>
                    <w:rPr>
                      <w:rFonts w:hint="eastAsia"/>
                      <w:color w:val="auto"/>
                      <w:highlight w:val="none"/>
                    </w:rPr>
                    <w:t>排水系统</w:t>
                  </w:r>
                </w:p>
              </w:tc>
              <w:tc>
                <w:tcPr>
                  <w:tcW w:w="2059" w:type="pct"/>
                  <w:noWrap w:val="0"/>
                  <w:vAlign w:val="center"/>
                </w:tcPr>
                <w:p>
                  <w:pPr>
                    <w:adjustRightInd w:val="0"/>
                    <w:snapToGrid w:val="0"/>
                    <w:jc w:val="center"/>
                    <w:rPr>
                      <w:bCs/>
                      <w:color w:val="auto"/>
                      <w:szCs w:val="21"/>
                      <w:highlight w:val="none"/>
                    </w:rPr>
                  </w:pPr>
                  <w:r>
                    <w:rPr>
                      <w:rFonts w:hint="eastAsia"/>
                      <w:color w:val="auto"/>
                      <w:szCs w:val="21"/>
                      <w:highlight w:val="none"/>
                    </w:rPr>
                    <w:t>排入市政管网</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518" w:type="pct"/>
                  <w:noWrap w:val="0"/>
                  <w:vAlign w:val="center"/>
                </w:tcPr>
                <w:p>
                  <w:pPr>
                    <w:adjustRightInd w:val="0"/>
                    <w:snapToGrid w:val="0"/>
                    <w:jc w:val="center"/>
                    <w:rPr>
                      <w:rFonts w:hint="eastAsia"/>
                      <w:bCs/>
                      <w:color w:val="auto"/>
                      <w:szCs w:val="21"/>
                      <w:highlight w:val="none"/>
                    </w:rPr>
                  </w:pPr>
                  <w:r>
                    <w:rPr>
                      <w:rFonts w:hint="eastAsia"/>
                      <w:bCs/>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restart"/>
                  <w:noWrap w:val="0"/>
                  <w:vAlign w:val="center"/>
                </w:tcPr>
                <w:p>
                  <w:pPr>
                    <w:adjustRightInd w:val="0"/>
                    <w:snapToGrid w:val="0"/>
                    <w:jc w:val="center"/>
                    <w:rPr>
                      <w:bCs/>
                      <w:color w:val="auto"/>
                      <w:szCs w:val="21"/>
                      <w:highlight w:val="none"/>
                    </w:rPr>
                  </w:pPr>
                  <w:r>
                    <w:rPr>
                      <w:bCs/>
                      <w:color w:val="auto"/>
                      <w:szCs w:val="21"/>
                      <w:highlight w:val="none"/>
                    </w:rPr>
                    <w:t>办公生活设施</w:t>
                  </w:r>
                </w:p>
              </w:tc>
              <w:tc>
                <w:tcPr>
                  <w:tcW w:w="695"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倒班楼</w:t>
                  </w:r>
                </w:p>
              </w:tc>
              <w:tc>
                <w:tcPr>
                  <w:tcW w:w="2059"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3F，位于厂区南侧，供职工休息</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default" w:eastAsia="宋体"/>
                      <w:bCs/>
                      <w:color w:val="auto"/>
                      <w:szCs w:val="21"/>
                      <w:highlight w:val="none"/>
                      <w:lang w:val="en-US" w:eastAsia="zh-CN"/>
                    </w:rPr>
                  </w:pPr>
                  <w:r>
                    <w:rPr>
                      <w:rFonts w:hint="eastAsia" w:eastAsia="宋体"/>
                      <w:bCs/>
                      <w:color w:val="auto"/>
                      <w:szCs w:val="21"/>
                      <w:highlight w:val="none"/>
                      <w:lang w:val="en-US" w:eastAsia="zh-CN"/>
                    </w:rPr>
                    <w:t>废水、固废</w:t>
                  </w:r>
                </w:p>
              </w:tc>
              <w:tc>
                <w:tcPr>
                  <w:tcW w:w="51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noWrap w:val="0"/>
                  <w:vAlign w:val="center"/>
                </w:tcPr>
                <w:p>
                  <w:pPr>
                    <w:adjustRightInd w:val="0"/>
                    <w:snapToGrid w:val="0"/>
                    <w:jc w:val="center"/>
                    <w:rPr>
                      <w:bCs/>
                      <w:color w:val="auto"/>
                      <w:szCs w:val="21"/>
                      <w:highlight w:val="none"/>
                    </w:rPr>
                  </w:pPr>
                </w:p>
              </w:tc>
              <w:tc>
                <w:tcPr>
                  <w:tcW w:w="695" w:type="pct"/>
                  <w:noWrap w:val="0"/>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食堂</w:t>
                  </w:r>
                </w:p>
              </w:tc>
              <w:tc>
                <w:tcPr>
                  <w:tcW w:w="2059" w:type="pct"/>
                  <w:noWrap w:val="0"/>
                  <w:vAlign w:val="center"/>
                </w:tcPr>
                <w:p>
                  <w:pPr>
                    <w:adjustRightInd w:val="0"/>
                    <w:snapToGrid w:val="0"/>
                    <w:jc w:val="center"/>
                    <w:rPr>
                      <w:rFonts w:hint="default"/>
                      <w:bCs/>
                      <w:color w:val="auto"/>
                      <w:szCs w:val="21"/>
                      <w:highlight w:val="none"/>
                      <w:lang w:val="en-US" w:eastAsia="zh-CN"/>
                    </w:rPr>
                  </w:pPr>
                  <w:r>
                    <w:rPr>
                      <w:rFonts w:hint="eastAsia"/>
                      <w:color w:val="auto"/>
                      <w:szCs w:val="21"/>
                      <w:highlight w:val="none"/>
                      <w:lang w:val="en-US" w:eastAsia="zh-CN"/>
                    </w:rPr>
                    <w:t>依托现有项目已建食堂</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eastAsia="宋体"/>
                      <w:bCs/>
                      <w:color w:val="auto"/>
                      <w:szCs w:val="21"/>
                      <w:highlight w:val="none"/>
                      <w:lang w:val="en-US" w:eastAsia="zh-CN"/>
                    </w:rPr>
                    <w:t>废气、废水、固废</w:t>
                  </w:r>
                </w:p>
              </w:tc>
              <w:tc>
                <w:tcPr>
                  <w:tcW w:w="518" w:type="pct"/>
                  <w:noWrap w:val="0"/>
                  <w:vAlign w:val="center"/>
                </w:tcPr>
                <w:p>
                  <w:pPr>
                    <w:adjustRightInd w:val="0"/>
                    <w:snapToGrid w:val="0"/>
                    <w:jc w:val="center"/>
                    <w:rPr>
                      <w:rFonts w:hint="eastAsia"/>
                      <w:bCs/>
                      <w:color w:val="auto"/>
                      <w:szCs w:val="21"/>
                      <w:highlight w:val="none"/>
                      <w:lang w:val="en-US" w:eastAsia="zh-CN"/>
                    </w:rPr>
                  </w:pPr>
                  <w:r>
                    <w:rPr>
                      <w:rFonts w:hint="eastAsia"/>
                      <w:bCs/>
                      <w:color w:val="auto"/>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noWrap w:val="0"/>
                  <w:vAlign w:val="center"/>
                </w:tcPr>
                <w:p>
                  <w:pPr>
                    <w:adjustRightInd w:val="0"/>
                    <w:snapToGrid w:val="0"/>
                    <w:jc w:val="center"/>
                    <w:rPr>
                      <w:bCs/>
                      <w:color w:val="auto"/>
                      <w:szCs w:val="21"/>
                      <w:highlight w:val="none"/>
                    </w:rPr>
                  </w:pPr>
                </w:p>
              </w:tc>
              <w:tc>
                <w:tcPr>
                  <w:tcW w:w="695" w:type="pct"/>
                  <w:noWrap w:val="0"/>
                  <w:vAlign w:val="center"/>
                </w:tcPr>
                <w:p>
                  <w:pPr>
                    <w:adjustRightInd w:val="0"/>
                    <w:snapToGrid w:val="0"/>
                    <w:jc w:val="center"/>
                    <w:rPr>
                      <w:rFonts w:hint="eastAsia"/>
                      <w:bCs/>
                      <w:color w:val="auto"/>
                      <w:szCs w:val="21"/>
                      <w:highlight w:val="none"/>
                      <w:lang w:val="en-US" w:eastAsia="zh-CN"/>
                    </w:rPr>
                  </w:pPr>
                  <w:r>
                    <w:rPr>
                      <w:rFonts w:hint="eastAsia"/>
                      <w:bCs/>
                      <w:color w:val="auto"/>
                      <w:szCs w:val="21"/>
                      <w:highlight w:val="none"/>
                      <w:lang w:val="en-US" w:eastAsia="zh-CN"/>
                    </w:rPr>
                    <w:t>门卫室</w:t>
                  </w:r>
                </w:p>
              </w:tc>
              <w:tc>
                <w:tcPr>
                  <w:tcW w:w="2059"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位于厂区东南侧1号门旁，建筑面积79.29m</w:t>
                  </w:r>
                  <w:r>
                    <w:rPr>
                      <w:rFonts w:hint="eastAsia"/>
                      <w:bCs/>
                      <w:color w:val="auto"/>
                      <w:szCs w:val="21"/>
                      <w:highlight w:val="none"/>
                      <w:vertAlign w:val="superscript"/>
                      <w:lang w:val="en-US" w:eastAsia="zh-CN"/>
                    </w:rPr>
                    <w:t>2</w:t>
                  </w:r>
                  <w:r>
                    <w:rPr>
                      <w:rFonts w:hint="eastAsia"/>
                      <w:bCs/>
                      <w:color w:val="auto"/>
                      <w:szCs w:val="21"/>
                      <w:highlight w:val="none"/>
                      <w:vertAlign w:val="baseline"/>
                      <w:lang w:val="en-US" w:eastAsia="zh-CN"/>
                    </w:rPr>
                    <w:t>，带公共卫生间</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default" w:eastAsia="宋体"/>
                      <w:bCs/>
                      <w:color w:val="auto"/>
                      <w:szCs w:val="21"/>
                      <w:highlight w:val="none"/>
                      <w:lang w:val="en-US" w:eastAsia="zh-CN"/>
                    </w:rPr>
                  </w:pPr>
                  <w:r>
                    <w:rPr>
                      <w:rFonts w:hint="eastAsia" w:eastAsia="宋体"/>
                      <w:bCs/>
                      <w:color w:val="auto"/>
                      <w:szCs w:val="21"/>
                      <w:highlight w:val="none"/>
                      <w:lang w:val="en-US" w:eastAsia="zh-CN"/>
                    </w:rPr>
                    <w:t>废水、固废</w:t>
                  </w:r>
                </w:p>
              </w:tc>
              <w:tc>
                <w:tcPr>
                  <w:tcW w:w="51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restart"/>
                  <w:noWrap w:val="0"/>
                  <w:vAlign w:val="center"/>
                </w:tcPr>
                <w:p>
                  <w:pPr>
                    <w:adjustRightInd w:val="0"/>
                    <w:snapToGrid w:val="0"/>
                    <w:jc w:val="center"/>
                    <w:rPr>
                      <w:bCs/>
                      <w:color w:val="auto"/>
                      <w:szCs w:val="21"/>
                      <w:highlight w:val="none"/>
                    </w:rPr>
                  </w:pPr>
                  <w:r>
                    <w:rPr>
                      <w:rFonts w:hint="eastAsia"/>
                      <w:bCs/>
                      <w:color w:val="auto"/>
                      <w:szCs w:val="21"/>
                      <w:highlight w:val="none"/>
                    </w:rPr>
                    <w:t>仓储工程</w:t>
                  </w:r>
                </w:p>
              </w:tc>
              <w:tc>
                <w:tcPr>
                  <w:tcW w:w="695"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原料仓库</w:t>
                  </w:r>
                </w:p>
              </w:tc>
              <w:tc>
                <w:tcPr>
                  <w:tcW w:w="2059"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位于1号车间南侧，用于储存原辅材料</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51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noWrap w:val="0"/>
                  <w:vAlign w:val="center"/>
                </w:tcPr>
                <w:p>
                  <w:pPr>
                    <w:adjustRightInd w:val="0"/>
                    <w:snapToGrid w:val="0"/>
                    <w:jc w:val="center"/>
                    <w:rPr>
                      <w:bCs/>
                      <w:color w:val="auto"/>
                      <w:szCs w:val="21"/>
                      <w:highlight w:val="none"/>
                    </w:rPr>
                  </w:pPr>
                </w:p>
              </w:tc>
              <w:tc>
                <w:tcPr>
                  <w:tcW w:w="695"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成品仓库</w:t>
                  </w:r>
                </w:p>
              </w:tc>
              <w:tc>
                <w:tcPr>
                  <w:tcW w:w="2059"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2号车间作为成品仓库储存成品</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51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noWrap w:val="0"/>
                  <w:vAlign w:val="center"/>
                </w:tcPr>
                <w:p>
                  <w:pPr>
                    <w:adjustRightInd w:val="0"/>
                    <w:snapToGrid w:val="0"/>
                    <w:jc w:val="center"/>
                    <w:rPr>
                      <w:bCs/>
                      <w:color w:val="auto"/>
                      <w:szCs w:val="21"/>
                      <w:highlight w:val="none"/>
                    </w:rPr>
                  </w:pPr>
                </w:p>
              </w:tc>
              <w:tc>
                <w:tcPr>
                  <w:tcW w:w="695" w:type="pct"/>
                  <w:noWrap w:val="0"/>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污水处理加药间</w:t>
                  </w:r>
                </w:p>
              </w:tc>
              <w:tc>
                <w:tcPr>
                  <w:tcW w:w="2059" w:type="pct"/>
                  <w:noWrap w:val="0"/>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依托现有项目已建加药间，用于储存PAC、PAM等</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eastAsia" w:eastAsia="宋体"/>
                      <w:bCs/>
                      <w:color w:val="auto"/>
                      <w:szCs w:val="21"/>
                      <w:highlight w:val="none"/>
                      <w:lang w:eastAsia="zh-CN"/>
                    </w:rPr>
                  </w:pPr>
                  <w:r>
                    <w:rPr>
                      <w:rFonts w:hint="eastAsia"/>
                      <w:bCs/>
                      <w:color w:val="auto"/>
                      <w:szCs w:val="21"/>
                      <w:highlight w:val="none"/>
                      <w:lang w:eastAsia="zh-CN"/>
                    </w:rPr>
                    <w:t>环境风险</w:t>
                  </w:r>
                </w:p>
              </w:tc>
              <w:tc>
                <w:tcPr>
                  <w:tcW w:w="518" w:type="pct"/>
                  <w:noWrap w:val="0"/>
                  <w:vAlign w:val="center"/>
                </w:tcPr>
                <w:p>
                  <w:pPr>
                    <w:adjustRightInd w:val="0"/>
                    <w:snapToGrid w:val="0"/>
                    <w:jc w:val="center"/>
                    <w:rPr>
                      <w:rFonts w:hint="eastAsia" w:eastAsia="宋体"/>
                      <w:bCs/>
                      <w:color w:val="auto"/>
                      <w:szCs w:val="21"/>
                      <w:highlight w:val="none"/>
                      <w:lang w:eastAsia="zh-CN"/>
                    </w:rPr>
                  </w:pPr>
                  <w:r>
                    <w:rPr>
                      <w:rFonts w:hint="eastAsia"/>
                      <w:bCs/>
                      <w:color w:val="auto"/>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restart"/>
                  <w:noWrap w:val="0"/>
                  <w:vAlign w:val="center"/>
                </w:tcPr>
                <w:p>
                  <w:pPr>
                    <w:adjustRightInd w:val="0"/>
                    <w:snapToGrid w:val="0"/>
                    <w:jc w:val="center"/>
                    <w:rPr>
                      <w:bCs/>
                      <w:color w:val="auto"/>
                      <w:szCs w:val="21"/>
                      <w:highlight w:val="none"/>
                    </w:rPr>
                  </w:pPr>
                  <w:r>
                    <w:rPr>
                      <w:rFonts w:hint="eastAsia"/>
                      <w:bCs/>
                      <w:color w:val="auto"/>
                      <w:szCs w:val="21"/>
                      <w:highlight w:val="none"/>
                    </w:rPr>
                    <w:t>环保工程</w:t>
                  </w:r>
                </w:p>
              </w:tc>
              <w:tc>
                <w:tcPr>
                  <w:tcW w:w="695" w:type="pct"/>
                  <w:noWrap w:val="0"/>
                  <w:vAlign w:val="center"/>
                </w:tcPr>
                <w:p>
                  <w:pPr>
                    <w:adjustRightInd w:val="0"/>
                    <w:snapToGrid w:val="0"/>
                    <w:jc w:val="center"/>
                    <w:rPr>
                      <w:bCs/>
                      <w:color w:val="auto"/>
                      <w:szCs w:val="21"/>
                      <w:highlight w:val="none"/>
                    </w:rPr>
                  </w:pPr>
                  <w:r>
                    <w:rPr>
                      <w:bCs/>
                      <w:color w:val="auto"/>
                      <w:szCs w:val="21"/>
                      <w:highlight w:val="none"/>
                    </w:rPr>
                    <w:t>废水治理</w:t>
                  </w:r>
                </w:p>
              </w:tc>
              <w:tc>
                <w:tcPr>
                  <w:tcW w:w="2059"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依托已建隔油池（容积30m</w:t>
                  </w:r>
                  <w:r>
                    <w:rPr>
                      <w:rFonts w:hint="eastAsia"/>
                      <w:bCs/>
                      <w:color w:val="auto"/>
                      <w:szCs w:val="21"/>
                      <w:highlight w:val="none"/>
                      <w:vertAlign w:val="superscript"/>
                      <w:lang w:val="en-US" w:eastAsia="zh-CN"/>
                    </w:rPr>
                    <w:t>3</w:t>
                  </w:r>
                  <w:r>
                    <w:rPr>
                      <w:rFonts w:hint="eastAsia"/>
                      <w:bCs/>
                      <w:color w:val="auto"/>
                      <w:szCs w:val="21"/>
                      <w:highlight w:val="none"/>
                      <w:lang w:val="en-US" w:eastAsia="zh-CN"/>
                    </w:rPr>
                    <w:t>）、预处理池（容积20m</w:t>
                  </w:r>
                  <w:r>
                    <w:rPr>
                      <w:rFonts w:hint="eastAsia"/>
                      <w:bCs/>
                      <w:color w:val="auto"/>
                      <w:szCs w:val="21"/>
                      <w:highlight w:val="none"/>
                      <w:vertAlign w:val="superscript"/>
                      <w:lang w:val="en-US" w:eastAsia="zh-CN"/>
                    </w:rPr>
                    <w:t>3</w:t>
                  </w:r>
                  <w:r>
                    <w:rPr>
                      <w:rFonts w:hint="eastAsia"/>
                      <w:bCs/>
                      <w:color w:val="auto"/>
                      <w:szCs w:val="21"/>
                      <w:highlight w:val="none"/>
                      <w:lang w:val="en-US" w:eastAsia="zh-CN"/>
                    </w:rPr>
                    <w:t>）和污水处理站（处理规模500m</w:t>
                  </w:r>
                  <w:r>
                    <w:rPr>
                      <w:rFonts w:hint="eastAsia"/>
                      <w:bCs/>
                      <w:color w:val="auto"/>
                      <w:szCs w:val="21"/>
                      <w:highlight w:val="none"/>
                      <w:vertAlign w:val="superscript"/>
                      <w:lang w:val="en-US" w:eastAsia="zh-CN"/>
                    </w:rPr>
                    <w:t>3</w:t>
                  </w:r>
                  <w:r>
                    <w:rPr>
                      <w:rFonts w:hint="eastAsia"/>
                      <w:bCs/>
                      <w:color w:val="auto"/>
                      <w:szCs w:val="21"/>
                      <w:highlight w:val="none"/>
                      <w:vertAlign w:val="baseline"/>
                      <w:lang w:val="en-US" w:eastAsia="zh-CN"/>
                    </w:rPr>
                    <w:t>/d</w:t>
                  </w:r>
                  <w:r>
                    <w:rPr>
                      <w:rFonts w:hint="eastAsia"/>
                      <w:bCs/>
                      <w:color w:val="auto"/>
                      <w:szCs w:val="21"/>
                      <w:highlight w:val="none"/>
                      <w:lang w:val="en-US" w:eastAsia="zh-CN"/>
                    </w:rPr>
                    <w:t>）</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废气、噪声、固废</w:t>
                  </w:r>
                </w:p>
              </w:tc>
              <w:tc>
                <w:tcPr>
                  <w:tcW w:w="51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noWrap w:val="0"/>
                  <w:vAlign w:val="center"/>
                </w:tcPr>
                <w:p>
                  <w:pPr>
                    <w:adjustRightInd w:val="0"/>
                    <w:snapToGrid w:val="0"/>
                    <w:jc w:val="center"/>
                    <w:rPr>
                      <w:bCs/>
                      <w:color w:val="auto"/>
                      <w:szCs w:val="21"/>
                      <w:highlight w:val="none"/>
                    </w:rPr>
                  </w:pPr>
                </w:p>
              </w:tc>
              <w:tc>
                <w:tcPr>
                  <w:tcW w:w="695" w:type="pct"/>
                  <w:vMerge w:val="restart"/>
                  <w:noWrap w:val="0"/>
                  <w:vAlign w:val="center"/>
                </w:tcPr>
                <w:p>
                  <w:pPr>
                    <w:adjustRightInd w:val="0"/>
                    <w:snapToGrid w:val="0"/>
                    <w:jc w:val="center"/>
                    <w:rPr>
                      <w:bCs/>
                      <w:color w:val="auto"/>
                      <w:szCs w:val="21"/>
                      <w:highlight w:val="none"/>
                    </w:rPr>
                  </w:pPr>
                  <w:r>
                    <w:rPr>
                      <w:bCs/>
                      <w:color w:val="auto"/>
                      <w:szCs w:val="21"/>
                      <w:highlight w:val="none"/>
                    </w:rPr>
                    <w:t>废气治理</w:t>
                  </w:r>
                </w:p>
              </w:tc>
              <w:tc>
                <w:tcPr>
                  <w:tcW w:w="2059"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天然气燃烧废气：经10m的排气筒排放</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518"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noWrap w:val="0"/>
                  <w:vAlign w:val="center"/>
                </w:tcPr>
                <w:p>
                  <w:pPr>
                    <w:adjustRightInd w:val="0"/>
                    <w:snapToGrid w:val="0"/>
                    <w:jc w:val="center"/>
                    <w:rPr>
                      <w:bCs/>
                      <w:color w:val="auto"/>
                      <w:szCs w:val="21"/>
                      <w:highlight w:val="none"/>
                    </w:rPr>
                  </w:pPr>
                </w:p>
              </w:tc>
              <w:tc>
                <w:tcPr>
                  <w:tcW w:w="695" w:type="pct"/>
                  <w:vMerge w:val="continue"/>
                  <w:noWrap w:val="0"/>
                  <w:vAlign w:val="center"/>
                </w:tcPr>
                <w:p>
                  <w:pPr>
                    <w:adjustRightInd w:val="0"/>
                    <w:snapToGrid w:val="0"/>
                    <w:jc w:val="center"/>
                    <w:rPr>
                      <w:bCs/>
                      <w:color w:val="auto"/>
                      <w:szCs w:val="21"/>
                      <w:highlight w:val="none"/>
                    </w:rPr>
                  </w:pPr>
                </w:p>
              </w:tc>
              <w:tc>
                <w:tcPr>
                  <w:tcW w:w="2059"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油炸油烟：经油烟净化装置处理后，通过15m的排气筒排放</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51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noWrap w:val="0"/>
                  <w:vAlign w:val="center"/>
                </w:tcPr>
                <w:p>
                  <w:pPr>
                    <w:adjustRightInd w:val="0"/>
                    <w:snapToGrid w:val="0"/>
                    <w:jc w:val="center"/>
                    <w:rPr>
                      <w:bCs/>
                      <w:color w:val="auto"/>
                      <w:szCs w:val="21"/>
                      <w:highlight w:val="none"/>
                    </w:rPr>
                  </w:pPr>
                </w:p>
              </w:tc>
              <w:tc>
                <w:tcPr>
                  <w:tcW w:w="695" w:type="pct"/>
                  <w:vMerge w:val="continue"/>
                  <w:noWrap w:val="0"/>
                  <w:vAlign w:val="center"/>
                </w:tcPr>
                <w:p>
                  <w:pPr>
                    <w:adjustRightInd w:val="0"/>
                    <w:snapToGrid w:val="0"/>
                    <w:jc w:val="center"/>
                    <w:rPr>
                      <w:bCs/>
                      <w:color w:val="auto"/>
                      <w:szCs w:val="21"/>
                      <w:highlight w:val="none"/>
                    </w:rPr>
                  </w:pPr>
                </w:p>
              </w:tc>
              <w:tc>
                <w:tcPr>
                  <w:tcW w:w="2059" w:type="pct"/>
                  <w:noWrap w:val="0"/>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污水处理站恶臭：对污水处理站加盖板密闭，盖板上预留进、出气口</w:t>
                  </w:r>
                  <w:r>
                    <w:rPr>
                      <w:rFonts w:hint="eastAsia"/>
                      <w:color w:val="auto"/>
                      <w:highlight w:val="none"/>
                      <w:lang w:val="en-US" w:eastAsia="zh-CN"/>
                    </w:rPr>
                    <w:t>，并喷洒生物除臭剂</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w:t>
                  </w:r>
                </w:p>
              </w:tc>
              <w:tc>
                <w:tcPr>
                  <w:tcW w:w="518" w:type="pct"/>
                  <w:noWrap w:val="0"/>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整改新增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noWrap w:val="0"/>
                  <w:vAlign w:val="center"/>
                </w:tcPr>
                <w:p>
                  <w:pPr>
                    <w:adjustRightInd w:val="0"/>
                    <w:snapToGrid w:val="0"/>
                    <w:jc w:val="center"/>
                    <w:rPr>
                      <w:bCs/>
                      <w:color w:val="auto"/>
                      <w:szCs w:val="21"/>
                      <w:highlight w:val="none"/>
                    </w:rPr>
                  </w:pPr>
                </w:p>
              </w:tc>
              <w:tc>
                <w:tcPr>
                  <w:tcW w:w="695" w:type="pct"/>
                  <w:vMerge w:val="continue"/>
                  <w:noWrap w:val="0"/>
                  <w:vAlign w:val="center"/>
                </w:tcPr>
                <w:p>
                  <w:pPr>
                    <w:adjustRightInd w:val="0"/>
                    <w:snapToGrid w:val="0"/>
                    <w:jc w:val="center"/>
                    <w:rPr>
                      <w:bCs/>
                      <w:color w:val="auto"/>
                      <w:szCs w:val="21"/>
                      <w:highlight w:val="none"/>
                    </w:rPr>
                  </w:pPr>
                </w:p>
              </w:tc>
              <w:tc>
                <w:tcPr>
                  <w:tcW w:w="2059"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食堂油烟：经油烟净化装置处理后引至楼顶排放</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51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noWrap w:val="0"/>
                  <w:vAlign w:val="center"/>
                </w:tcPr>
                <w:p>
                  <w:pPr>
                    <w:adjustRightInd w:val="0"/>
                    <w:snapToGrid w:val="0"/>
                    <w:jc w:val="center"/>
                    <w:rPr>
                      <w:bCs/>
                      <w:color w:val="auto"/>
                      <w:szCs w:val="21"/>
                      <w:highlight w:val="none"/>
                    </w:rPr>
                  </w:pPr>
                </w:p>
              </w:tc>
              <w:tc>
                <w:tcPr>
                  <w:tcW w:w="695" w:type="pct"/>
                  <w:noWrap w:val="0"/>
                  <w:vAlign w:val="center"/>
                </w:tcPr>
                <w:p>
                  <w:pPr>
                    <w:adjustRightInd w:val="0"/>
                    <w:snapToGrid w:val="0"/>
                    <w:jc w:val="center"/>
                    <w:rPr>
                      <w:rFonts w:hint="eastAsia"/>
                      <w:bCs/>
                      <w:color w:val="auto"/>
                      <w:szCs w:val="21"/>
                      <w:highlight w:val="none"/>
                    </w:rPr>
                  </w:pPr>
                  <w:r>
                    <w:rPr>
                      <w:bCs/>
                      <w:color w:val="auto"/>
                      <w:szCs w:val="21"/>
                      <w:highlight w:val="none"/>
                    </w:rPr>
                    <w:t>噪声</w:t>
                  </w:r>
                  <w:r>
                    <w:rPr>
                      <w:rFonts w:hint="eastAsia"/>
                      <w:bCs/>
                      <w:color w:val="auto"/>
                      <w:szCs w:val="21"/>
                      <w:highlight w:val="none"/>
                    </w:rPr>
                    <w:t>治理</w:t>
                  </w:r>
                </w:p>
              </w:tc>
              <w:tc>
                <w:tcPr>
                  <w:tcW w:w="2059" w:type="pct"/>
                  <w:noWrap w:val="0"/>
                  <w:vAlign w:val="center"/>
                </w:tcPr>
                <w:p>
                  <w:pPr>
                    <w:adjustRightInd w:val="0"/>
                    <w:snapToGrid w:val="0"/>
                    <w:jc w:val="center"/>
                    <w:rPr>
                      <w:bCs/>
                      <w:color w:val="auto"/>
                      <w:szCs w:val="21"/>
                      <w:highlight w:val="none"/>
                    </w:rPr>
                  </w:pPr>
                  <w:r>
                    <w:rPr>
                      <w:rFonts w:hint="eastAsia"/>
                      <w:bCs/>
                      <w:color w:val="auto"/>
                      <w:szCs w:val="21"/>
                      <w:highlight w:val="none"/>
                    </w:rPr>
                    <w:t>选用低噪声设备，加强保养；合理布局，高噪声设备尽量布置在厂房中部；对各生产设备采取减震、隔声措施；合理安排生产时间，加强管理</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default" w:eastAsia="宋体"/>
                      <w:bCs/>
                      <w:color w:val="auto"/>
                      <w:szCs w:val="21"/>
                      <w:highlight w:val="none"/>
                      <w:lang w:val="en-US" w:eastAsia="zh-CN"/>
                    </w:rPr>
                  </w:pPr>
                  <w:r>
                    <w:rPr>
                      <w:rFonts w:hint="eastAsia" w:eastAsia="宋体"/>
                      <w:bCs/>
                      <w:color w:val="auto"/>
                      <w:szCs w:val="21"/>
                      <w:highlight w:val="none"/>
                      <w:lang w:val="en-US" w:eastAsia="zh-CN"/>
                    </w:rPr>
                    <w:t>/</w:t>
                  </w:r>
                </w:p>
              </w:tc>
              <w:tc>
                <w:tcPr>
                  <w:tcW w:w="51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21" w:type="pct"/>
                  <w:vMerge w:val="continue"/>
                  <w:noWrap w:val="0"/>
                  <w:vAlign w:val="center"/>
                </w:tcPr>
                <w:p>
                  <w:pPr>
                    <w:adjustRightInd w:val="0"/>
                    <w:snapToGrid w:val="0"/>
                    <w:jc w:val="center"/>
                    <w:rPr>
                      <w:bCs/>
                      <w:color w:val="auto"/>
                      <w:szCs w:val="21"/>
                      <w:highlight w:val="none"/>
                    </w:rPr>
                  </w:pPr>
                </w:p>
              </w:tc>
              <w:tc>
                <w:tcPr>
                  <w:tcW w:w="695" w:type="pct"/>
                  <w:vMerge w:val="restart"/>
                  <w:noWrap w:val="0"/>
                  <w:vAlign w:val="center"/>
                </w:tcPr>
                <w:p>
                  <w:pPr>
                    <w:adjustRightInd w:val="0"/>
                    <w:snapToGrid w:val="0"/>
                    <w:jc w:val="center"/>
                    <w:rPr>
                      <w:bCs/>
                      <w:color w:val="auto"/>
                      <w:szCs w:val="21"/>
                      <w:highlight w:val="none"/>
                    </w:rPr>
                  </w:pPr>
                  <w:r>
                    <w:rPr>
                      <w:bCs/>
                      <w:color w:val="auto"/>
                      <w:szCs w:val="21"/>
                      <w:highlight w:val="none"/>
                    </w:rPr>
                    <w:t>固废治理</w:t>
                  </w:r>
                </w:p>
              </w:tc>
              <w:tc>
                <w:tcPr>
                  <w:tcW w:w="2059" w:type="pct"/>
                  <w:noWrap w:val="0"/>
                  <w:vAlign w:val="center"/>
                </w:tcPr>
                <w:p>
                  <w:pPr>
                    <w:adjustRightInd w:val="0"/>
                    <w:snapToGrid w:val="0"/>
                    <w:jc w:val="center"/>
                    <w:rPr>
                      <w:rFonts w:ascii="Times New Roman" w:hAnsi="Times New Roman" w:eastAsia="宋体"/>
                      <w:color w:val="auto"/>
                      <w:kern w:val="2"/>
                      <w:sz w:val="21"/>
                      <w:szCs w:val="24"/>
                      <w:highlight w:val="none"/>
                      <w:lang w:val="en-US" w:eastAsia="zh-CN" w:bidi="ar-SA"/>
                    </w:rPr>
                  </w:pPr>
                  <w:r>
                    <w:rPr>
                      <w:rFonts w:hint="eastAsia"/>
                      <w:bCs/>
                      <w:color w:val="auto"/>
                      <w:szCs w:val="21"/>
                      <w:highlight w:val="none"/>
                    </w:rPr>
                    <w:t>设置一般固废暂存间，位于厂区东侧，面积为</w:t>
                  </w:r>
                  <w:r>
                    <w:rPr>
                      <w:rFonts w:hint="eastAsia"/>
                      <w:bCs/>
                      <w:color w:val="auto"/>
                      <w:szCs w:val="21"/>
                      <w:highlight w:val="none"/>
                      <w:lang w:val="en-US" w:eastAsia="zh-CN"/>
                    </w:rPr>
                    <w:t>10</w:t>
                  </w:r>
                  <w:r>
                    <w:rPr>
                      <w:rFonts w:hint="eastAsia"/>
                      <w:bCs/>
                      <w:color w:val="auto"/>
                      <w:szCs w:val="21"/>
                      <w:highlight w:val="none"/>
                    </w:rPr>
                    <w:t>m</w:t>
                  </w:r>
                  <w:r>
                    <w:rPr>
                      <w:rFonts w:hint="eastAsia"/>
                      <w:bCs/>
                      <w:color w:val="auto"/>
                      <w:szCs w:val="21"/>
                      <w:highlight w:val="none"/>
                      <w:vertAlign w:val="superscript"/>
                    </w:rPr>
                    <w:t>2</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default" w:eastAsia="宋体"/>
                      <w:bCs/>
                      <w:color w:val="auto"/>
                      <w:szCs w:val="21"/>
                      <w:highlight w:val="none"/>
                      <w:lang w:val="en-US" w:eastAsia="zh-CN"/>
                    </w:rPr>
                  </w:pPr>
                  <w:r>
                    <w:rPr>
                      <w:rFonts w:hint="eastAsia" w:eastAsia="宋体"/>
                      <w:bCs/>
                      <w:color w:val="auto"/>
                      <w:szCs w:val="21"/>
                      <w:highlight w:val="none"/>
                      <w:lang w:val="en-US" w:eastAsia="zh-CN"/>
                    </w:rPr>
                    <w:t>/</w:t>
                  </w:r>
                </w:p>
              </w:tc>
              <w:tc>
                <w:tcPr>
                  <w:tcW w:w="51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21" w:type="pct"/>
                  <w:vMerge w:val="continue"/>
                  <w:noWrap w:val="0"/>
                  <w:vAlign w:val="center"/>
                </w:tcPr>
                <w:p>
                  <w:pPr>
                    <w:adjustRightInd w:val="0"/>
                    <w:snapToGrid w:val="0"/>
                    <w:jc w:val="center"/>
                    <w:rPr>
                      <w:bCs/>
                      <w:color w:val="auto"/>
                      <w:szCs w:val="21"/>
                      <w:highlight w:val="none"/>
                    </w:rPr>
                  </w:pPr>
                </w:p>
              </w:tc>
              <w:tc>
                <w:tcPr>
                  <w:tcW w:w="695" w:type="pct"/>
                  <w:vMerge w:val="continue"/>
                  <w:noWrap w:val="0"/>
                  <w:vAlign w:val="center"/>
                </w:tcPr>
                <w:p>
                  <w:pPr>
                    <w:adjustRightInd w:val="0"/>
                    <w:snapToGrid w:val="0"/>
                    <w:jc w:val="center"/>
                    <w:rPr>
                      <w:bCs/>
                      <w:color w:val="auto"/>
                      <w:szCs w:val="21"/>
                      <w:highlight w:val="none"/>
                    </w:rPr>
                  </w:pPr>
                </w:p>
              </w:tc>
              <w:tc>
                <w:tcPr>
                  <w:tcW w:w="2059" w:type="pct"/>
                  <w:noWrap w:val="0"/>
                  <w:vAlign w:val="center"/>
                </w:tcPr>
                <w:p>
                  <w:pPr>
                    <w:adjustRightInd w:val="0"/>
                    <w:snapToGrid w:val="0"/>
                    <w:jc w:val="center"/>
                    <w:rPr>
                      <w:rFonts w:ascii="Times New Roman" w:hAnsi="Times New Roman" w:eastAsia="宋体"/>
                      <w:color w:val="auto"/>
                      <w:kern w:val="2"/>
                      <w:sz w:val="21"/>
                      <w:szCs w:val="24"/>
                      <w:highlight w:val="none"/>
                      <w:lang w:val="en-US" w:eastAsia="zh-CN" w:bidi="ar-SA"/>
                    </w:rPr>
                  </w:pPr>
                  <w:r>
                    <w:rPr>
                      <w:rFonts w:hint="eastAsia"/>
                      <w:bCs/>
                      <w:color w:val="auto"/>
                      <w:szCs w:val="21"/>
                      <w:highlight w:val="none"/>
                    </w:rPr>
                    <w:t>设置危废暂存间，位于厂区东侧，面积为</w:t>
                  </w:r>
                  <w:r>
                    <w:rPr>
                      <w:rFonts w:hint="eastAsia"/>
                      <w:bCs/>
                      <w:color w:val="auto"/>
                      <w:szCs w:val="21"/>
                      <w:highlight w:val="none"/>
                      <w:lang w:val="en-US" w:eastAsia="zh-CN"/>
                    </w:rPr>
                    <w:t>10</w:t>
                  </w:r>
                  <w:r>
                    <w:rPr>
                      <w:rFonts w:hint="eastAsia"/>
                      <w:bCs/>
                      <w:color w:val="auto"/>
                      <w:szCs w:val="21"/>
                      <w:highlight w:val="none"/>
                    </w:rPr>
                    <w:t>m</w:t>
                  </w:r>
                  <w:r>
                    <w:rPr>
                      <w:rFonts w:hint="eastAsia"/>
                      <w:bCs/>
                      <w:color w:val="auto"/>
                      <w:szCs w:val="21"/>
                      <w:highlight w:val="none"/>
                      <w:vertAlign w:val="superscript"/>
                    </w:rPr>
                    <w:t>2</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环境风险</w:t>
                  </w:r>
                </w:p>
              </w:tc>
              <w:tc>
                <w:tcPr>
                  <w:tcW w:w="518" w:type="pct"/>
                  <w:noWrap w:val="0"/>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noWrap w:val="0"/>
                  <w:vAlign w:val="center"/>
                </w:tcPr>
                <w:p>
                  <w:pPr>
                    <w:adjustRightInd w:val="0"/>
                    <w:snapToGrid w:val="0"/>
                    <w:jc w:val="center"/>
                    <w:rPr>
                      <w:bCs/>
                      <w:color w:val="auto"/>
                      <w:szCs w:val="21"/>
                      <w:highlight w:val="none"/>
                    </w:rPr>
                  </w:pPr>
                </w:p>
              </w:tc>
              <w:tc>
                <w:tcPr>
                  <w:tcW w:w="695" w:type="pct"/>
                  <w:noWrap w:val="0"/>
                  <w:vAlign w:val="center"/>
                </w:tcPr>
                <w:p>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地下水防治措施</w:t>
                  </w:r>
                </w:p>
              </w:tc>
              <w:tc>
                <w:tcPr>
                  <w:tcW w:w="2059" w:type="pct"/>
                  <w:noWrap w:val="0"/>
                  <w:vAlign w:val="center"/>
                </w:tcPr>
                <w:p>
                  <w:pPr>
                    <w:adjustRightInd w:val="0"/>
                    <w:snapToGrid w:val="0"/>
                    <w:jc w:val="center"/>
                    <w:rPr>
                      <w:rFonts w:hint="eastAsia" w:eastAsia="宋体"/>
                      <w:bCs/>
                      <w:color w:val="auto"/>
                      <w:szCs w:val="21"/>
                      <w:highlight w:val="none"/>
                      <w:lang w:eastAsia="zh-CN"/>
                    </w:rPr>
                  </w:pPr>
                  <w:r>
                    <w:rPr>
                      <w:rFonts w:hint="eastAsia" w:eastAsia="宋体"/>
                      <w:bCs/>
                      <w:color w:val="auto"/>
                      <w:szCs w:val="21"/>
                      <w:highlight w:val="none"/>
                      <w:lang w:eastAsia="zh-CN"/>
                    </w:rPr>
                    <w:t>重点防渗区：危废暂存间、</w:t>
                  </w:r>
                  <w:r>
                    <w:rPr>
                      <w:rFonts w:hint="eastAsia"/>
                      <w:bCs/>
                      <w:color w:val="auto"/>
                      <w:szCs w:val="21"/>
                      <w:highlight w:val="none"/>
                      <w:lang w:val="en-US" w:eastAsia="zh-CN"/>
                    </w:rPr>
                    <w:t>污水处理站加药间</w:t>
                  </w:r>
                  <w:r>
                    <w:rPr>
                      <w:rFonts w:hint="eastAsia" w:eastAsia="宋体"/>
                      <w:bCs/>
                      <w:color w:val="auto"/>
                      <w:szCs w:val="21"/>
                      <w:highlight w:val="none"/>
                      <w:lang w:eastAsia="zh-CN"/>
                    </w:rPr>
                    <w:t>。</w:t>
                  </w:r>
                </w:p>
                <w:p>
                  <w:pPr>
                    <w:adjustRightInd w:val="0"/>
                    <w:snapToGrid w:val="0"/>
                    <w:jc w:val="center"/>
                    <w:rPr>
                      <w:rFonts w:hint="eastAsia" w:eastAsia="宋体"/>
                      <w:bCs/>
                      <w:color w:val="auto"/>
                      <w:szCs w:val="21"/>
                      <w:highlight w:val="none"/>
                      <w:lang w:eastAsia="zh-CN"/>
                    </w:rPr>
                  </w:pPr>
                  <w:r>
                    <w:rPr>
                      <w:rFonts w:hint="eastAsia" w:eastAsia="宋体"/>
                      <w:bCs/>
                      <w:color w:val="auto"/>
                      <w:szCs w:val="21"/>
                      <w:highlight w:val="none"/>
                      <w:lang w:eastAsia="zh-CN"/>
                    </w:rPr>
                    <w:t>一般防渗区：生产车间、一般固废暂存间、预处理房、</w:t>
                  </w:r>
                  <w:r>
                    <w:rPr>
                      <w:rFonts w:hint="eastAsia" w:eastAsia="宋体"/>
                      <w:bCs/>
                      <w:color w:val="auto"/>
                      <w:szCs w:val="21"/>
                      <w:highlight w:val="none"/>
                      <w:lang w:val="en-US" w:eastAsia="zh-CN"/>
                    </w:rPr>
                    <w:t>污水处理站</w:t>
                  </w:r>
                  <w:r>
                    <w:rPr>
                      <w:rFonts w:hint="eastAsia"/>
                      <w:bCs/>
                      <w:color w:val="auto"/>
                      <w:szCs w:val="21"/>
                      <w:highlight w:val="none"/>
                      <w:lang w:val="en-US" w:eastAsia="zh-CN"/>
                    </w:rPr>
                    <w:t>、</w:t>
                  </w:r>
                  <w:r>
                    <w:rPr>
                      <w:rFonts w:hint="eastAsia"/>
                      <w:color w:val="auto"/>
                      <w:szCs w:val="21"/>
                      <w:highlight w:val="none"/>
                      <w:lang w:val="en-US" w:eastAsia="zh-CN"/>
                    </w:rPr>
                    <w:t>预处理池、隔油池和污水</w:t>
                  </w:r>
                  <w:r>
                    <w:rPr>
                      <w:rFonts w:hint="eastAsia"/>
                      <w:color w:val="auto"/>
                      <w:szCs w:val="21"/>
                      <w:highlight w:val="none"/>
                    </w:rPr>
                    <w:t>管道</w:t>
                  </w:r>
                  <w:r>
                    <w:rPr>
                      <w:rFonts w:hint="eastAsia" w:eastAsia="宋体"/>
                      <w:bCs/>
                      <w:color w:val="auto"/>
                      <w:szCs w:val="21"/>
                      <w:highlight w:val="none"/>
                      <w:lang w:eastAsia="zh-CN"/>
                    </w:rPr>
                    <w:t>。</w:t>
                  </w:r>
                </w:p>
                <w:p>
                  <w:pPr>
                    <w:adjustRightInd w:val="0"/>
                    <w:snapToGrid w:val="0"/>
                    <w:jc w:val="center"/>
                    <w:rPr>
                      <w:rFonts w:hint="eastAsia" w:eastAsia="宋体"/>
                      <w:bCs/>
                      <w:color w:val="auto"/>
                      <w:szCs w:val="21"/>
                      <w:highlight w:val="none"/>
                      <w:lang w:eastAsia="zh-CN"/>
                    </w:rPr>
                  </w:pPr>
                  <w:r>
                    <w:rPr>
                      <w:rFonts w:hint="eastAsia" w:eastAsia="宋体"/>
                      <w:bCs/>
                      <w:color w:val="auto"/>
                      <w:szCs w:val="21"/>
                      <w:highlight w:val="none"/>
                      <w:lang w:eastAsia="zh-CN"/>
                    </w:rPr>
                    <w:t>简单防渗区：除重点防渗区和一般防渗区以外的其他区域</w:t>
                  </w:r>
                </w:p>
              </w:tc>
              <w:tc>
                <w:tcPr>
                  <w:tcW w:w="657" w:type="pct"/>
                  <w:vMerge w:val="continue"/>
                  <w:noWrap w:val="0"/>
                  <w:vAlign w:val="center"/>
                </w:tcPr>
                <w:p>
                  <w:pPr>
                    <w:adjustRightInd w:val="0"/>
                    <w:snapToGrid w:val="0"/>
                    <w:jc w:val="center"/>
                    <w:rPr>
                      <w:bCs/>
                      <w:color w:val="auto"/>
                      <w:szCs w:val="21"/>
                      <w:highlight w:val="none"/>
                    </w:rPr>
                  </w:pPr>
                </w:p>
              </w:tc>
              <w:tc>
                <w:tcPr>
                  <w:tcW w:w="648" w:type="pct"/>
                  <w:noWrap w:val="0"/>
                  <w:vAlign w:val="center"/>
                </w:tcPr>
                <w:p>
                  <w:pPr>
                    <w:adjustRightInd w:val="0"/>
                    <w:snapToGrid w:val="0"/>
                    <w:jc w:val="center"/>
                    <w:rPr>
                      <w:rFonts w:hint="default" w:eastAsia="宋体"/>
                      <w:bCs/>
                      <w:color w:val="auto"/>
                      <w:szCs w:val="21"/>
                      <w:highlight w:val="none"/>
                      <w:lang w:val="en-US" w:eastAsia="zh-CN"/>
                    </w:rPr>
                  </w:pPr>
                  <w:r>
                    <w:rPr>
                      <w:rFonts w:hint="eastAsia" w:eastAsia="宋体"/>
                      <w:bCs/>
                      <w:color w:val="auto"/>
                      <w:szCs w:val="21"/>
                      <w:highlight w:val="none"/>
                      <w:lang w:val="en-US" w:eastAsia="zh-CN"/>
                    </w:rPr>
                    <w:t>/</w:t>
                  </w:r>
                </w:p>
              </w:tc>
              <w:tc>
                <w:tcPr>
                  <w:tcW w:w="518" w:type="pct"/>
                  <w:noWrap w:val="0"/>
                  <w:vAlign w:val="center"/>
                </w:tcPr>
                <w:p>
                  <w:pPr>
                    <w:adjustRightInd w:val="0"/>
                    <w:snapToGrid w:val="0"/>
                    <w:jc w:val="center"/>
                    <w:rPr>
                      <w:rFonts w:hint="default" w:eastAsia="宋体"/>
                      <w:bCs/>
                      <w:color w:val="auto"/>
                      <w:szCs w:val="21"/>
                      <w:highlight w:val="none"/>
                      <w:lang w:val="en-US" w:eastAsia="zh-CN"/>
                    </w:rPr>
                  </w:pPr>
                  <w:r>
                    <w:rPr>
                      <w:rFonts w:hint="eastAsia" w:eastAsia="宋体"/>
                      <w:bCs/>
                      <w:color w:val="auto"/>
                      <w:szCs w:val="21"/>
                      <w:highlight w:val="none"/>
                      <w:lang w:val="en-US" w:eastAsia="zh-CN"/>
                    </w:rPr>
                    <w:t>新建</w:t>
                  </w:r>
                  <w:r>
                    <w:rPr>
                      <w:rFonts w:hint="eastAsia"/>
                      <w:bCs/>
                      <w:color w:val="auto"/>
                      <w:szCs w:val="21"/>
                      <w:highlight w:val="none"/>
                      <w:lang w:val="en-US" w:eastAsia="zh-CN"/>
                    </w:rPr>
                    <w:t>+依托+整改新增</w:t>
                  </w:r>
                </w:p>
              </w:tc>
            </w:tr>
          </w:tbl>
          <w:p>
            <w:pPr>
              <w:adjustRightInd w:val="0"/>
              <w:snapToGrid w:val="0"/>
              <w:spacing w:line="360" w:lineRule="auto"/>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5、依托可行性分析</w:t>
            </w:r>
          </w:p>
          <w:p>
            <w:pPr>
              <w:pStyle w:val="41"/>
              <w:bidi w:val="0"/>
              <w:rPr>
                <w:b/>
                <w:bCs/>
                <w:color w:val="auto"/>
                <w:szCs w:val="21"/>
                <w:highlight w:val="none"/>
                <w:shd w:val="clear" w:color="auto" w:fill="FFFFFF"/>
              </w:rPr>
            </w:pPr>
            <w:r>
              <w:rPr>
                <w:b/>
                <w:bCs/>
                <w:color w:val="auto"/>
                <w:szCs w:val="21"/>
                <w:highlight w:val="none"/>
                <w:shd w:val="clear" w:color="auto" w:fill="FFFFFF"/>
              </w:rPr>
              <w:t>表2-</w:t>
            </w:r>
            <w:r>
              <w:rPr>
                <w:rFonts w:hint="eastAsia"/>
                <w:b/>
                <w:bCs/>
                <w:color w:val="auto"/>
                <w:szCs w:val="21"/>
                <w:highlight w:val="none"/>
                <w:shd w:val="clear" w:color="auto" w:fill="FFFFFF"/>
                <w:lang w:val="en-US" w:eastAsia="zh-CN"/>
              </w:rPr>
              <w:t>4</w:t>
            </w:r>
            <w:r>
              <w:rPr>
                <w:b/>
                <w:bCs/>
                <w:color w:val="auto"/>
                <w:szCs w:val="21"/>
                <w:highlight w:val="none"/>
                <w:shd w:val="clear" w:color="auto" w:fill="FFFFFF"/>
              </w:rPr>
              <w:t xml:space="preserve">  项目</w:t>
            </w:r>
            <w:r>
              <w:rPr>
                <w:rFonts w:hint="eastAsia"/>
                <w:b/>
                <w:bCs/>
                <w:color w:val="auto"/>
                <w:szCs w:val="21"/>
                <w:highlight w:val="none"/>
                <w:shd w:val="clear" w:color="auto" w:fill="FFFFFF"/>
              </w:rPr>
              <w:t>依托可行性分析</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3425"/>
              <w:gridCol w:w="3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noWrap w:val="0"/>
                  <w:vAlign w:val="center"/>
                </w:tcPr>
                <w:p>
                  <w:pPr>
                    <w:jc w:val="center"/>
                    <w:rPr>
                      <w:b/>
                      <w:bCs/>
                      <w:color w:val="auto"/>
                      <w:szCs w:val="21"/>
                      <w:highlight w:val="none"/>
                    </w:rPr>
                  </w:pPr>
                  <w:r>
                    <w:rPr>
                      <w:rFonts w:hint="eastAsia"/>
                      <w:b/>
                      <w:bCs/>
                      <w:color w:val="auto"/>
                      <w:szCs w:val="21"/>
                      <w:highlight w:val="none"/>
                    </w:rPr>
                    <w:t>依托设施名称</w:t>
                  </w:r>
                </w:p>
              </w:tc>
              <w:tc>
                <w:tcPr>
                  <w:tcW w:w="2037" w:type="pct"/>
                  <w:noWrap w:val="0"/>
                  <w:vAlign w:val="center"/>
                </w:tcPr>
                <w:p>
                  <w:pPr>
                    <w:jc w:val="center"/>
                    <w:rPr>
                      <w:b/>
                      <w:bCs/>
                      <w:color w:val="auto"/>
                      <w:szCs w:val="21"/>
                      <w:highlight w:val="none"/>
                    </w:rPr>
                  </w:pPr>
                  <w:r>
                    <w:rPr>
                      <w:rFonts w:hint="eastAsia"/>
                      <w:b/>
                      <w:bCs/>
                      <w:color w:val="auto"/>
                      <w:szCs w:val="21"/>
                      <w:highlight w:val="none"/>
                    </w:rPr>
                    <w:t>现有情况</w:t>
                  </w:r>
                </w:p>
              </w:tc>
              <w:tc>
                <w:tcPr>
                  <w:tcW w:w="2037" w:type="pct"/>
                  <w:noWrap w:val="0"/>
                  <w:vAlign w:val="center"/>
                </w:tcPr>
                <w:p>
                  <w:pPr>
                    <w:jc w:val="center"/>
                    <w:rPr>
                      <w:b/>
                      <w:bCs/>
                      <w:color w:val="auto"/>
                      <w:szCs w:val="21"/>
                      <w:highlight w:val="none"/>
                    </w:rPr>
                  </w:pPr>
                  <w:r>
                    <w:rPr>
                      <w:rFonts w:hint="eastAsia"/>
                      <w:b/>
                      <w:bCs/>
                      <w:color w:val="auto"/>
                      <w:szCs w:val="21"/>
                      <w:highlight w:val="none"/>
                    </w:rPr>
                    <w:t>依托符合性分析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污水处理站</w:t>
                  </w:r>
                </w:p>
              </w:tc>
              <w:tc>
                <w:tcPr>
                  <w:tcW w:w="2037"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现有项目已建</w:t>
                  </w:r>
                  <w:r>
                    <w:rPr>
                      <w:rFonts w:hint="eastAsia"/>
                      <w:color w:val="auto"/>
                      <w:szCs w:val="21"/>
                      <w:highlight w:val="none"/>
                    </w:rPr>
                    <w:t>污水处理站</w:t>
                  </w:r>
                  <w:r>
                    <w:rPr>
                      <w:rFonts w:hint="eastAsia"/>
                      <w:color w:val="auto"/>
                      <w:szCs w:val="21"/>
                      <w:highlight w:val="none"/>
                      <w:lang w:val="en-US" w:eastAsia="zh-CN"/>
                    </w:rPr>
                    <w:t>一座，</w:t>
                  </w:r>
                  <w:r>
                    <w:rPr>
                      <w:rFonts w:hint="eastAsia"/>
                      <w:color w:val="auto"/>
                      <w:szCs w:val="21"/>
                      <w:highlight w:val="none"/>
                    </w:rPr>
                    <w:t>处理规模为500m</w:t>
                  </w:r>
                  <w:r>
                    <w:rPr>
                      <w:rFonts w:hint="eastAsia"/>
                      <w:color w:val="auto"/>
                      <w:szCs w:val="21"/>
                      <w:highlight w:val="none"/>
                      <w:vertAlign w:val="superscript"/>
                    </w:rPr>
                    <w:t>3</w:t>
                  </w:r>
                  <w:r>
                    <w:rPr>
                      <w:rFonts w:hint="eastAsia"/>
                      <w:color w:val="auto"/>
                      <w:szCs w:val="21"/>
                      <w:highlight w:val="none"/>
                    </w:rPr>
                    <w:t>/d，处理工艺为“格栅渠+调节池+气浮+厌氧池+A/O池+二沉池+排放渠”工艺</w:t>
                  </w:r>
                  <w:r>
                    <w:rPr>
                      <w:rFonts w:hint="eastAsia"/>
                      <w:color w:val="auto"/>
                      <w:szCs w:val="21"/>
                      <w:highlight w:val="none"/>
                      <w:lang w:eastAsia="zh-CN"/>
                    </w:rPr>
                    <w:t>，</w:t>
                  </w:r>
                  <w:r>
                    <w:rPr>
                      <w:rFonts w:hint="eastAsia"/>
                      <w:color w:val="auto"/>
                      <w:szCs w:val="21"/>
                      <w:highlight w:val="none"/>
                      <w:lang w:val="en-US" w:eastAsia="zh-CN"/>
                    </w:rPr>
                    <w:t>目前已使用不超过250</w:t>
                  </w:r>
                  <w:r>
                    <w:rPr>
                      <w:rFonts w:hint="eastAsia"/>
                      <w:color w:val="auto"/>
                      <w:szCs w:val="21"/>
                      <w:highlight w:val="none"/>
                    </w:rPr>
                    <w:t>m</w:t>
                  </w:r>
                  <w:r>
                    <w:rPr>
                      <w:rFonts w:hint="eastAsia"/>
                      <w:color w:val="auto"/>
                      <w:szCs w:val="21"/>
                      <w:highlight w:val="none"/>
                      <w:vertAlign w:val="superscript"/>
                    </w:rPr>
                    <w:t>3</w:t>
                  </w:r>
                  <w:r>
                    <w:rPr>
                      <w:rFonts w:hint="eastAsia"/>
                      <w:color w:val="auto"/>
                      <w:szCs w:val="21"/>
                      <w:highlight w:val="none"/>
                    </w:rPr>
                    <w:t>/d</w:t>
                  </w:r>
                  <w:r>
                    <w:rPr>
                      <w:rFonts w:hint="eastAsia"/>
                      <w:color w:val="auto"/>
                      <w:szCs w:val="21"/>
                      <w:highlight w:val="none"/>
                      <w:lang w:val="en-US" w:eastAsia="zh-CN"/>
                    </w:rPr>
                    <w:t>的处理能力</w:t>
                  </w:r>
                  <w:r>
                    <w:rPr>
                      <w:rFonts w:hint="eastAsia"/>
                      <w:color w:val="auto"/>
                      <w:szCs w:val="21"/>
                      <w:highlight w:val="none"/>
                      <w:lang w:eastAsia="zh-CN"/>
                    </w:rPr>
                    <w:t>，</w:t>
                  </w:r>
                  <w:r>
                    <w:rPr>
                      <w:rFonts w:hint="eastAsia"/>
                      <w:color w:val="auto"/>
                      <w:szCs w:val="21"/>
                      <w:highlight w:val="none"/>
                      <w:lang w:val="en-US" w:eastAsia="zh-CN"/>
                    </w:rPr>
                    <w:t>剩余处理容量为250</w:t>
                  </w:r>
                  <w:r>
                    <w:rPr>
                      <w:rFonts w:hint="eastAsia"/>
                      <w:color w:val="auto"/>
                      <w:szCs w:val="21"/>
                      <w:highlight w:val="none"/>
                    </w:rPr>
                    <w:t>m</w:t>
                  </w:r>
                  <w:r>
                    <w:rPr>
                      <w:rFonts w:hint="eastAsia"/>
                      <w:color w:val="auto"/>
                      <w:szCs w:val="21"/>
                      <w:highlight w:val="none"/>
                      <w:vertAlign w:val="superscript"/>
                    </w:rPr>
                    <w:t>3</w:t>
                  </w:r>
                  <w:r>
                    <w:rPr>
                      <w:rFonts w:hint="eastAsia"/>
                      <w:color w:val="auto"/>
                      <w:szCs w:val="21"/>
                      <w:highlight w:val="none"/>
                    </w:rPr>
                    <w:t>/d</w:t>
                  </w:r>
                  <w:r>
                    <w:rPr>
                      <w:rFonts w:hint="eastAsia"/>
                      <w:color w:val="auto"/>
                      <w:szCs w:val="21"/>
                      <w:highlight w:val="none"/>
                      <w:lang w:eastAsia="zh-CN"/>
                    </w:rPr>
                    <w:t>。</w:t>
                  </w:r>
                </w:p>
              </w:tc>
              <w:tc>
                <w:tcPr>
                  <w:tcW w:w="2037" w:type="pct"/>
                  <w:noWrap w:val="0"/>
                  <w:vAlign w:val="center"/>
                </w:tcPr>
                <w:p>
                  <w:pPr>
                    <w:jc w:val="center"/>
                    <w:rPr>
                      <w:rFonts w:hint="eastAsia"/>
                      <w:color w:val="auto"/>
                      <w:lang w:val="en-US" w:eastAsia="zh-CN"/>
                    </w:rPr>
                  </w:pPr>
                  <w:r>
                    <w:rPr>
                      <w:rFonts w:hint="eastAsia"/>
                      <w:color w:val="auto"/>
                      <w:lang w:val="en-US" w:eastAsia="zh-CN"/>
                    </w:rPr>
                    <w:t>本项目新增排入污水处理站的废水量为97.17m</w:t>
                  </w:r>
                  <w:r>
                    <w:rPr>
                      <w:rFonts w:hint="eastAsia"/>
                      <w:color w:val="auto"/>
                      <w:vertAlign w:val="superscript"/>
                      <w:lang w:val="en-US" w:eastAsia="zh-CN"/>
                    </w:rPr>
                    <w:t>3</w:t>
                  </w:r>
                  <w:r>
                    <w:rPr>
                      <w:rFonts w:hint="eastAsia"/>
                      <w:color w:val="auto"/>
                      <w:lang w:val="en-US" w:eastAsia="zh-CN"/>
                    </w:rPr>
                    <w:t>/d，剩余处理容量完全能够满足本项目的使用，且现有项目的水质与本项目类似，因此，本项目依托可行。</w:t>
                  </w:r>
                </w:p>
                <w:p>
                  <w:pPr>
                    <w:jc w:val="center"/>
                    <w:rPr>
                      <w:rFonts w:hint="default"/>
                      <w:color w:val="auto"/>
                      <w:lang w:val="en-US" w:eastAsia="zh-CN"/>
                    </w:rPr>
                  </w:pPr>
                  <w:r>
                    <w:rPr>
                      <w:rFonts w:hint="eastAsia" w:ascii="Times New Roman" w:hAnsi="Times New Roman" w:eastAsia="宋体" w:cs="Times New Roman"/>
                      <w:b/>
                      <w:bCs/>
                      <w:color w:val="auto"/>
                      <w:kern w:val="2"/>
                      <w:sz w:val="21"/>
                      <w:szCs w:val="24"/>
                      <w:highlight w:val="none"/>
                      <w:lang w:val="en-US" w:eastAsia="zh-CN" w:bidi="ar-SA"/>
                    </w:rPr>
                    <w:t>根据</w:t>
                  </w:r>
                  <w:r>
                    <w:rPr>
                      <w:rFonts w:hint="eastAsia" w:eastAsia="宋体" w:cs="Times New Roman"/>
                      <w:b/>
                      <w:bCs/>
                      <w:color w:val="auto"/>
                      <w:kern w:val="2"/>
                      <w:sz w:val="21"/>
                      <w:szCs w:val="24"/>
                      <w:highlight w:val="none"/>
                      <w:lang w:val="en-US" w:eastAsia="zh-CN" w:bidi="ar-SA"/>
                    </w:rPr>
                    <w:t>业主方提供的</w:t>
                  </w:r>
                  <w:r>
                    <w:rPr>
                      <w:rFonts w:hint="eastAsia" w:cs="Times New Roman"/>
                      <w:b/>
                      <w:bCs/>
                      <w:color w:val="auto"/>
                      <w:kern w:val="2"/>
                      <w:sz w:val="21"/>
                      <w:szCs w:val="24"/>
                      <w:highlight w:val="none"/>
                      <w:lang w:val="en-US" w:eastAsia="zh-CN" w:bidi="ar-SA"/>
                    </w:rPr>
                    <w:t>2022年2月~11月的</w:t>
                  </w:r>
                  <w:r>
                    <w:rPr>
                      <w:rFonts w:hint="eastAsia" w:eastAsia="宋体" w:cs="Times New Roman"/>
                      <w:b/>
                      <w:bCs/>
                      <w:color w:val="auto"/>
                      <w:kern w:val="2"/>
                      <w:sz w:val="21"/>
                      <w:szCs w:val="24"/>
                      <w:highlight w:val="none"/>
                      <w:lang w:val="en-US" w:eastAsia="zh-CN" w:bidi="ar-SA"/>
                    </w:rPr>
                    <w:t>在线监测数据，</w:t>
                  </w:r>
                  <w:r>
                    <w:rPr>
                      <w:rFonts w:hint="eastAsia" w:cs="Times New Roman"/>
                      <w:b/>
                      <w:bCs/>
                      <w:color w:val="auto"/>
                      <w:kern w:val="2"/>
                      <w:sz w:val="21"/>
                      <w:szCs w:val="24"/>
                      <w:highlight w:val="none"/>
                      <w:lang w:val="en-US" w:eastAsia="zh-CN" w:bidi="ar-SA"/>
                    </w:rPr>
                    <w:t>废水日均流量最大为200m</w:t>
                  </w:r>
                  <w:r>
                    <w:rPr>
                      <w:rFonts w:hint="eastAsia" w:cs="Times New Roman"/>
                      <w:b/>
                      <w:bCs/>
                      <w:color w:val="auto"/>
                      <w:kern w:val="2"/>
                      <w:sz w:val="21"/>
                      <w:szCs w:val="24"/>
                      <w:highlight w:val="none"/>
                      <w:vertAlign w:val="superscript"/>
                      <w:lang w:val="en-US" w:eastAsia="zh-CN" w:bidi="ar-SA"/>
                    </w:rPr>
                    <w:t>3</w:t>
                  </w:r>
                  <w:r>
                    <w:rPr>
                      <w:rFonts w:hint="eastAsia" w:cs="Times New Roman"/>
                      <w:b/>
                      <w:bCs/>
                      <w:color w:val="auto"/>
                      <w:kern w:val="2"/>
                      <w:sz w:val="21"/>
                      <w:szCs w:val="24"/>
                      <w:highlight w:val="none"/>
                      <w:lang w:val="en-US" w:eastAsia="zh-CN" w:bidi="ar-SA"/>
                    </w:rPr>
                    <w:t>/d，详见附件。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预处理池</w:t>
                  </w:r>
                </w:p>
              </w:tc>
              <w:tc>
                <w:tcPr>
                  <w:tcW w:w="2037" w:type="pct"/>
                  <w:noWrap w:val="0"/>
                  <w:vAlign w:val="center"/>
                </w:tcPr>
                <w:p>
                  <w:pPr>
                    <w:jc w:val="center"/>
                    <w:rPr>
                      <w:rFonts w:hint="default"/>
                      <w:color w:val="auto"/>
                      <w:szCs w:val="21"/>
                      <w:highlight w:val="none"/>
                      <w:vertAlign w:val="baseline"/>
                      <w:lang w:val="en-US" w:eastAsia="zh-CN"/>
                    </w:rPr>
                  </w:pPr>
                  <w:r>
                    <w:rPr>
                      <w:rFonts w:hint="eastAsia"/>
                      <w:color w:val="auto"/>
                      <w:szCs w:val="21"/>
                      <w:highlight w:val="none"/>
                      <w:lang w:val="en-US" w:eastAsia="zh-CN"/>
                    </w:rPr>
                    <w:t>现有项目已建预处理池一座，容积为约20m</w:t>
                  </w:r>
                  <w:r>
                    <w:rPr>
                      <w:rFonts w:hint="eastAsia"/>
                      <w:color w:val="auto"/>
                      <w:szCs w:val="21"/>
                      <w:highlight w:val="none"/>
                      <w:vertAlign w:val="superscript"/>
                      <w:lang w:val="en-US" w:eastAsia="zh-CN"/>
                    </w:rPr>
                    <w:t>3</w:t>
                  </w:r>
                  <w:r>
                    <w:rPr>
                      <w:rFonts w:hint="eastAsia"/>
                      <w:color w:val="auto"/>
                      <w:szCs w:val="21"/>
                      <w:highlight w:val="none"/>
                      <w:lang w:val="en-US" w:eastAsia="zh-CN"/>
                    </w:rPr>
                    <w:t>，现有项目生活污水经预处理池处理后排入污水处理站，现有项目生活污水产生量为9.6m</w:t>
                  </w:r>
                  <w:r>
                    <w:rPr>
                      <w:rFonts w:hint="eastAsia"/>
                      <w:color w:val="auto"/>
                      <w:szCs w:val="21"/>
                      <w:highlight w:val="none"/>
                      <w:vertAlign w:val="superscript"/>
                      <w:lang w:val="en-US" w:eastAsia="zh-CN"/>
                    </w:rPr>
                    <w:t>3</w:t>
                  </w:r>
                  <w:r>
                    <w:rPr>
                      <w:rFonts w:hint="eastAsia"/>
                      <w:color w:val="auto"/>
                      <w:szCs w:val="21"/>
                      <w:highlight w:val="none"/>
                      <w:lang w:val="en-US" w:eastAsia="zh-CN"/>
                    </w:rPr>
                    <w:t>/d，预处理池剩余容量为10.4m</w:t>
                  </w:r>
                  <w:r>
                    <w:rPr>
                      <w:rFonts w:hint="eastAsia"/>
                      <w:color w:val="auto"/>
                      <w:szCs w:val="21"/>
                      <w:highlight w:val="none"/>
                      <w:vertAlign w:val="superscript"/>
                      <w:lang w:val="en-US" w:eastAsia="zh-CN"/>
                    </w:rPr>
                    <w:t>3</w:t>
                  </w:r>
                  <w:r>
                    <w:rPr>
                      <w:rFonts w:hint="eastAsia"/>
                      <w:color w:val="auto"/>
                      <w:szCs w:val="21"/>
                      <w:highlight w:val="none"/>
                      <w:vertAlign w:val="baseline"/>
                      <w:lang w:val="en-US" w:eastAsia="zh-CN"/>
                    </w:rPr>
                    <w:t>。</w:t>
                  </w:r>
                </w:p>
              </w:tc>
              <w:tc>
                <w:tcPr>
                  <w:tcW w:w="2037" w:type="pct"/>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本项目新增生活污水排放量为6.8m</w:t>
                  </w:r>
                  <w:r>
                    <w:rPr>
                      <w:rFonts w:hint="eastAsia"/>
                      <w:color w:val="auto"/>
                      <w:szCs w:val="21"/>
                      <w:highlight w:val="none"/>
                      <w:vertAlign w:val="superscript"/>
                      <w:lang w:val="en-US" w:eastAsia="zh-CN"/>
                    </w:rPr>
                    <w:t>3</w:t>
                  </w:r>
                  <w:r>
                    <w:rPr>
                      <w:rFonts w:hint="eastAsia"/>
                      <w:color w:val="auto"/>
                      <w:szCs w:val="21"/>
                      <w:highlight w:val="none"/>
                      <w:lang w:val="en-US" w:eastAsia="zh-CN"/>
                    </w:rPr>
                    <w:t>/d，现有项目预处理池剩余容量满足本项目使用需要。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食堂和食堂油烟净化装置、排气筒</w:t>
                  </w:r>
                </w:p>
              </w:tc>
              <w:tc>
                <w:tcPr>
                  <w:tcW w:w="2037"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现有项目已建食堂，食堂油烟经油烟净化器处理后通过排气筒通往楼顶排放。</w:t>
                  </w:r>
                </w:p>
              </w:tc>
              <w:tc>
                <w:tcPr>
                  <w:tcW w:w="2037"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本项目新增食堂油烟排放量为0.002t/a，排放浓度为0.1213mg/m</w:t>
                  </w:r>
                  <w:r>
                    <w:rPr>
                      <w:rFonts w:hint="eastAsia"/>
                      <w:color w:val="auto"/>
                      <w:szCs w:val="21"/>
                      <w:highlight w:val="none"/>
                      <w:vertAlign w:val="superscript"/>
                    </w:rPr>
                    <w:t>3</w:t>
                  </w:r>
                  <w:r>
                    <w:rPr>
                      <w:rFonts w:hint="eastAsia"/>
                      <w:color w:val="auto"/>
                      <w:szCs w:val="21"/>
                      <w:highlight w:val="none"/>
                    </w:rPr>
                    <w:t>。本项目建成后全厂食堂油烟排放量为0.008t/a，排放浓度为0.4853mg/m</w:t>
                  </w:r>
                  <w:r>
                    <w:rPr>
                      <w:rFonts w:hint="eastAsia"/>
                      <w:color w:val="auto"/>
                      <w:szCs w:val="21"/>
                      <w:highlight w:val="none"/>
                      <w:vertAlign w:val="superscript"/>
                    </w:rPr>
                    <w:t>3</w:t>
                  </w:r>
                  <w:r>
                    <w:rPr>
                      <w:rFonts w:hint="eastAsia"/>
                      <w:color w:val="auto"/>
                      <w:szCs w:val="21"/>
                      <w:highlight w:val="none"/>
                    </w:rPr>
                    <w:t>，</w:t>
                  </w:r>
                  <w:r>
                    <w:rPr>
                      <w:rFonts w:hint="eastAsia"/>
                      <w:color w:val="auto"/>
                      <w:szCs w:val="21"/>
                      <w:highlight w:val="none"/>
                      <w:lang w:val="en-US" w:eastAsia="zh-CN"/>
                    </w:rPr>
                    <w:t>能达标排放，因此，本项目依托现有食堂和食堂油烟处理装置可行。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隔油池</w:t>
                  </w:r>
                </w:p>
              </w:tc>
              <w:tc>
                <w:tcPr>
                  <w:tcW w:w="2037" w:type="pct"/>
                  <w:noWrap w:val="0"/>
                  <w:vAlign w:val="center"/>
                </w:tcPr>
                <w:p>
                  <w:pPr>
                    <w:jc w:val="center"/>
                    <w:rPr>
                      <w:rFonts w:hint="eastAsia"/>
                      <w:color w:val="auto"/>
                      <w:szCs w:val="21"/>
                      <w:highlight w:val="none"/>
                      <w:vertAlign w:val="baseline"/>
                      <w:lang w:val="en-US" w:eastAsia="zh-CN"/>
                    </w:rPr>
                  </w:pPr>
                  <w:r>
                    <w:rPr>
                      <w:rFonts w:hint="eastAsia"/>
                      <w:color w:val="auto"/>
                      <w:szCs w:val="21"/>
                      <w:highlight w:val="none"/>
                      <w:lang w:val="en-US" w:eastAsia="zh-CN"/>
                    </w:rPr>
                    <w:t>现有项目食堂已建隔油池一座，容积约30m</w:t>
                  </w:r>
                  <w:r>
                    <w:rPr>
                      <w:rFonts w:hint="eastAsia"/>
                      <w:color w:val="auto"/>
                      <w:szCs w:val="21"/>
                      <w:highlight w:val="none"/>
                      <w:vertAlign w:val="superscript"/>
                      <w:lang w:val="en-US" w:eastAsia="zh-CN"/>
                    </w:rPr>
                    <w:t>3</w:t>
                  </w:r>
                  <w:r>
                    <w:rPr>
                      <w:rFonts w:hint="eastAsia"/>
                      <w:color w:val="auto"/>
                      <w:szCs w:val="21"/>
                      <w:highlight w:val="none"/>
                      <w:lang w:val="en-US" w:eastAsia="zh-CN"/>
                    </w:rPr>
                    <w:t>，现有项目食堂废水排放量约为4.08m</w:t>
                  </w:r>
                  <w:r>
                    <w:rPr>
                      <w:rFonts w:hint="eastAsia"/>
                      <w:color w:val="auto"/>
                      <w:szCs w:val="21"/>
                      <w:highlight w:val="none"/>
                      <w:vertAlign w:val="superscript"/>
                      <w:lang w:val="en-US" w:eastAsia="zh-CN"/>
                    </w:rPr>
                    <w:t>3</w:t>
                  </w:r>
                  <w:r>
                    <w:rPr>
                      <w:rFonts w:hint="eastAsia"/>
                      <w:color w:val="auto"/>
                      <w:szCs w:val="21"/>
                      <w:highlight w:val="none"/>
                      <w:lang w:val="en-US" w:eastAsia="zh-CN"/>
                    </w:rPr>
                    <w:t>/d，隔油池剩余容量为25.92m</w:t>
                  </w:r>
                  <w:r>
                    <w:rPr>
                      <w:rFonts w:hint="eastAsia"/>
                      <w:color w:val="auto"/>
                      <w:szCs w:val="21"/>
                      <w:highlight w:val="none"/>
                      <w:vertAlign w:val="superscript"/>
                      <w:lang w:val="en-US" w:eastAsia="zh-CN"/>
                    </w:rPr>
                    <w:t>3</w:t>
                  </w:r>
                  <w:r>
                    <w:rPr>
                      <w:rFonts w:hint="eastAsia"/>
                      <w:color w:val="auto"/>
                      <w:szCs w:val="21"/>
                      <w:highlight w:val="none"/>
                      <w:vertAlign w:val="baseline"/>
                      <w:lang w:val="en-US" w:eastAsia="zh-CN"/>
                    </w:rPr>
                    <w:t>。</w:t>
                  </w:r>
                </w:p>
              </w:tc>
              <w:tc>
                <w:tcPr>
                  <w:tcW w:w="2037"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本项目新增食堂废水排放量为1.36m</w:t>
                  </w:r>
                  <w:r>
                    <w:rPr>
                      <w:rFonts w:hint="eastAsia"/>
                      <w:color w:val="auto"/>
                      <w:szCs w:val="21"/>
                      <w:highlight w:val="none"/>
                      <w:vertAlign w:val="superscript"/>
                      <w:lang w:val="en-US" w:eastAsia="zh-CN"/>
                    </w:rPr>
                    <w:t>3</w:t>
                  </w:r>
                  <w:r>
                    <w:rPr>
                      <w:rFonts w:hint="eastAsia"/>
                      <w:color w:val="auto"/>
                      <w:szCs w:val="21"/>
                      <w:highlight w:val="none"/>
                      <w:lang w:val="en-US" w:eastAsia="zh-CN"/>
                    </w:rPr>
                    <w:t>/d，现有项目隔油池剩余容量满足本项目使用需要。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锅炉房、排气筒</w:t>
                  </w:r>
                </w:p>
              </w:tc>
              <w:tc>
                <w:tcPr>
                  <w:tcW w:w="2037"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现有项目已建锅炉房，配置2台燃气锅炉，一用一备，均为6t/h，2台锅炉的分别设置一根10m的排气筒（DA001、DA004）。现有项目使用一台锅炉，天然气燃烧废气经10m高的排气筒排放（DA001）</w:t>
                  </w:r>
                </w:p>
              </w:tc>
              <w:tc>
                <w:tcPr>
                  <w:tcW w:w="2037"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现有项目使用的锅炉未达到满负荷运行，剩余容量满足本项目的使用需求。本项目依托现有项目使用的锅炉，产生的天然气燃烧废气经10m高的排气筒排放（DA001），锅炉及排气筒均依托可行。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污水处理站加药间</w:t>
                  </w:r>
                </w:p>
              </w:tc>
              <w:tc>
                <w:tcPr>
                  <w:tcW w:w="2037"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现有项目已建污水处理站加药间一间</w:t>
                  </w:r>
                </w:p>
              </w:tc>
              <w:tc>
                <w:tcPr>
                  <w:tcW w:w="2037"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本项目新增污水处理药剂用量较少，依托现有加药间可行。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化验室</w:t>
                  </w:r>
                </w:p>
              </w:tc>
              <w:tc>
                <w:tcPr>
                  <w:tcW w:w="2037"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现有项目已建化验室一间</w:t>
                  </w:r>
                </w:p>
              </w:tc>
              <w:tc>
                <w:tcPr>
                  <w:tcW w:w="2037"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本项目化验室使用次数较少，依托现有化验室可行。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冻库</w:t>
                  </w:r>
                </w:p>
              </w:tc>
              <w:tc>
                <w:tcPr>
                  <w:tcW w:w="2037"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现有项目已建冻库一间，使用R22制冷剂</w:t>
                  </w:r>
                </w:p>
              </w:tc>
              <w:tc>
                <w:tcPr>
                  <w:tcW w:w="2037"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本项目斩拌时需要使用冻库，现有项目建设时已预留扩建项目的使用空间，因此，依托可行。</w:t>
                  </w:r>
                </w:p>
              </w:tc>
            </w:tr>
          </w:tbl>
          <w:p>
            <w:pPr>
              <w:adjustRightInd w:val="0"/>
              <w:snapToGrid w:val="0"/>
              <w:spacing w:line="360" w:lineRule="auto"/>
              <w:ind w:firstLine="480" w:firstLineChars="200"/>
              <w:rPr>
                <w:bCs/>
                <w:color w:val="auto"/>
                <w:sz w:val="24"/>
                <w:highlight w:val="none"/>
              </w:rPr>
            </w:pPr>
            <w:r>
              <w:rPr>
                <w:rFonts w:hint="eastAsia"/>
                <w:bCs/>
                <w:color w:val="auto"/>
                <w:sz w:val="24"/>
                <w:highlight w:val="none"/>
              </w:rPr>
              <w:t>综上，本项目依托厂区已建公辅设施、环保设施可行。</w:t>
            </w:r>
          </w:p>
          <w:p>
            <w:pPr>
              <w:adjustRightInd w:val="0"/>
              <w:snapToGrid w:val="0"/>
              <w:spacing w:line="360" w:lineRule="auto"/>
              <w:rPr>
                <w:b/>
                <w:color w:val="auto"/>
                <w:sz w:val="24"/>
                <w:highlight w:val="none"/>
              </w:rPr>
            </w:pPr>
            <w:r>
              <w:rPr>
                <w:rFonts w:hint="eastAsia"/>
                <w:b/>
                <w:color w:val="auto"/>
                <w:sz w:val="24"/>
                <w:highlight w:val="none"/>
                <w:lang w:val="en-US" w:eastAsia="zh-CN"/>
              </w:rPr>
              <w:t>6</w:t>
            </w:r>
            <w:r>
              <w:rPr>
                <w:b/>
                <w:color w:val="auto"/>
                <w:sz w:val="24"/>
                <w:highlight w:val="none"/>
              </w:rPr>
              <w:t>、</w:t>
            </w:r>
            <w:r>
              <w:rPr>
                <w:rFonts w:ascii="Times New Roman" w:hAnsi="Times New Roman"/>
                <w:b/>
                <w:color w:val="auto"/>
                <w:kern w:val="0"/>
                <w:sz w:val="24"/>
                <w:szCs w:val="24"/>
                <w:highlight w:val="none"/>
                <w:lang w:bidi="ar"/>
              </w:rPr>
              <w:t>主要原辅材料及能耗</w:t>
            </w:r>
          </w:p>
          <w:p>
            <w:pPr>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eastAsia="zh-CN"/>
              </w:rPr>
              <w:t>）</w:t>
            </w:r>
            <w:r>
              <w:rPr>
                <w:rFonts w:ascii="Times New Roman" w:hAnsi="Times New Roman"/>
                <w:b/>
                <w:color w:val="auto"/>
                <w:kern w:val="0"/>
                <w:sz w:val="24"/>
                <w:szCs w:val="24"/>
                <w:highlight w:val="none"/>
                <w:lang w:bidi="ar"/>
              </w:rPr>
              <w:t>主要原辅材料及能耗</w:t>
            </w:r>
            <w:r>
              <w:rPr>
                <w:rFonts w:hint="eastAsia" w:ascii="Times New Roman" w:hAnsi="Times New Roman"/>
                <w:b/>
                <w:color w:val="auto"/>
                <w:kern w:val="0"/>
                <w:sz w:val="24"/>
                <w:szCs w:val="24"/>
                <w:highlight w:val="none"/>
                <w:lang w:val="en-US" w:eastAsia="zh-CN" w:bidi="ar"/>
              </w:rPr>
              <w:t>一览表</w:t>
            </w:r>
          </w:p>
          <w:p>
            <w:pPr>
              <w:pStyle w:val="41"/>
              <w:bidi w:val="0"/>
              <w:rPr>
                <w:b/>
                <w:bCs/>
                <w:color w:val="auto"/>
                <w:szCs w:val="21"/>
                <w:highlight w:val="none"/>
                <w:shd w:val="clear" w:color="auto" w:fill="FFFFFF"/>
              </w:rPr>
            </w:pPr>
            <w:r>
              <w:rPr>
                <w:b/>
                <w:bCs/>
                <w:color w:val="auto"/>
                <w:szCs w:val="21"/>
                <w:highlight w:val="none"/>
                <w:shd w:val="clear" w:color="auto" w:fill="FFFFFF"/>
              </w:rPr>
              <w:t>表2-</w:t>
            </w:r>
            <w:r>
              <w:rPr>
                <w:rFonts w:hint="eastAsia"/>
                <w:b/>
                <w:bCs/>
                <w:color w:val="auto"/>
                <w:szCs w:val="21"/>
                <w:highlight w:val="none"/>
                <w:shd w:val="clear" w:color="auto" w:fill="FFFFFF"/>
                <w:lang w:val="en-US" w:eastAsia="zh-CN"/>
              </w:rPr>
              <w:t>5</w:t>
            </w:r>
            <w:r>
              <w:rPr>
                <w:b/>
                <w:bCs/>
                <w:color w:val="auto"/>
                <w:szCs w:val="21"/>
                <w:highlight w:val="none"/>
                <w:shd w:val="clear" w:color="auto" w:fill="FFFFFF"/>
              </w:rPr>
              <w:t xml:space="preserve">  项目主要原辅材料及能耗</w:t>
            </w:r>
            <w:r>
              <w:rPr>
                <w:rFonts w:hint="eastAsia"/>
                <w:b/>
                <w:bCs/>
                <w:color w:val="auto"/>
                <w:szCs w:val="21"/>
                <w:highlight w:val="none"/>
                <w:shd w:val="clear" w:color="auto" w:fill="FFFFFF"/>
              </w:rPr>
              <w:t>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332"/>
              <w:gridCol w:w="1135"/>
              <w:gridCol w:w="1135"/>
              <w:gridCol w:w="1142"/>
              <w:gridCol w:w="967"/>
              <w:gridCol w:w="967"/>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restart"/>
                  <w:noWrap w:val="0"/>
                  <w:vAlign w:val="center"/>
                </w:tcPr>
                <w:p>
                  <w:pPr>
                    <w:jc w:val="center"/>
                    <w:rPr>
                      <w:b/>
                      <w:bCs/>
                      <w:color w:val="auto"/>
                      <w:szCs w:val="21"/>
                      <w:highlight w:val="none"/>
                    </w:rPr>
                  </w:pPr>
                  <w:r>
                    <w:rPr>
                      <w:b/>
                      <w:bCs/>
                      <w:color w:val="auto"/>
                      <w:szCs w:val="21"/>
                      <w:highlight w:val="none"/>
                    </w:rPr>
                    <w:t>类别</w:t>
                  </w:r>
                </w:p>
              </w:tc>
              <w:tc>
                <w:tcPr>
                  <w:tcW w:w="792" w:type="pct"/>
                  <w:vMerge w:val="restart"/>
                  <w:noWrap w:val="0"/>
                  <w:vAlign w:val="center"/>
                </w:tcPr>
                <w:p>
                  <w:pPr>
                    <w:jc w:val="center"/>
                    <w:rPr>
                      <w:b/>
                      <w:bCs/>
                      <w:color w:val="auto"/>
                      <w:szCs w:val="21"/>
                      <w:highlight w:val="none"/>
                    </w:rPr>
                  </w:pPr>
                  <w:r>
                    <w:rPr>
                      <w:b/>
                      <w:bCs/>
                      <w:color w:val="auto"/>
                      <w:szCs w:val="21"/>
                      <w:highlight w:val="none"/>
                    </w:rPr>
                    <w:t>名称</w:t>
                  </w:r>
                </w:p>
              </w:tc>
              <w:tc>
                <w:tcPr>
                  <w:tcW w:w="2029" w:type="pct"/>
                  <w:gridSpan w:val="3"/>
                  <w:noWrap w:val="0"/>
                  <w:vAlign w:val="center"/>
                </w:tcPr>
                <w:p>
                  <w:pPr>
                    <w:jc w:val="center"/>
                    <w:rPr>
                      <w:rFonts w:hint="eastAsia" w:eastAsia="宋体"/>
                      <w:b/>
                      <w:bCs/>
                      <w:color w:val="auto"/>
                      <w:szCs w:val="21"/>
                      <w:highlight w:val="none"/>
                      <w:lang w:val="en-US" w:eastAsia="zh-CN"/>
                    </w:rPr>
                  </w:pPr>
                  <w:r>
                    <w:rPr>
                      <w:rFonts w:hint="eastAsia"/>
                      <w:b/>
                      <w:bCs/>
                      <w:color w:val="auto"/>
                      <w:szCs w:val="21"/>
                      <w:highlight w:val="none"/>
                      <w:lang w:val="en-US" w:eastAsia="zh-CN"/>
                    </w:rPr>
                    <w:t>用量（t/a）</w:t>
                  </w:r>
                </w:p>
              </w:tc>
              <w:tc>
                <w:tcPr>
                  <w:tcW w:w="575" w:type="pct"/>
                  <w:vMerge w:val="restart"/>
                  <w:noWrap w:val="0"/>
                  <w:vAlign w:val="center"/>
                </w:tcPr>
                <w:p>
                  <w:pPr>
                    <w:jc w:val="center"/>
                    <w:rPr>
                      <w:rFonts w:hint="eastAsia"/>
                      <w:b/>
                      <w:bCs/>
                      <w:color w:val="auto"/>
                      <w:szCs w:val="21"/>
                      <w:highlight w:val="none"/>
                    </w:rPr>
                  </w:pPr>
                  <w:r>
                    <w:rPr>
                      <w:rFonts w:hint="eastAsia"/>
                      <w:b/>
                      <w:bCs/>
                      <w:color w:val="auto"/>
                      <w:szCs w:val="21"/>
                      <w:highlight w:val="none"/>
                    </w:rPr>
                    <w:t>来源</w:t>
                  </w:r>
                </w:p>
              </w:tc>
              <w:tc>
                <w:tcPr>
                  <w:tcW w:w="575" w:type="pct"/>
                  <w:vMerge w:val="restart"/>
                  <w:noWrap w:val="0"/>
                  <w:vAlign w:val="center"/>
                </w:tcPr>
                <w:p>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性状</w:t>
                  </w:r>
                </w:p>
              </w:tc>
              <w:tc>
                <w:tcPr>
                  <w:tcW w:w="575" w:type="pct"/>
                  <w:vMerge w:val="restart"/>
                  <w:noWrap w:val="0"/>
                  <w:vAlign w:val="center"/>
                </w:tcPr>
                <w:p>
                  <w:pPr>
                    <w:jc w:val="center"/>
                    <w:rPr>
                      <w:rFonts w:hint="eastAsia" w:eastAsia="宋体"/>
                      <w:b/>
                      <w:bCs/>
                      <w:color w:val="auto"/>
                      <w:szCs w:val="21"/>
                      <w:highlight w:val="none"/>
                      <w:lang w:val="en-US" w:eastAsia="zh-CN"/>
                    </w:rPr>
                  </w:pPr>
                  <w:r>
                    <w:rPr>
                      <w:rFonts w:hint="eastAsia"/>
                      <w:b/>
                      <w:bCs/>
                      <w:color w:val="auto"/>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b/>
                      <w:bCs/>
                      <w:color w:val="auto"/>
                      <w:szCs w:val="21"/>
                      <w:highlight w:val="none"/>
                    </w:rPr>
                  </w:pPr>
                </w:p>
              </w:tc>
              <w:tc>
                <w:tcPr>
                  <w:tcW w:w="792" w:type="pct"/>
                  <w:vMerge w:val="continue"/>
                  <w:noWrap w:val="0"/>
                  <w:vAlign w:val="center"/>
                </w:tcPr>
                <w:p>
                  <w:pPr>
                    <w:jc w:val="center"/>
                    <w:rPr>
                      <w:b/>
                      <w:bCs/>
                      <w:color w:val="auto"/>
                      <w:szCs w:val="21"/>
                      <w:highlight w:val="none"/>
                    </w:rPr>
                  </w:pPr>
                </w:p>
              </w:tc>
              <w:tc>
                <w:tcPr>
                  <w:tcW w:w="675" w:type="pct"/>
                  <w:noWrap w:val="0"/>
                  <w:vAlign w:val="center"/>
                </w:tcPr>
                <w:p>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现有项目</w:t>
                  </w:r>
                </w:p>
              </w:tc>
              <w:tc>
                <w:tcPr>
                  <w:tcW w:w="675" w:type="pct"/>
                  <w:noWrap w:val="0"/>
                  <w:vAlign w:val="center"/>
                </w:tcPr>
                <w:p>
                  <w:pPr>
                    <w:jc w:val="center"/>
                    <w:rPr>
                      <w:rFonts w:hint="eastAsia" w:eastAsia="宋体"/>
                      <w:b/>
                      <w:bCs/>
                      <w:color w:val="auto"/>
                      <w:szCs w:val="21"/>
                      <w:highlight w:val="none"/>
                      <w:lang w:val="en-US" w:eastAsia="zh-CN"/>
                    </w:rPr>
                  </w:pPr>
                  <w:r>
                    <w:rPr>
                      <w:rFonts w:hint="eastAsia"/>
                      <w:b/>
                      <w:bCs/>
                      <w:color w:val="auto"/>
                      <w:szCs w:val="21"/>
                      <w:highlight w:val="none"/>
                      <w:lang w:val="en-US" w:eastAsia="zh-CN"/>
                    </w:rPr>
                    <w:t>本项目</w:t>
                  </w:r>
                </w:p>
              </w:tc>
              <w:tc>
                <w:tcPr>
                  <w:tcW w:w="679" w:type="pct"/>
                  <w:noWrap w:val="0"/>
                  <w:vAlign w:val="center"/>
                </w:tcPr>
                <w:p>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扩建后全厂</w:t>
                  </w:r>
                </w:p>
              </w:tc>
              <w:tc>
                <w:tcPr>
                  <w:tcW w:w="575" w:type="pct"/>
                  <w:vMerge w:val="continue"/>
                  <w:noWrap w:val="0"/>
                  <w:vAlign w:val="center"/>
                </w:tcPr>
                <w:p>
                  <w:pPr>
                    <w:jc w:val="center"/>
                    <w:rPr>
                      <w:rFonts w:hint="eastAsia"/>
                      <w:b/>
                      <w:bCs/>
                      <w:color w:val="auto"/>
                      <w:szCs w:val="21"/>
                      <w:highlight w:val="none"/>
                    </w:rPr>
                  </w:pPr>
                </w:p>
              </w:tc>
              <w:tc>
                <w:tcPr>
                  <w:tcW w:w="575" w:type="pct"/>
                  <w:vMerge w:val="continue"/>
                  <w:noWrap w:val="0"/>
                  <w:vAlign w:val="center"/>
                </w:tcPr>
                <w:p>
                  <w:pPr>
                    <w:jc w:val="center"/>
                    <w:rPr>
                      <w:rFonts w:hint="eastAsia"/>
                      <w:b/>
                      <w:bCs/>
                      <w:color w:val="auto"/>
                      <w:szCs w:val="21"/>
                      <w:highlight w:val="none"/>
                    </w:rPr>
                  </w:pPr>
                </w:p>
              </w:tc>
              <w:tc>
                <w:tcPr>
                  <w:tcW w:w="575" w:type="pct"/>
                  <w:vMerge w:val="continue"/>
                  <w:noWrap w:val="0"/>
                  <w:vAlign w:val="center"/>
                </w:tcPr>
                <w:p>
                  <w:pPr>
                    <w:jc w:val="center"/>
                    <w:rPr>
                      <w:rFonts w:hint="eastAsia"/>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2" w:type="pct"/>
                  <w:vMerge w:val="restart"/>
                  <w:noWrap w:val="0"/>
                  <w:vAlign w:val="center"/>
                </w:tcPr>
                <w:p>
                  <w:pPr>
                    <w:jc w:val="center"/>
                    <w:rPr>
                      <w:color w:val="auto"/>
                      <w:szCs w:val="21"/>
                      <w:highlight w:val="none"/>
                    </w:rPr>
                  </w:pPr>
                  <w:r>
                    <w:rPr>
                      <w:rFonts w:hint="eastAsia"/>
                      <w:color w:val="auto"/>
                      <w:szCs w:val="21"/>
                      <w:highlight w:val="none"/>
                    </w:rPr>
                    <w:t>原辅材料</w:t>
                  </w:r>
                </w:p>
              </w:tc>
              <w:tc>
                <w:tcPr>
                  <w:tcW w:w="7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大豆分离蛋白粉</w:t>
                  </w:r>
                </w:p>
              </w:tc>
              <w:tc>
                <w:tcPr>
                  <w:tcW w:w="675"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300</w:t>
                  </w:r>
                </w:p>
              </w:tc>
              <w:tc>
                <w:tcPr>
                  <w:tcW w:w="675"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szCs w:val="21"/>
                      <w:highlight w:val="none"/>
                      <w:lang w:val="en-US" w:eastAsia="zh-CN"/>
                    </w:rPr>
                    <w:t>300</w:t>
                  </w:r>
                </w:p>
              </w:tc>
              <w:tc>
                <w:tcPr>
                  <w:tcW w:w="67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600</w:t>
                  </w:r>
                </w:p>
              </w:tc>
              <w:tc>
                <w:tcPr>
                  <w:tcW w:w="5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粉料</w:t>
                  </w:r>
                </w:p>
              </w:tc>
              <w:tc>
                <w:tcPr>
                  <w:tcW w:w="575"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生产</w:t>
                  </w:r>
                  <w:r>
                    <w:rPr>
                      <w:rFonts w:hint="eastAsia"/>
                      <w:bCs/>
                      <w:color w:val="auto"/>
                      <w:szCs w:val="21"/>
                      <w:highlight w:val="none"/>
                      <w:lang w:val="en-US" w:eastAsia="zh-CN"/>
                    </w:rPr>
                    <w:t>散装称量豆干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2" w:type="pct"/>
                  <w:vMerge w:val="continue"/>
                  <w:noWrap w:val="0"/>
                  <w:vAlign w:val="center"/>
                </w:tcPr>
                <w:p>
                  <w:pPr>
                    <w:jc w:val="center"/>
                    <w:rPr>
                      <w:rFonts w:hint="eastAsia"/>
                      <w:color w:val="auto"/>
                      <w:szCs w:val="21"/>
                      <w:highlight w:val="none"/>
                    </w:rPr>
                  </w:pPr>
                </w:p>
              </w:tc>
              <w:tc>
                <w:tcPr>
                  <w:tcW w:w="7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大豆拉丝蛋白</w:t>
                  </w:r>
                </w:p>
              </w:tc>
              <w:tc>
                <w:tcPr>
                  <w:tcW w:w="675"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600</w:t>
                  </w:r>
                </w:p>
              </w:tc>
              <w:tc>
                <w:tcPr>
                  <w:tcW w:w="675"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300</w:t>
                  </w:r>
                </w:p>
              </w:tc>
              <w:tc>
                <w:tcPr>
                  <w:tcW w:w="67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900</w:t>
                  </w:r>
                </w:p>
              </w:tc>
              <w:tc>
                <w:tcPr>
                  <w:tcW w:w="5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固体</w:t>
                  </w:r>
                </w:p>
              </w:tc>
              <w:tc>
                <w:tcPr>
                  <w:tcW w:w="575"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生产手撕素肉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rFonts w:hint="eastAsia"/>
                      <w:color w:val="auto"/>
                      <w:szCs w:val="21"/>
                      <w:highlight w:val="none"/>
                    </w:rPr>
                  </w:pPr>
                </w:p>
              </w:tc>
              <w:tc>
                <w:tcPr>
                  <w:tcW w:w="792" w:type="pct"/>
                  <w:vMerge w:val="restar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植物油</w:t>
                  </w:r>
                </w:p>
              </w:tc>
              <w:tc>
                <w:tcPr>
                  <w:tcW w:w="675"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500</w:t>
                  </w:r>
                </w:p>
              </w:tc>
              <w:tc>
                <w:tcPr>
                  <w:tcW w:w="675"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210</w:t>
                  </w:r>
                </w:p>
              </w:tc>
              <w:tc>
                <w:tcPr>
                  <w:tcW w:w="67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710</w:t>
                  </w:r>
                </w:p>
              </w:tc>
              <w:tc>
                <w:tcPr>
                  <w:tcW w:w="575" w:type="pct"/>
                  <w:noWrap w:val="0"/>
                  <w:vAlign w:val="center"/>
                </w:tcPr>
                <w:p>
                  <w:pPr>
                    <w:jc w:val="center"/>
                    <w:rPr>
                      <w:rFonts w:hint="eastAsia"/>
                      <w:color w:val="auto"/>
                      <w:szCs w:val="21"/>
                      <w:highlight w:val="none"/>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液体</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生产用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2" w:type="pct"/>
                  <w:vMerge w:val="continue"/>
                  <w:noWrap w:val="0"/>
                  <w:vAlign w:val="center"/>
                </w:tcPr>
                <w:p>
                  <w:pPr>
                    <w:jc w:val="center"/>
                    <w:rPr>
                      <w:rFonts w:hint="eastAsia"/>
                      <w:color w:val="auto"/>
                      <w:szCs w:val="21"/>
                      <w:highlight w:val="none"/>
                    </w:rPr>
                  </w:pPr>
                </w:p>
              </w:tc>
              <w:tc>
                <w:tcPr>
                  <w:tcW w:w="792" w:type="pct"/>
                  <w:vMerge w:val="continue"/>
                  <w:noWrap w:val="0"/>
                  <w:vAlign w:val="center"/>
                </w:tcPr>
                <w:p>
                  <w:pPr>
                    <w:jc w:val="center"/>
                    <w:rPr>
                      <w:rFonts w:hint="eastAsia" w:ascii="Times New Roman" w:hAnsi="Times New Roman" w:eastAsia="宋体" w:cs="Times New Roman"/>
                      <w:color w:val="auto"/>
                      <w:szCs w:val="21"/>
                      <w:highlight w:val="none"/>
                      <w:lang w:val="en-US" w:eastAsia="zh-CN"/>
                    </w:rPr>
                  </w:pPr>
                </w:p>
              </w:tc>
              <w:tc>
                <w:tcPr>
                  <w:tcW w:w="6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2</w:t>
                  </w:r>
                </w:p>
              </w:tc>
              <w:tc>
                <w:tcPr>
                  <w:tcW w:w="675"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0.7</w:t>
                  </w:r>
                </w:p>
              </w:tc>
              <w:tc>
                <w:tcPr>
                  <w:tcW w:w="67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2.7</w:t>
                  </w:r>
                </w:p>
              </w:tc>
              <w:tc>
                <w:tcPr>
                  <w:tcW w:w="575" w:type="pct"/>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液体</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食堂用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rFonts w:hint="eastAsia"/>
                      <w:color w:val="auto"/>
                      <w:szCs w:val="21"/>
                      <w:highlight w:val="none"/>
                    </w:rPr>
                  </w:pPr>
                </w:p>
              </w:tc>
              <w:tc>
                <w:tcPr>
                  <w:tcW w:w="7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青酶</w:t>
                  </w:r>
                </w:p>
              </w:tc>
              <w:tc>
                <w:tcPr>
                  <w:tcW w:w="6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eastAsia="宋体"/>
                      <w:color w:val="auto"/>
                      <w:szCs w:val="21"/>
                      <w:highlight w:val="none"/>
                      <w:lang w:val="en-US" w:eastAsia="zh-CN"/>
                    </w:rPr>
                    <w:t>0.5</w:t>
                  </w:r>
                </w:p>
              </w:tc>
              <w:tc>
                <w:tcPr>
                  <w:tcW w:w="6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0.3</w:t>
                  </w:r>
                </w:p>
              </w:tc>
              <w:tc>
                <w:tcPr>
                  <w:tcW w:w="67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0.8</w:t>
                  </w:r>
                </w:p>
              </w:tc>
              <w:tc>
                <w:tcPr>
                  <w:tcW w:w="5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粉料</w:t>
                  </w:r>
                </w:p>
              </w:tc>
              <w:tc>
                <w:tcPr>
                  <w:tcW w:w="575" w:type="pct"/>
                  <w:noWrap w:val="0"/>
                  <w:vAlign w:val="center"/>
                </w:tcPr>
                <w:p>
                  <w:pPr>
                    <w:jc w:val="center"/>
                    <w:rPr>
                      <w:rFonts w:hint="eastAsia"/>
                      <w:color w:val="auto"/>
                      <w:szCs w:val="21"/>
                      <w:highlight w:val="none"/>
                      <w:lang w:val="en-US" w:eastAsia="zh-CN"/>
                    </w:rPr>
                  </w:pPr>
                  <w:r>
                    <w:rPr>
                      <w:rFonts w:hint="eastAsia"/>
                      <w:color w:val="auto"/>
                      <w:kern w:val="2"/>
                      <w:sz w:val="21"/>
                      <w:szCs w:val="21"/>
                      <w:highlight w:val="none"/>
                      <w:lang w:val="en-US" w:eastAsia="zh-CN" w:bidi="ar-SA"/>
                    </w:rPr>
                    <w:t>生产</w:t>
                  </w:r>
                  <w:r>
                    <w:rPr>
                      <w:rFonts w:hint="eastAsia"/>
                      <w:bCs/>
                      <w:color w:val="auto"/>
                      <w:szCs w:val="21"/>
                      <w:highlight w:val="none"/>
                      <w:lang w:val="en-US" w:eastAsia="zh-CN"/>
                    </w:rPr>
                    <w:t>散装称量豆干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rFonts w:hint="eastAsia"/>
                      <w:color w:val="auto"/>
                      <w:szCs w:val="21"/>
                      <w:highlight w:val="none"/>
                    </w:rPr>
                  </w:pPr>
                </w:p>
              </w:tc>
              <w:tc>
                <w:tcPr>
                  <w:tcW w:w="792"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酿造酱油（含焦糖色）</w:t>
                  </w:r>
                </w:p>
              </w:tc>
              <w:tc>
                <w:tcPr>
                  <w:tcW w:w="675"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50</w:t>
                  </w:r>
                </w:p>
              </w:tc>
              <w:tc>
                <w:tcPr>
                  <w:tcW w:w="675"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37</w:t>
                  </w:r>
                </w:p>
              </w:tc>
              <w:tc>
                <w:tcPr>
                  <w:tcW w:w="67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w:t>
                  </w:r>
                  <w:r>
                    <w:rPr>
                      <w:rFonts w:hint="eastAsia" w:cs="Times New Roman"/>
                      <w:color w:val="auto"/>
                      <w:kern w:val="2"/>
                      <w:sz w:val="21"/>
                      <w:szCs w:val="21"/>
                      <w:highlight w:val="none"/>
                      <w:lang w:val="en-US" w:eastAsia="zh-CN" w:bidi="ar-SA"/>
                    </w:rPr>
                    <w:t>7</w:t>
                  </w:r>
                </w:p>
              </w:tc>
              <w:tc>
                <w:tcPr>
                  <w:tcW w:w="575" w:type="pct"/>
                  <w:noWrap w:val="0"/>
                  <w:vAlign w:val="center"/>
                </w:tcPr>
                <w:p>
                  <w:pPr>
                    <w:jc w:val="center"/>
                    <w:rPr>
                      <w:rFonts w:hint="eastAsia"/>
                      <w:color w:val="auto"/>
                      <w:szCs w:val="21"/>
                      <w:highlight w:val="none"/>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液体</w:t>
                  </w:r>
                </w:p>
              </w:tc>
              <w:tc>
                <w:tcPr>
                  <w:tcW w:w="575" w:type="pct"/>
                  <w:vMerge w:val="restart"/>
                  <w:noWrap w:val="0"/>
                  <w:vAlign w:val="center"/>
                </w:tcPr>
                <w:p>
                  <w:pPr>
                    <w:jc w:val="center"/>
                    <w:rPr>
                      <w:rFonts w:hint="eastAsia"/>
                      <w:color w:val="auto"/>
                      <w:szCs w:val="21"/>
                      <w:highlight w:val="none"/>
                      <w:lang w:val="en-US" w:eastAsia="zh-CN"/>
                    </w:rPr>
                  </w:pPr>
                  <w:r>
                    <w:rPr>
                      <w:rFonts w:hint="eastAsia"/>
                      <w:color w:val="auto"/>
                      <w:kern w:val="2"/>
                      <w:sz w:val="21"/>
                      <w:szCs w:val="21"/>
                      <w:highlight w:val="none"/>
                      <w:lang w:val="en-US" w:eastAsia="zh-CN" w:bidi="ar-SA"/>
                    </w:rPr>
                    <w:t>生产</w:t>
                  </w:r>
                  <w:r>
                    <w:rPr>
                      <w:rFonts w:hint="eastAsia"/>
                      <w:bCs/>
                      <w:color w:val="auto"/>
                      <w:szCs w:val="21"/>
                      <w:highlight w:val="none"/>
                      <w:lang w:val="en-US" w:eastAsia="zh-CN"/>
                    </w:rPr>
                    <w:t>散装称量豆干、</w:t>
                  </w:r>
                  <w:r>
                    <w:rPr>
                      <w:rFonts w:hint="eastAsia"/>
                      <w:color w:val="auto"/>
                      <w:kern w:val="2"/>
                      <w:sz w:val="21"/>
                      <w:szCs w:val="21"/>
                      <w:highlight w:val="none"/>
                      <w:lang w:val="en-US" w:eastAsia="zh-CN" w:bidi="ar-SA"/>
                    </w:rPr>
                    <w:t>手撕素肉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rFonts w:hint="eastAsia"/>
                      <w:color w:val="auto"/>
                      <w:szCs w:val="21"/>
                      <w:highlight w:val="none"/>
                    </w:rPr>
                  </w:pPr>
                </w:p>
              </w:tc>
              <w:tc>
                <w:tcPr>
                  <w:tcW w:w="792"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食用盐</w:t>
                  </w:r>
                </w:p>
              </w:tc>
              <w:tc>
                <w:tcPr>
                  <w:tcW w:w="675"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84</w:t>
                  </w:r>
                </w:p>
              </w:tc>
              <w:tc>
                <w:tcPr>
                  <w:tcW w:w="675"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52</w:t>
                  </w:r>
                </w:p>
              </w:tc>
              <w:tc>
                <w:tcPr>
                  <w:tcW w:w="67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136</w:t>
                  </w:r>
                </w:p>
              </w:tc>
              <w:tc>
                <w:tcPr>
                  <w:tcW w:w="575" w:type="pct"/>
                  <w:noWrap w:val="0"/>
                  <w:vAlign w:val="center"/>
                </w:tcPr>
                <w:p>
                  <w:pPr>
                    <w:jc w:val="center"/>
                    <w:rPr>
                      <w:rFonts w:hint="eastAsia" w:eastAsia="宋体"/>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粉料</w:t>
                  </w:r>
                </w:p>
              </w:tc>
              <w:tc>
                <w:tcPr>
                  <w:tcW w:w="575" w:type="pct"/>
                  <w:vMerge w:val="continue"/>
                  <w:noWrap w:val="0"/>
                  <w:vAlign w:val="center"/>
                </w:tcPr>
                <w:p>
                  <w:pPr>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白砂糖</w:t>
                  </w:r>
                </w:p>
              </w:tc>
              <w:tc>
                <w:tcPr>
                  <w:tcW w:w="675"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130</w:t>
                  </w:r>
                </w:p>
              </w:tc>
              <w:tc>
                <w:tcPr>
                  <w:tcW w:w="675"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65</w:t>
                  </w:r>
                </w:p>
              </w:tc>
              <w:tc>
                <w:tcPr>
                  <w:tcW w:w="67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195</w:t>
                  </w:r>
                </w:p>
              </w:tc>
              <w:tc>
                <w:tcPr>
                  <w:tcW w:w="575" w:type="pct"/>
                  <w:noWrap w:val="0"/>
                  <w:vAlign w:val="center"/>
                </w:tcPr>
                <w:p>
                  <w:pPr>
                    <w:jc w:val="center"/>
                    <w:rPr>
                      <w:rFonts w:hint="eastAsia"/>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粉料</w:t>
                  </w:r>
                </w:p>
              </w:tc>
              <w:tc>
                <w:tcPr>
                  <w:tcW w:w="575" w:type="pct"/>
                  <w:vMerge w:val="continue"/>
                  <w:noWrap w:val="0"/>
                  <w:vAlign w:val="center"/>
                </w:tcPr>
                <w:p>
                  <w:pPr>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辣椒</w:t>
                  </w:r>
                </w:p>
              </w:tc>
              <w:tc>
                <w:tcPr>
                  <w:tcW w:w="675"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6</w:t>
                  </w:r>
                </w:p>
              </w:tc>
              <w:tc>
                <w:tcPr>
                  <w:tcW w:w="675"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2.5</w:t>
                  </w:r>
                </w:p>
              </w:tc>
              <w:tc>
                <w:tcPr>
                  <w:tcW w:w="67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c>
                <w:tcPr>
                  <w:tcW w:w="575" w:type="pct"/>
                  <w:noWrap w:val="0"/>
                  <w:vAlign w:val="center"/>
                </w:tcPr>
                <w:p>
                  <w:pPr>
                    <w:jc w:val="center"/>
                    <w:rPr>
                      <w:rFonts w:hint="eastAsia"/>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固体</w:t>
                  </w:r>
                </w:p>
              </w:tc>
              <w:tc>
                <w:tcPr>
                  <w:tcW w:w="575" w:type="pct"/>
                  <w:vMerge w:val="continue"/>
                  <w:noWrap w:val="0"/>
                  <w:vAlign w:val="center"/>
                </w:tcPr>
                <w:p>
                  <w:pPr>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高鲜味精</w:t>
                  </w:r>
                </w:p>
              </w:tc>
              <w:tc>
                <w:tcPr>
                  <w:tcW w:w="675"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15</w:t>
                  </w:r>
                </w:p>
              </w:tc>
              <w:tc>
                <w:tcPr>
                  <w:tcW w:w="675"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6.5</w:t>
                  </w:r>
                </w:p>
              </w:tc>
              <w:tc>
                <w:tcPr>
                  <w:tcW w:w="67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21.5</w:t>
                  </w:r>
                </w:p>
              </w:tc>
              <w:tc>
                <w:tcPr>
                  <w:tcW w:w="575" w:type="pct"/>
                  <w:noWrap w:val="0"/>
                  <w:vAlign w:val="center"/>
                </w:tcPr>
                <w:p>
                  <w:pPr>
                    <w:jc w:val="center"/>
                    <w:rPr>
                      <w:rFonts w:hint="eastAsia" w:eastAsia="宋体"/>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粉料</w:t>
                  </w:r>
                </w:p>
              </w:tc>
              <w:tc>
                <w:tcPr>
                  <w:tcW w:w="575" w:type="pct"/>
                  <w:vMerge w:val="continue"/>
                  <w:noWrap w:val="0"/>
                  <w:vAlign w:val="center"/>
                </w:tcPr>
                <w:p>
                  <w:pPr>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食用香精香料</w:t>
                  </w:r>
                </w:p>
              </w:tc>
              <w:tc>
                <w:tcPr>
                  <w:tcW w:w="675"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6</w:t>
                  </w:r>
                </w:p>
              </w:tc>
              <w:tc>
                <w:tcPr>
                  <w:tcW w:w="675"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w:t>
                  </w:r>
                </w:p>
              </w:tc>
              <w:tc>
                <w:tcPr>
                  <w:tcW w:w="67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c>
                <w:tcPr>
                  <w:tcW w:w="575" w:type="pct"/>
                  <w:noWrap w:val="0"/>
                  <w:vAlign w:val="center"/>
                </w:tcPr>
                <w:p>
                  <w:pPr>
                    <w:jc w:val="center"/>
                    <w:rPr>
                      <w:rFonts w:hint="eastAsia"/>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固体</w:t>
                  </w:r>
                </w:p>
              </w:tc>
              <w:tc>
                <w:tcPr>
                  <w:tcW w:w="575" w:type="pct"/>
                  <w:vMerge w:val="continue"/>
                  <w:noWrap w:val="0"/>
                  <w:vAlign w:val="center"/>
                </w:tcPr>
                <w:p>
                  <w:pPr>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香辛料</w:t>
                  </w:r>
                </w:p>
              </w:tc>
              <w:tc>
                <w:tcPr>
                  <w:tcW w:w="675"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15</w:t>
                  </w:r>
                </w:p>
              </w:tc>
              <w:tc>
                <w:tcPr>
                  <w:tcW w:w="675"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6.5</w:t>
                  </w:r>
                </w:p>
              </w:tc>
              <w:tc>
                <w:tcPr>
                  <w:tcW w:w="67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21.5</w:t>
                  </w:r>
                </w:p>
              </w:tc>
              <w:tc>
                <w:tcPr>
                  <w:tcW w:w="575" w:type="pct"/>
                  <w:noWrap w:val="0"/>
                  <w:vAlign w:val="center"/>
                </w:tcPr>
                <w:p>
                  <w:pPr>
                    <w:jc w:val="center"/>
                    <w:rPr>
                      <w:rFonts w:hint="eastAsia"/>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固体</w:t>
                  </w:r>
                </w:p>
              </w:tc>
              <w:tc>
                <w:tcPr>
                  <w:tcW w:w="575" w:type="pct"/>
                  <w:vMerge w:val="continue"/>
                  <w:noWrap w:val="0"/>
                  <w:vAlign w:val="center"/>
                </w:tcPr>
                <w:p>
                  <w:pPr>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卤药水</w:t>
                  </w:r>
                </w:p>
              </w:tc>
              <w:tc>
                <w:tcPr>
                  <w:tcW w:w="675"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10</w:t>
                  </w:r>
                </w:p>
              </w:tc>
              <w:tc>
                <w:tcPr>
                  <w:tcW w:w="675"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4</w:t>
                  </w:r>
                </w:p>
              </w:tc>
              <w:tc>
                <w:tcPr>
                  <w:tcW w:w="67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p>
              </w:tc>
              <w:tc>
                <w:tcPr>
                  <w:tcW w:w="5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液体</w:t>
                  </w:r>
                </w:p>
              </w:tc>
              <w:tc>
                <w:tcPr>
                  <w:tcW w:w="575" w:type="pct"/>
                  <w:vMerge w:val="continue"/>
                  <w:noWrap w:val="0"/>
                  <w:vAlign w:val="center"/>
                </w:tcPr>
                <w:p>
                  <w:pPr>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卤膏</w:t>
                  </w:r>
                </w:p>
              </w:tc>
              <w:tc>
                <w:tcPr>
                  <w:tcW w:w="675"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10</w:t>
                  </w:r>
                </w:p>
              </w:tc>
              <w:tc>
                <w:tcPr>
                  <w:tcW w:w="675"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4</w:t>
                  </w:r>
                </w:p>
              </w:tc>
              <w:tc>
                <w:tcPr>
                  <w:tcW w:w="67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p>
              </w:tc>
              <w:tc>
                <w:tcPr>
                  <w:tcW w:w="5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固体</w:t>
                  </w:r>
                </w:p>
              </w:tc>
              <w:tc>
                <w:tcPr>
                  <w:tcW w:w="575" w:type="pct"/>
                  <w:vMerge w:val="continue"/>
                  <w:noWrap w:val="0"/>
                  <w:vAlign w:val="center"/>
                </w:tcPr>
                <w:p>
                  <w:pPr>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75%乙醇</w:t>
                  </w:r>
                </w:p>
              </w:tc>
              <w:tc>
                <w:tcPr>
                  <w:tcW w:w="6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eastAsia="宋体"/>
                      <w:color w:val="auto"/>
                      <w:szCs w:val="21"/>
                      <w:highlight w:val="none"/>
                      <w:lang w:val="en-US" w:eastAsia="zh-CN"/>
                    </w:rPr>
                    <w:t>1</w:t>
                  </w:r>
                </w:p>
              </w:tc>
              <w:tc>
                <w:tcPr>
                  <w:tcW w:w="6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eastAsia="宋体"/>
                      <w:color w:val="auto"/>
                      <w:szCs w:val="21"/>
                      <w:highlight w:val="none"/>
                      <w:lang w:val="en-US" w:eastAsia="zh-CN"/>
                    </w:rPr>
                    <w:t>0.4</w:t>
                  </w:r>
                </w:p>
              </w:tc>
              <w:tc>
                <w:tcPr>
                  <w:tcW w:w="67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1.4</w:t>
                  </w:r>
                </w:p>
              </w:tc>
              <w:tc>
                <w:tcPr>
                  <w:tcW w:w="5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液体</w:t>
                  </w:r>
                </w:p>
              </w:tc>
              <w:tc>
                <w:tcPr>
                  <w:tcW w:w="575"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清洁剂</w:t>
                  </w:r>
                </w:p>
              </w:tc>
              <w:tc>
                <w:tcPr>
                  <w:tcW w:w="6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eastAsia="宋体"/>
                      <w:color w:val="auto"/>
                      <w:szCs w:val="21"/>
                      <w:highlight w:val="none"/>
                      <w:lang w:val="en-US" w:eastAsia="zh-CN"/>
                    </w:rPr>
                    <w:t>0.5</w:t>
                  </w:r>
                </w:p>
              </w:tc>
              <w:tc>
                <w:tcPr>
                  <w:tcW w:w="6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eastAsia="宋体"/>
                      <w:color w:val="auto"/>
                      <w:szCs w:val="21"/>
                      <w:highlight w:val="none"/>
                      <w:lang w:val="en-US" w:eastAsia="zh-CN"/>
                    </w:rPr>
                    <w:t>0.2</w:t>
                  </w:r>
                </w:p>
              </w:tc>
              <w:tc>
                <w:tcPr>
                  <w:tcW w:w="67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0.7</w:t>
                  </w:r>
                </w:p>
              </w:tc>
              <w:tc>
                <w:tcPr>
                  <w:tcW w:w="575" w:type="pct"/>
                  <w:noWrap w:val="0"/>
                  <w:vAlign w:val="center"/>
                </w:tcPr>
                <w:p>
                  <w:pPr>
                    <w:jc w:val="center"/>
                    <w:rPr>
                      <w:color w:val="auto"/>
                      <w:highlight w:val="none"/>
                    </w:rPr>
                  </w:pPr>
                  <w:r>
                    <w:rPr>
                      <w:rFonts w:hint="eastAsia"/>
                      <w:color w:val="auto"/>
                      <w:szCs w:val="21"/>
                      <w:highlight w:val="none"/>
                      <w:lang w:val="en-US" w:eastAsia="zh-CN"/>
                    </w:rPr>
                    <w:t>外购</w:t>
                  </w:r>
                </w:p>
              </w:tc>
              <w:tc>
                <w:tcPr>
                  <w:tcW w:w="575" w:type="pct"/>
                  <w:noWrap w:val="0"/>
                  <w:vAlign w:val="center"/>
                </w:tcPr>
                <w:p>
                  <w:pPr>
                    <w:jc w:val="center"/>
                    <w:rPr>
                      <w:color w:val="auto"/>
                      <w:highlight w:val="none"/>
                    </w:rPr>
                  </w:pPr>
                  <w:r>
                    <w:rPr>
                      <w:rFonts w:hint="eastAsia" w:ascii="Times New Roman" w:hAnsi="Times New Roman" w:eastAsia="宋体" w:cs="Times New Roman"/>
                      <w:color w:val="auto"/>
                      <w:kern w:val="2"/>
                      <w:sz w:val="21"/>
                      <w:szCs w:val="21"/>
                      <w:highlight w:val="none"/>
                      <w:lang w:val="en-US" w:eastAsia="zh-CN" w:bidi="ar-SA"/>
                    </w:rPr>
                    <w:t>液体</w:t>
                  </w:r>
                </w:p>
              </w:tc>
              <w:tc>
                <w:tcPr>
                  <w:tcW w:w="575"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highlight w:val="none"/>
                      <w:lang w:val="en-US" w:eastAsia="zh-CN"/>
                    </w:rPr>
                    <w:t>阴离子表面活性剂含量5-15%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R22制冷剂</w:t>
                  </w:r>
                </w:p>
              </w:tc>
              <w:tc>
                <w:tcPr>
                  <w:tcW w:w="6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eastAsia="宋体"/>
                      <w:color w:val="auto"/>
                      <w:szCs w:val="21"/>
                      <w:highlight w:val="none"/>
                      <w:lang w:val="en-US" w:eastAsia="zh-CN"/>
                    </w:rPr>
                    <w:t>0.2</w:t>
                  </w:r>
                </w:p>
              </w:tc>
              <w:tc>
                <w:tcPr>
                  <w:tcW w:w="6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0.1</w:t>
                  </w:r>
                </w:p>
              </w:tc>
              <w:tc>
                <w:tcPr>
                  <w:tcW w:w="67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0.3</w:t>
                  </w:r>
                </w:p>
              </w:tc>
              <w:tc>
                <w:tcPr>
                  <w:tcW w:w="5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气体</w:t>
                  </w:r>
                </w:p>
              </w:tc>
              <w:tc>
                <w:tcPr>
                  <w:tcW w:w="575"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机油</w:t>
                  </w:r>
                </w:p>
              </w:tc>
              <w:tc>
                <w:tcPr>
                  <w:tcW w:w="6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eastAsia="宋体"/>
                      <w:color w:val="auto"/>
                      <w:szCs w:val="21"/>
                      <w:highlight w:val="none"/>
                      <w:lang w:val="en-US" w:eastAsia="zh-CN"/>
                    </w:rPr>
                    <w:t>0.1</w:t>
                  </w:r>
                </w:p>
              </w:tc>
              <w:tc>
                <w:tcPr>
                  <w:tcW w:w="6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0.05</w:t>
                  </w:r>
                </w:p>
              </w:tc>
              <w:tc>
                <w:tcPr>
                  <w:tcW w:w="67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0.15</w:t>
                  </w:r>
                </w:p>
              </w:tc>
              <w:tc>
                <w:tcPr>
                  <w:tcW w:w="5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液体</w:t>
                  </w:r>
                </w:p>
              </w:tc>
              <w:tc>
                <w:tcPr>
                  <w:tcW w:w="575"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PAC</w:t>
                  </w:r>
                </w:p>
              </w:tc>
              <w:tc>
                <w:tcPr>
                  <w:tcW w:w="6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eastAsia="宋体"/>
                      <w:color w:val="auto"/>
                      <w:szCs w:val="21"/>
                      <w:highlight w:val="none"/>
                      <w:lang w:val="en-US" w:eastAsia="zh-CN"/>
                    </w:rPr>
                    <w:t>10</w:t>
                  </w:r>
                </w:p>
              </w:tc>
              <w:tc>
                <w:tcPr>
                  <w:tcW w:w="6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5</w:t>
                  </w:r>
                </w:p>
              </w:tc>
              <w:tc>
                <w:tcPr>
                  <w:tcW w:w="67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w:t>
                  </w:r>
                </w:p>
              </w:tc>
              <w:tc>
                <w:tcPr>
                  <w:tcW w:w="5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固体</w:t>
                  </w:r>
                </w:p>
              </w:tc>
              <w:tc>
                <w:tcPr>
                  <w:tcW w:w="575"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用于废水处理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PAM</w:t>
                  </w:r>
                </w:p>
              </w:tc>
              <w:tc>
                <w:tcPr>
                  <w:tcW w:w="6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eastAsia="宋体"/>
                      <w:color w:val="auto"/>
                      <w:szCs w:val="21"/>
                      <w:highlight w:val="none"/>
                      <w:lang w:val="en-US" w:eastAsia="zh-CN"/>
                    </w:rPr>
                    <w:t>2</w:t>
                  </w:r>
                </w:p>
              </w:tc>
              <w:tc>
                <w:tcPr>
                  <w:tcW w:w="6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1</w:t>
                  </w:r>
                </w:p>
              </w:tc>
              <w:tc>
                <w:tcPr>
                  <w:tcW w:w="67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5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固体</w:t>
                  </w:r>
                </w:p>
              </w:tc>
              <w:tc>
                <w:tcPr>
                  <w:tcW w:w="575"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用于废水处理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油墨</w:t>
                  </w:r>
                </w:p>
              </w:tc>
              <w:tc>
                <w:tcPr>
                  <w:tcW w:w="6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eastAsia="宋体"/>
                      <w:color w:val="auto"/>
                      <w:szCs w:val="21"/>
                      <w:highlight w:val="none"/>
                      <w:lang w:val="en-US" w:eastAsia="zh-CN"/>
                    </w:rPr>
                    <w:t>0.1</w:t>
                  </w:r>
                </w:p>
              </w:tc>
              <w:tc>
                <w:tcPr>
                  <w:tcW w:w="6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0.05</w:t>
                  </w:r>
                </w:p>
              </w:tc>
              <w:tc>
                <w:tcPr>
                  <w:tcW w:w="67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0.15</w:t>
                  </w:r>
                </w:p>
              </w:tc>
              <w:tc>
                <w:tcPr>
                  <w:tcW w:w="5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液体</w:t>
                  </w:r>
                </w:p>
              </w:tc>
              <w:tc>
                <w:tcPr>
                  <w:tcW w:w="575"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挥发性有机化合物含量22.3%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碱水</w:t>
                  </w:r>
                </w:p>
              </w:tc>
              <w:tc>
                <w:tcPr>
                  <w:tcW w:w="6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eastAsia="宋体"/>
                      <w:color w:val="auto"/>
                      <w:szCs w:val="21"/>
                      <w:highlight w:val="none"/>
                      <w:lang w:val="en-US" w:eastAsia="zh-CN"/>
                    </w:rPr>
                    <w:t>5</w:t>
                  </w:r>
                </w:p>
              </w:tc>
              <w:tc>
                <w:tcPr>
                  <w:tcW w:w="6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2</w:t>
                  </w:r>
                </w:p>
              </w:tc>
              <w:tc>
                <w:tcPr>
                  <w:tcW w:w="67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p>
              </w:tc>
              <w:tc>
                <w:tcPr>
                  <w:tcW w:w="5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液体</w:t>
                  </w:r>
                </w:p>
              </w:tc>
              <w:tc>
                <w:tcPr>
                  <w:tcW w:w="575" w:type="pct"/>
                  <w:noWrap w:val="0"/>
                  <w:vAlign w:val="center"/>
                </w:tcPr>
                <w:p>
                  <w:pPr>
                    <w:jc w:val="center"/>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成分：碳酸钠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油纸</w:t>
                  </w:r>
                </w:p>
              </w:tc>
              <w:tc>
                <w:tcPr>
                  <w:tcW w:w="675"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0.015</w:t>
                  </w:r>
                </w:p>
              </w:tc>
              <w:tc>
                <w:tcPr>
                  <w:tcW w:w="6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0.01</w:t>
                  </w:r>
                </w:p>
              </w:tc>
              <w:tc>
                <w:tcPr>
                  <w:tcW w:w="67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0.025</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固体</w:t>
                  </w:r>
                </w:p>
              </w:tc>
              <w:tc>
                <w:tcPr>
                  <w:tcW w:w="575"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包装袋</w:t>
                  </w:r>
                  <w:r>
                    <w:rPr>
                      <w:rFonts w:hint="eastAsia" w:cs="Times New Roman"/>
                      <w:color w:val="auto"/>
                      <w:szCs w:val="21"/>
                      <w:highlight w:val="none"/>
                      <w:lang w:val="en-US" w:eastAsia="zh-CN"/>
                    </w:rPr>
                    <w:t>（万个/a）</w:t>
                  </w:r>
                </w:p>
              </w:tc>
              <w:tc>
                <w:tcPr>
                  <w:tcW w:w="675"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33702</w:t>
                  </w:r>
                </w:p>
              </w:tc>
              <w:tc>
                <w:tcPr>
                  <w:tcW w:w="6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3700</w:t>
                  </w:r>
                </w:p>
              </w:tc>
              <w:tc>
                <w:tcPr>
                  <w:tcW w:w="67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37402</w:t>
                  </w:r>
                </w:p>
              </w:tc>
              <w:tc>
                <w:tcPr>
                  <w:tcW w:w="575" w:type="pct"/>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固体</w:t>
                  </w:r>
                </w:p>
              </w:tc>
              <w:tc>
                <w:tcPr>
                  <w:tcW w:w="575"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包装箱</w:t>
                  </w:r>
                  <w:r>
                    <w:rPr>
                      <w:rFonts w:hint="eastAsia" w:cs="Times New Roman"/>
                      <w:color w:val="auto"/>
                      <w:szCs w:val="21"/>
                      <w:highlight w:val="none"/>
                      <w:lang w:val="en-US" w:eastAsia="zh-CN"/>
                    </w:rPr>
                    <w:t>（万个/a）</w:t>
                  </w:r>
                </w:p>
              </w:tc>
              <w:tc>
                <w:tcPr>
                  <w:tcW w:w="675"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95</w:t>
                  </w:r>
                </w:p>
              </w:tc>
              <w:tc>
                <w:tcPr>
                  <w:tcW w:w="6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35</w:t>
                  </w:r>
                </w:p>
              </w:tc>
              <w:tc>
                <w:tcPr>
                  <w:tcW w:w="67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130</w:t>
                  </w:r>
                </w:p>
              </w:tc>
              <w:tc>
                <w:tcPr>
                  <w:tcW w:w="575" w:type="pct"/>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固体</w:t>
                  </w:r>
                </w:p>
              </w:tc>
              <w:tc>
                <w:tcPr>
                  <w:tcW w:w="575"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黄豆</w:t>
                  </w:r>
                </w:p>
              </w:tc>
              <w:tc>
                <w:tcPr>
                  <w:tcW w:w="675"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5850</w:t>
                  </w:r>
                </w:p>
              </w:tc>
              <w:tc>
                <w:tcPr>
                  <w:tcW w:w="675"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0</w:t>
                  </w:r>
                </w:p>
              </w:tc>
              <w:tc>
                <w:tcPr>
                  <w:tcW w:w="67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5850</w:t>
                  </w:r>
                </w:p>
              </w:tc>
              <w:tc>
                <w:tcPr>
                  <w:tcW w:w="575" w:type="pct"/>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固体</w:t>
                  </w:r>
                </w:p>
              </w:tc>
              <w:tc>
                <w:tcPr>
                  <w:tcW w:w="575" w:type="pct"/>
                  <w:vMerge w:val="restar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本项目不使用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鸡蛋</w:t>
                  </w:r>
                </w:p>
              </w:tc>
              <w:tc>
                <w:tcPr>
                  <w:tcW w:w="675"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3000</w:t>
                  </w:r>
                </w:p>
              </w:tc>
              <w:tc>
                <w:tcPr>
                  <w:tcW w:w="675"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0</w:t>
                  </w:r>
                </w:p>
              </w:tc>
              <w:tc>
                <w:tcPr>
                  <w:tcW w:w="67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3000</w:t>
                  </w:r>
                </w:p>
              </w:tc>
              <w:tc>
                <w:tcPr>
                  <w:tcW w:w="575" w:type="pct"/>
                  <w:noWrap w:val="0"/>
                  <w:vAlign w:val="center"/>
                </w:tcPr>
                <w:p>
                  <w:pPr>
                    <w:jc w:val="center"/>
                    <w:rPr>
                      <w:rFonts w:hint="eastAsia"/>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固体</w:t>
                  </w:r>
                </w:p>
              </w:tc>
              <w:tc>
                <w:tcPr>
                  <w:tcW w:w="575" w:type="pct"/>
                  <w:vMerge w:val="continue"/>
                  <w:noWrap w:val="0"/>
                  <w:vAlign w:val="center"/>
                </w:tcPr>
                <w:p>
                  <w:pPr>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竹笋</w:t>
                  </w:r>
                </w:p>
              </w:tc>
              <w:tc>
                <w:tcPr>
                  <w:tcW w:w="675"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500</w:t>
                  </w:r>
                </w:p>
              </w:tc>
              <w:tc>
                <w:tcPr>
                  <w:tcW w:w="675"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0</w:t>
                  </w:r>
                </w:p>
              </w:tc>
              <w:tc>
                <w:tcPr>
                  <w:tcW w:w="67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500</w:t>
                  </w:r>
                </w:p>
              </w:tc>
              <w:tc>
                <w:tcPr>
                  <w:tcW w:w="575" w:type="pct"/>
                  <w:noWrap w:val="0"/>
                  <w:vAlign w:val="center"/>
                </w:tcPr>
                <w:p>
                  <w:pPr>
                    <w:jc w:val="center"/>
                    <w:rPr>
                      <w:rFonts w:hint="eastAsia" w:eastAsia="宋体"/>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固体</w:t>
                  </w:r>
                </w:p>
              </w:tc>
              <w:tc>
                <w:tcPr>
                  <w:tcW w:w="575" w:type="pct"/>
                  <w:vMerge w:val="continue"/>
                  <w:noWrap w:val="0"/>
                  <w:vAlign w:val="center"/>
                </w:tcPr>
                <w:p>
                  <w:pPr>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魔芋精粉</w:t>
                  </w:r>
                </w:p>
              </w:tc>
              <w:tc>
                <w:tcPr>
                  <w:tcW w:w="675"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500</w:t>
                  </w:r>
                </w:p>
              </w:tc>
              <w:tc>
                <w:tcPr>
                  <w:tcW w:w="675"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0</w:t>
                  </w:r>
                </w:p>
              </w:tc>
              <w:tc>
                <w:tcPr>
                  <w:tcW w:w="67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500</w:t>
                  </w:r>
                </w:p>
              </w:tc>
              <w:tc>
                <w:tcPr>
                  <w:tcW w:w="575" w:type="pct"/>
                  <w:noWrap w:val="0"/>
                  <w:vAlign w:val="center"/>
                </w:tcPr>
                <w:p>
                  <w:pPr>
                    <w:jc w:val="center"/>
                    <w:rPr>
                      <w:rFonts w:hint="eastAsia"/>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粉料</w:t>
                  </w:r>
                </w:p>
              </w:tc>
              <w:tc>
                <w:tcPr>
                  <w:tcW w:w="575" w:type="pct"/>
                  <w:vMerge w:val="continue"/>
                  <w:noWrap w:val="0"/>
                  <w:vAlign w:val="center"/>
                </w:tcPr>
                <w:p>
                  <w:pPr>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花椒</w:t>
                  </w:r>
                </w:p>
              </w:tc>
              <w:tc>
                <w:tcPr>
                  <w:tcW w:w="675"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0.6</w:t>
                  </w:r>
                </w:p>
              </w:tc>
              <w:tc>
                <w:tcPr>
                  <w:tcW w:w="675"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0</w:t>
                  </w:r>
                </w:p>
              </w:tc>
              <w:tc>
                <w:tcPr>
                  <w:tcW w:w="67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0.6</w:t>
                  </w:r>
                </w:p>
              </w:tc>
              <w:tc>
                <w:tcPr>
                  <w:tcW w:w="575" w:type="pct"/>
                  <w:noWrap w:val="0"/>
                  <w:vAlign w:val="center"/>
                </w:tcPr>
                <w:p>
                  <w:pPr>
                    <w:jc w:val="center"/>
                    <w:rPr>
                      <w:rFonts w:hint="eastAsia"/>
                      <w:color w:val="auto"/>
                      <w:kern w:val="2"/>
                      <w:sz w:val="21"/>
                      <w:szCs w:val="21"/>
                      <w:highlight w:val="none"/>
                      <w:lang w:val="en-US" w:eastAsia="zh-CN" w:bidi="ar-SA"/>
                    </w:rPr>
                  </w:pPr>
                  <w:r>
                    <w:rPr>
                      <w:rFonts w:hint="eastAsia"/>
                      <w:color w:val="auto"/>
                      <w:szCs w:val="21"/>
                      <w:highlight w:val="none"/>
                      <w:lang w:val="en-US" w:eastAsia="zh-CN"/>
                    </w:rPr>
                    <w:t>外购</w:t>
                  </w:r>
                </w:p>
              </w:tc>
              <w:tc>
                <w:tcPr>
                  <w:tcW w:w="575" w:type="pct"/>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固体</w:t>
                  </w:r>
                </w:p>
              </w:tc>
              <w:tc>
                <w:tcPr>
                  <w:tcW w:w="575" w:type="pct"/>
                  <w:vMerge w:val="continue"/>
                  <w:noWrap w:val="0"/>
                  <w:vAlign w:val="center"/>
                </w:tcPr>
                <w:p>
                  <w:pPr>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2" w:type="pct"/>
                  <w:vMerge w:val="restart"/>
                  <w:noWrap w:val="0"/>
                  <w:vAlign w:val="center"/>
                </w:tcPr>
                <w:p>
                  <w:pPr>
                    <w:jc w:val="center"/>
                    <w:rPr>
                      <w:rFonts w:hint="eastAsia"/>
                      <w:color w:val="auto"/>
                      <w:szCs w:val="21"/>
                      <w:highlight w:val="none"/>
                    </w:rPr>
                  </w:pPr>
                  <w:r>
                    <w:rPr>
                      <w:rFonts w:hint="eastAsia"/>
                      <w:color w:val="auto"/>
                      <w:szCs w:val="21"/>
                      <w:highlight w:val="none"/>
                    </w:rPr>
                    <w:t>能源</w:t>
                  </w:r>
                </w:p>
              </w:tc>
              <w:tc>
                <w:tcPr>
                  <w:tcW w:w="792" w:type="pct"/>
                  <w:noWrap w:val="0"/>
                  <w:vAlign w:val="center"/>
                </w:tcPr>
                <w:p>
                  <w:pPr>
                    <w:jc w:val="center"/>
                    <w:rPr>
                      <w:rFonts w:hint="eastAsia" w:eastAsia="宋体"/>
                      <w:color w:val="auto"/>
                      <w:szCs w:val="21"/>
                      <w:highlight w:val="none"/>
                      <w:lang w:eastAsia="zh-CN"/>
                    </w:rPr>
                  </w:pPr>
                  <w:r>
                    <w:rPr>
                      <w:rFonts w:hint="eastAsia"/>
                      <w:color w:val="auto"/>
                      <w:szCs w:val="21"/>
                      <w:highlight w:val="none"/>
                    </w:rPr>
                    <w:t>水</w:t>
                  </w:r>
                  <w:r>
                    <w:rPr>
                      <w:rFonts w:hint="eastAsia"/>
                      <w:color w:val="auto"/>
                      <w:szCs w:val="21"/>
                      <w:highlight w:val="none"/>
                      <w:lang w:eastAsia="zh-CN"/>
                    </w:rPr>
                    <w:t>（</w:t>
                  </w:r>
                  <w:r>
                    <w:rPr>
                      <w:color w:val="auto"/>
                      <w:szCs w:val="21"/>
                      <w:highlight w:val="none"/>
                    </w:rPr>
                    <w:t>m</w:t>
                  </w:r>
                  <w:r>
                    <w:rPr>
                      <w:color w:val="auto"/>
                      <w:szCs w:val="21"/>
                      <w:highlight w:val="none"/>
                      <w:vertAlign w:val="superscript"/>
                    </w:rPr>
                    <w:t>3</w:t>
                  </w:r>
                  <w:r>
                    <w:rPr>
                      <w:rFonts w:hint="eastAsia"/>
                      <w:color w:val="auto"/>
                      <w:szCs w:val="21"/>
                      <w:highlight w:val="none"/>
                      <w:vertAlign w:val="baseline"/>
                      <w:lang w:val="en-US" w:eastAsia="zh-CN"/>
                    </w:rPr>
                    <w:t>/a</w:t>
                  </w:r>
                  <w:r>
                    <w:rPr>
                      <w:rFonts w:hint="eastAsia"/>
                      <w:color w:val="auto"/>
                      <w:szCs w:val="21"/>
                      <w:highlight w:val="none"/>
                      <w:lang w:eastAsia="zh-CN"/>
                    </w:rPr>
                    <w:t>）</w:t>
                  </w:r>
                </w:p>
              </w:tc>
              <w:tc>
                <w:tcPr>
                  <w:tcW w:w="675"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90000</w:t>
                  </w:r>
                </w:p>
              </w:tc>
              <w:tc>
                <w:tcPr>
                  <w:tcW w:w="675"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35591.8</w:t>
                  </w:r>
                </w:p>
              </w:tc>
              <w:tc>
                <w:tcPr>
                  <w:tcW w:w="67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w:t>
                  </w:r>
                  <w:r>
                    <w:rPr>
                      <w:rFonts w:hint="eastAsia"/>
                      <w:color w:val="auto"/>
                      <w:szCs w:val="21"/>
                      <w:highlight w:val="none"/>
                      <w:lang w:val="en-US" w:eastAsia="zh-CN"/>
                    </w:rPr>
                    <w:t>5591.8</w:t>
                  </w:r>
                </w:p>
              </w:tc>
              <w:tc>
                <w:tcPr>
                  <w:tcW w:w="575" w:type="pct"/>
                  <w:noWrap w:val="0"/>
                  <w:vAlign w:val="center"/>
                </w:tcPr>
                <w:p>
                  <w:pPr>
                    <w:jc w:val="center"/>
                    <w:rPr>
                      <w:color w:val="auto"/>
                      <w:szCs w:val="21"/>
                      <w:highlight w:val="none"/>
                    </w:rPr>
                  </w:pPr>
                  <w:r>
                    <w:rPr>
                      <w:rFonts w:hint="eastAsia"/>
                      <w:color w:val="auto"/>
                      <w:szCs w:val="21"/>
                      <w:highlight w:val="none"/>
                    </w:rPr>
                    <w:t>市政管网</w:t>
                  </w:r>
                </w:p>
              </w:tc>
              <w:tc>
                <w:tcPr>
                  <w:tcW w:w="575"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575"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Merge w:val="continue"/>
                  <w:noWrap w:val="0"/>
                  <w:vAlign w:val="center"/>
                </w:tcPr>
                <w:p>
                  <w:pPr>
                    <w:jc w:val="center"/>
                    <w:rPr>
                      <w:color w:val="auto"/>
                      <w:szCs w:val="21"/>
                      <w:highlight w:val="none"/>
                    </w:rPr>
                  </w:pPr>
                </w:p>
              </w:tc>
              <w:tc>
                <w:tcPr>
                  <w:tcW w:w="792" w:type="pct"/>
                  <w:noWrap w:val="0"/>
                  <w:vAlign w:val="center"/>
                </w:tcPr>
                <w:p>
                  <w:pPr>
                    <w:jc w:val="center"/>
                    <w:rPr>
                      <w:rFonts w:hint="eastAsia" w:eastAsia="宋体"/>
                      <w:color w:val="auto"/>
                      <w:szCs w:val="21"/>
                      <w:highlight w:val="none"/>
                      <w:lang w:eastAsia="zh-CN"/>
                    </w:rPr>
                  </w:pPr>
                  <w:r>
                    <w:rPr>
                      <w:rFonts w:hint="eastAsia"/>
                      <w:color w:val="auto"/>
                      <w:szCs w:val="21"/>
                      <w:highlight w:val="none"/>
                    </w:rPr>
                    <w:t>电</w:t>
                  </w:r>
                  <w:r>
                    <w:rPr>
                      <w:rFonts w:hint="eastAsia"/>
                      <w:color w:val="auto"/>
                      <w:szCs w:val="21"/>
                      <w:highlight w:val="none"/>
                      <w:lang w:eastAsia="zh-CN"/>
                    </w:rPr>
                    <w:t>（</w:t>
                  </w:r>
                  <w:r>
                    <w:rPr>
                      <w:rFonts w:hint="eastAsia"/>
                      <w:color w:val="auto"/>
                      <w:szCs w:val="21"/>
                      <w:highlight w:val="none"/>
                      <w:lang w:val="en-US" w:eastAsia="zh-CN"/>
                    </w:rPr>
                    <w:t>万</w:t>
                  </w:r>
                  <w:r>
                    <w:rPr>
                      <w:rFonts w:hint="eastAsia"/>
                      <w:color w:val="auto"/>
                      <w:szCs w:val="21"/>
                      <w:highlight w:val="none"/>
                    </w:rPr>
                    <w:t>k</w:t>
                  </w:r>
                  <w:r>
                    <w:rPr>
                      <w:color w:val="auto"/>
                      <w:szCs w:val="21"/>
                      <w:highlight w:val="none"/>
                    </w:rPr>
                    <w:t>W·h</w:t>
                  </w:r>
                  <w:r>
                    <w:rPr>
                      <w:rFonts w:hint="eastAsia"/>
                      <w:color w:val="auto"/>
                      <w:szCs w:val="21"/>
                      <w:highlight w:val="none"/>
                      <w:lang w:val="en-US" w:eastAsia="zh-CN"/>
                    </w:rPr>
                    <w:t>/a</w:t>
                  </w:r>
                  <w:r>
                    <w:rPr>
                      <w:rFonts w:hint="eastAsia"/>
                      <w:color w:val="auto"/>
                      <w:szCs w:val="21"/>
                      <w:highlight w:val="none"/>
                      <w:lang w:eastAsia="zh-CN"/>
                    </w:rPr>
                    <w:t>）</w:t>
                  </w:r>
                </w:p>
              </w:tc>
              <w:tc>
                <w:tcPr>
                  <w:tcW w:w="675"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170</w:t>
                  </w:r>
                </w:p>
              </w:tc>
              <w:tc>
                <w:tcPr>
                  <w:tcW w:w="675"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120</w:t>
                  </w:r>
                </w:p>
              </w:tc>
              <w:tc>
                <w:tcPr>
                  <w:tcW w:w="67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290</w:t>
                  </w:r>
                </w:p>
              </w:tc>
              <w:tc>
                <w:tcPr>
                  <w:tcW w:w="575" w:type="pct"/>
                  <w:noWrap w:val="0"/>
                  <w:vAlign w:val="center"/>
                </w:tcPr>
                <w:p>
                  <w:pPr>
                    <w:jc w:val="center"/>
                    <w:rPr>
                      <w:color w:val="auto"/>
                      <w:szCs w:val="21"/>
                      <w:highlight w:val="none"/>
                    </w:rPr>
                  </w:pPr>
                  <w:r>
                    <w:rPr>
                      <w:rFonts w:hint="eastAsia"/>
                      <w:color w:val="auto"/>
                      <w:szCs w:val="21"/>
                      <w:highlight w:val="none"/>
                    </w:rPr>
                    <w:t>市政电网</w:t>
                  </w:r>
                </w:p>
              </w:tc>
              <w:tc>
                <w:tcPr>
                  <w:tcW w:w="575"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575"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452" w:type="pct"/>
                  <w:vMerge w:val="continue"/>
                  <w:noWrap w:val="0"/>
                  <w:vAlign w:val="center"/>
                </w:tcPr>
                <w:p>
                  <w:pPr>
                    <w:jc w:val="center"/>
                    <w:rPr>
                      <w:color w:val="auto"/>
                      <w:szCs w:val="21"/>
                      <w:highlight w:val="none"/>
                    </w:rPr>
                  </w:pPr>
                </w:p>
              </w:tc>
              <w:tc>
                <w:tcPr>
                  <w:tcW w:w="792" w:type="pct"/>
                  <w:vMerge w:val="restar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天然气（万</w:t>
                  </w:r>
                  <w:r>
                    <w:rPr>
                      <w:color w:val="auto"/>
                      <w:szCs w:val="21"/>
                      <w:highlight w:val="none"/>
                    </w:rPr>
                    <w:t>m</w:t>
                  </w:r>
                  <w:r>
                    <w:rPr>
                      <w:color w:val="auto"/>
                      <w:szCs w:val="21"/>
                      <w:highlight w:val="none"/>
                      <w:vertAlign w:val="superscript"/>
                    </w:rPr>
                    <w:t>3</w:t>
                  </w:r>
                  <w:r>
                    <w:rPr>
                      <w:rFonts w:hint="eastAsia"/>
                      <w:color w:val="auto"/>
                      <w:szCs w:val="21"/>
                      <w:highlight w:val="none"/>
                      <w:vertAlign w:val="baseline"/>
                      <w:lang w:val="en-US" w:eastAsia="zh-CN"/>
                    </w:rPr>
                    <w:t>/a</w:t>
                  </w:r>
                  <w:r>
                    <w:rPr>
                      <w:rFonts w:hint="eastAsia"/>
                      <w:color w:val="auto"/>
                      <w:szCs w:val="21"/>
                      <w:highlight w:val="none"/>
                      <w:lang w:val="en-US" w:eastAsia="zh-CN"/>
                    </w:rPr>
                    <w:t>）</w:t>
                  </w:r>
                </w:p>
              </w:tc>
              <w:tc>
                <w:tcPr>
                  <w:tcW w:w="675"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100</w:t>
                  </w:r>
                </w:p>
              </w:tc>
              <w:tc>
                <w:tcPr>
                  <w:tcW w:w="675" w:type="pct"/>
                  <w:noWrap w:val="0"/>
                  <w:vAlign w:val="center"/>
                </w:tcPr>
                <w:p>
                  <w:pPr>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50</w:t>
                  </w:r>
                </w:p>
              </w:tc>
              <w:tc>
                <w:tcPr>
                  <w:tcW w:w="67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150</w:t>
                  </w:r>
                </w:p>
              </w:tc>
              <w:tc>
                <w:tcPr>
                  <w:tcW w:w="575" w:type="pct"/>
                  <w:noWrap w:val="0"/>
                  <w:vAlign w:val="center"/>
                </w:tcPr>
                <w:p>
                  <w:pPr>
                    <w:jc w:val="center"/>
                    <w:rPr>
                      <w:rFonts w:hint="eastAsia"/>
                      <w:color w:val="auto"/>
                      <w:kern w:val="2"/>
                      <w:sz w:val="21"/>
                      <w:szCs w:val="21"/>
                      <w:highlight w:val="none"/>
                      <w:lang w:val="en-US" w:eastAsia="zh-CN" w:bidi="ar-SA"/>
                    </w:rPr>
                  </w:pPr>
                  <w:r>
                    <w:rPr>
                      <w:rFonts w:hint="eastAsia"/>
                      <w:color w:val="auto"/>
                      <w:szCs w:val="21"/>
                      <w:highlight w:val="none"/>
                    </w:rPr>
                    <w:t>市政管网</w:t>
                  </w:r>
                </w:p>
              </w:tc>
              <w:tc>
                <w:tcPr>
                  <w:tcW w:w="575"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575"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蒸气用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452" w:type="pct"/>
                  <w:vMerge w:val="continue"/>
                  <w:noWrap w:val="0"/>
                  <w:vAlign w:val="center"/>
                </w:tcPr>
                <w:p>
                  <w:pPr>
                    <w:jc w:val="center"/>
                    <w:rPr>
                      <w:color w:val="auto"/>
                      <w:szCs w:val="21"/>
                      <w:highlight w:val="none"/>
                    </w:rPr>
                  </w:pPr>
                </w:p>
              </w:tc>
              <w:tc>
                <w:tcPr>
                  <w:tcW w:w="792" w:type="pct"/>
                  <w:vMerge w:val="continue"/>
                  <w:noWrap w:val="0"/>
                  <w:vAlign w:val="center"/>
                </w:tcPr>
                <w:p>
                  <w:pPr>
                    <w:jc w:val="center"/>
                    <w:rPr>
                      <w:rFonts w:hint="eastAsia"/>
                      <w:color w:val="auto"/>
                      <w:szCs w:val="21"/>
                      <w:highlight w:val="none"/>
                      <w:lang w:val="en-US" w:eastAsia="zh-CN"/>
                    </w:rPr>
                  </w:pPr>
                </w:p>
              </w:tc>
              <w:tc>
                <w:tcPr>
                  <w:tcW w:w="675"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30</w:t>
                  </w:r>
                </w:p>
              </w:tc>
              <w:tc>
                <w:tcPr>
                  <w:tcW w:w="675" w:type="pct"/>
                  <w:noWrap w:val="0"/>
                  <w:vAlign w:val="center"/>
                </w:tcPr>
                <w:p>
                  <w:pPr>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10</w:t>
                  </w:r>
                </w:p>
              </w:tc>
              <w:tc>
                <w:tcPr>
                  <w:tcW w:w="67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40</w:t>
                  </w:r>
                </w:p>
              </w:tc>
              <w:tc>
                <w:tcPr>
                  <w:tcW w:w="575" w:type="pct"/>
                  <w:noWrap w:val="0"/>
                  <w:vAlign w:val="center"/>
                </w:tcPr>
                <w:p>
                  <w:pPr>
                    <w:jc w:val="center"/>
                    <w:rPr>
                      <w:rFonts w:hint="eastAsia"/>
                      <w:color w:val="auto"/>
                      <w:szCs w:val="21"/>
                      <w:highlight w:val="none"/>
                    </w:rPr>
                  </w:pPr>
                  <w:r>
                    <w:rPr>
                      <w:rFonts w:hint="eastAsia"/>
                      <w:color w:val="auto"/>
                      <w:szCs w:val="21"/>
                      <w:highlight w:val="none"/>
                    </w:rPr>
                    <w:t>市政管网</w:t>
                  </w:r>
                </w:p>
              </w:tc>
              <w:tc>
                <w:tcPr>
                  <w:tcW w:w="575"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575"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食堂用</w:t>
                  </w:r>
                </w:p>
              </w:tc>
            </w:tr>
          </w:tbl>
          <w:p>
            <w:pPr>
              <w:pStyle w:val="41"/>
              <w:bidi w:val="0"/>
              <w:rPr>
                <w:b/>
                <w:bCs/>
                <w:color w:val="auto"/>
                <w:szCs w:val="21"/>
                <w:highlight w:val="none"/>
                <w:shd w:val="clear" w:color="auto" w:fill="FFFFFF"/>
              </w:rPr>
            </w:pPr>
            <w:r>
              <w:rPr>
                <w:b/>
                <w:bCs/>
                <w:color w:val="auto"/>
                <w:szCs w:val="21"/>
                <w:highlight w:val="none"/>
                <w:shd w:val="clear" w:color="auto" w:fill="FFFFFF"/>
              </w:rPr>
              <w:t>表2-</w:t>
            </w:r>
            <w:r>
              <w:rPr>
                <w:rFonts w:hint="eastAsia"/>
                <w:b/>
                <w:bCs/>
                <w:color w:val="auto"/>
                <w:szCs w:val="21"/>
                <w:highlight w:val="none"/>
                <w:shd w:val="clear" w:color="auto" w:fill="FFFFFF"/>
                <w:lang w:val="en-US" w:eastAsia="zh-CN"/>
              </w:rPr>
              <w:t>6</w:t>
            </w:r>
            <w:r>
              <w:rPr>
                <w:b/>
                <w:bCs/>
                <w:color w:val="auto"/>
                <w:szCs w:val="21"/>
                <w:highlight w:val="none"/>
                <w:shd w:val="clear" w:color="auto" w:fill="FFFFFF"/>
              </w:rPr>
              <w:t xml:space="preserve">  </w:t>
            </w:r>
            <w:r>
              <w:rPr>
                <w:rFonts w:hint="eastAsia"/>
                <w:b/>
                <w:bCs/>
                <w:color w:val="auto"/>
                <w:szCs w:val="21"/>
                <w:highlight w:val="none"/>
                <w:shd w:val="clear" w:color="auto" w:fill="FFFFFF"/>
                <w:lang w:val="en-US" w:eastAsia="zh-CN"/>
              </w:rPr>
              <w:t>化验室主要药品</w:t>
            </w:r>
            <w:r>
              <w:rPr>
                <w:rFonts w:hint="eastAsia"/>
                <w:b/>
                <w:bCs/>
                <w:color w:val="auto"/>
                <w:szCs w:val="21"/>
                <w:highlight w:val="none"/>
                <w:shd w:val="clear" w:color="auto" w:fill="FFFFFF"/>
              </w:rPr>
              <w:t>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1863"/>
              <w:gridCol w:w="1431"/>
              <w:gridCol w:w="1431"/>
              <w:gridCol w:w="1431"/>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vMerge w:val="restart"/>
                  <w:noWrap w:val="0"/>
                  <w:vAlign w:val="center"/>
                </w:tcPr>
                <w:p>
                  <w:pPr>
                    <w:jc w:val="center"/>
                    <w:rPr>
                      <w:rFonts w:hint="eastAsia" w:eastAsia="宋体"/>
                      <w:b/>
                      <w:bCs/>
                      <w:color w:val="auto"/>
                      <w:szCs w:val="21"/>
                      <w:highlight w:val="none"/>
                      <w:lang w:val="en-US" w:eastAsia="zh-CN"/>
                    </w:rPr>
                  </w:pPr>
                  <w:r>
                    <w:rPr>
                      <w:rFonts w:hint="eastAsia"/>
                      <w:b/>
                      <w:bCs/>
                      <w:color w:val="auto"/>
                      <w:szCs w:val="21"/>
                      <w:highlight w:val="none"/>
                      <w:lang w:val="en-US" w:eastAsia="zh-CN"/>
                    </w:rPr>
                    <w:t>序号</w:t>
                  </w:r>
                </w:p>
              </w:tc>
              <w:tc>
                <w:tcPr>
                  <w:tcW w:w="1108" w:type="pct"/>
                  <w:vMerge w:val="restart"/>
                  <w:noWrap w:val="0"/>
                  <w:vAlign w:val="center"/>
                </w:tcPr>
                <w:p>
                  <w:pPr>
                    <w:jc w:val="center"/>
                    <w:rPr>
                      <w:b/>
                      <w:bCs/>
                      <w:color w:val="auto"/>
                      <w:szCs w:val="21"/>
                      <w:highlight w:val="none"/>
                    </w:rPr>
                  </w:pPr>
                  <w:r>
                    <w:rPr>
                      <w:b/>
                      <w:bCs/>
                      <w:color w:val="auto"/>
                      <w:szCs w:val="21"/>
                      <w:highlight w:val="none"/>
                    </w:rPr>
                    <w:t>名称</w:t>
                  </w:r>
                </w:p>
              </w:tc>
              <w:tc>
                <w:tcPr>
                  <w:tcW w:w="2553" w:type="pct"/>
                  <w:gridSpan w:val="3"/>
                  <w:noWrap w:val="0"/>
                  <w:vAlign w:val="center"/>
                </w:tcPr>
                <w:p>
                  <w:pPr>
                    <w:jc w:val="center"/>
                    <w:rPr>
                      <w:rFonts w:hint="eastAsia" w:eastAsia="宋体"/>
                      <w:b/>
                      <w:bCs/>
                      <w:color w:val="auto"/>
                      <w:szCs w:val="21"/>
                      <w:highlight w:val="none"/>
                      <w:lang w:val="en-US" w:eastAsia="zh-CN"/>
                    </w:rPr>
                  </w:pPr>
                  <w:r>
                    <w:rPr>
                      <w:rFonts w:hint="eastAsia"/>
                      <w:b/>
                      <w:bCs/>
                      <w:color w:val="auto"/>
                      <w:szCs w:val="21"/>
                      <w:highlight w:val="none"/>
                      <w:lang w:val="en-US" w:eastAsia="zh-CN"/>
                    </w:rPr>
                    <w:t>用量（瓶/a）</w:t>
                  </w:r>
                </w:p>
              </w:tc>
              <w:tc>
                <w:tcPr>
                  <w:tcW w:w="838" w:type="pct"/>
                  <w:vMerge w:val="restart"/>
                  <w:noWrap w:val="0"/>
                  <w:vAlign w:val="center"/>
                </w:tcPr>
                <w:p>
                  <w:pPr>
                    <w:jc w:val="center"/>
                    <w:rPr>
                      <w:rFonts w:hint="eastAsia" w:eastAsia="宋体"/>
                      <w:b/>
                      <w:bCs/>
                      <w:color w:val="auto"/>
                      <w:szCs w:val="21"/>
                      <w:highlight w:val="none"/>
                      <w:lang w:eastAsia="zh-CN"/>
                    </w:rPr>
                  </w:pPr>
                  <w:r>
                    <w:rPr>
                      <w:rFonts w:hint="eastAsia"/>
                      <w:b/>
                      <w:bCs/>
                      <w:color w:val="auto"/>
                      <w:szCs w:val="21"/>
                      <w:highlight w:val="none"/>
                      <w:lang w:val="en-US" w:eastAsia="zh-CN"/>
                    </w:rPr>
                    <w:t>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vMerge w:val="continue"/>
                  <w:noWrap w:val="0"/>
                  <w:vAlign w:val="center"/>
                </w:tcPr>
                <w:p>
                  <w:pPr>
                    <w:jc w:val="center"/>
                    <w:rPr>
                      <w:b/>
                      <w:bCs/>
                      <w:color w:val="auto"/>
                      <w:szCs w:val="21"/>
                      <w:highlight w:val="none"/>
                    </w:rPr>
                  </w:pPr>
                </w:p>
              </w:tc>
              <w:tc>
                <w:tcPr>
                  <w:tcW w:w="1108" w:type="pct"/>
                  <w:vMerge w:val="continue"/>
                  <w:noWrap w:val="0"/>
                  <w:vAlign w:val="center"/>
                </w:tcPr>
                <w:p>
                  <w:pPr>
                    <w:jc w:val="center"/>
                    <w:rPr>
                      <w:b/>
                      <w:bCs/>
                      <w:color w:val="auto"/>
                      <w:szCs w:val="21"/>
                      <w:highlight w:val="none"/>
                    </w:rPr>
                  </w:pPr>
                </w:p>
              </w:tc>
              <w:tc>
                <w:tcPr>
                  <w:tcW w:w="851" w:type="pct"/>
                  <w:noWrap w:val="0"/>
                  <w:vAlign w:val="center"/>
                </w:tcPr>
                <w:p>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现有项目</w:t>
                  </w:r>
                </w:p>
              </w:tc>
              <w:tc>
                <w:tcPr>
                  <w:tcW w:w="851" w:type="pct"/>
                  <w:noWrap w:val="0"/>
                  <w:vAlign w:val="center"/>
                </w:tcPr>
                <w:p>
                  <w:pPr>
                    <w:jc w:val="center"/>
                    <w:rPr>
                      <w:rFonts w:hint="eastAsia" w:eastAsia="宋体"/>
                      <w:b/>
                      <w:bCs/>
                      <w:color w:val="auto"/>
                      <w:szCs w:val="21"/>
                      <w:highlight w:val="none"/>
                      <w:lang w:val="en-US" w:eastAsia="zh-CN"/>
                    </w:rPr>
                  </w:pPr>
                  <w:r>
                    <w:rPr>
                      <w:rFonts w:hint="eastAsia"/>
                      <w:b/>
                      <w:bCs/>
                      <w:color w:val="auto"/>
                      <w:szCs w:val="21"/>
                      <w:highlight w:val="none"/>
                      <w:lang w:val="en-US" w:eastAsia="zh-CN"/>
                    </w:rPr>
                    <w:t>本项目</w:t>
                  </w:r>
                </w:p>
              </w:tc>
              <w:tc>
                <w:tcPr>
                  <w:tcW w:w="851" w:type="pct"/>
                  <w:noWrap w:val="0"/>
                  <w:vAlign w:val="center"/>
                </w:tcPr>
                <w:p>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扩建后全厂</w:t>
                  </w:r>
                </w:p>
              </w:tc>
              <w:tc>
                <w:tcPr>
                  <w:tcW w:w="838" w:type="pct"/>
                  <w:vMerge w:val="continue"/>
                  <w:noWrap w:val="0"/>
                  <w:vAlign w:val="center"/>
                </w:tcPr>
                <w:p>
                  <w:pPr>
                    <w:jc w:val="center"/>
                    <w:rPr>
                      <w:rFonts w:hint="eastAsia"/>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499"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1108"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浓硫酸</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851"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2</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4</w:t>
                  </w:r>
                </w:p>
              </w:tc>
              <w:tc>
                <w:tcPr>
                  <w:tcW w:w="838"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AR 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499"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1108"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铬酸钾</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3</w:t>
                  </w:r>
                </w:p>
              </w:tc>
              <w:tc>
                <w:tcPr>
                  <w:tcW w:w="851"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3</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6</w:t>
                  </w:r>
                </w:p>
              </w:tc>
              <w:tc>
                <w:tcPr>
                  <w:tcW w:w="838"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100g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499"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3</w:t>
                  </w:r>
                </w:p>
              </w:tc>
              <w:tc>
                <w:tcPr>
                  <w:tcW w:w="1108"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酚酞</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851"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1</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838"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IND 100g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499"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4</w:t>
                  </w:r>
                </w:p>
              </w:tc>
              <w:tc>
                <w:tcPr>
                  <w:tcW w:w="1108"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溴甲酚氯</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851"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1</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838"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IND 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499"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5</w:t>
                  </w:r>
                </w:p>
              </w:tc>
              <w:tc>
                <w:tcPr>
                  <w:tcW w:w="1108"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甲基红</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851"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1</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838"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IND 25g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499"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6</w:t>
                  </w:r>
                </w:p>
              </w:tc>
              <w:tc>
                <w:tcPr>
                  <w:tcW w:w="1108"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硝酸银</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851"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1</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838"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AR 25g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499"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7</w:t>
                  </w:r>
                </w:p>
              </w:tc>
              <w:tc>
                <w:tcPr>
                  <w:tcW w:w="1108"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浓盐酸</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4</w:t>
                  </w:r>
                </w:p>
              </w:tc>
              <w:tc>
                <w:tcPr>
                  <w:tcW w:w="851"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4</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8</w:t>
                  </w:r>
                </w:p>
              </w:tc>
              <w:tc>
                <w:tcPr>
                  <w:tcW w:w="838"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AR 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499"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8</w:t>
                  </w:r>
                </w:p>
              </w:tc>
              <w:tc>
                <w:tcPr>
                  <w:tcW w:w="1108"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硫酸钾</w:t>
                  </w:r>
                </w:p>
              </w:tc>
              <w:tc>
                <w:tcPr>
                  <w:tcW w:w="851"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10</w:t>
                  </w:r>
                </w:p>
              </w:tc>
              <w:tc>
                <w:tcPr>
                  <w:tcW w:w="851"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10</w:t>
                  </w:r>
                </w:p>
              </w:tc>
              <w:tc>
                <w:tcPr>
                  <w:tcW w:w="851"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20</w:t>
                  </w:r>
                </w:p>
              </w:tc>
              <w:tc>
                <w:tcPr>
                  <w:tcW w:w="838"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AR 500g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499"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9</w:t>
                  </w:r>
                </w:p>
              </w:tc>
              <w:tc>
                <w:tcPr>
                  <w:tcW w:w="1108"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硫酸铜</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851"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2</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4</w:t>
                  </w:r>
                </w:p>
              </w:tc>
              <w:tc>
                <w:tcPr>
                  <w:tcW w:w="838" w:type="pct"/>
                  <w:noWrap w:val="0"/>
                  <w:vAlign w:val="center"/>
                </w:tcPr>
                <w:p>
                  <w:pPr>
                    <w:jc w:val="center"/>
                    <w:rPr>
                      <w:rFonts w:hint="eastAsia" w:eastAsia="宋体"/>
                      <w:color w:val="auto"/>
                      <w:szCs w:val="21"/>
                      <w:highlight w:val="none"/>
                      <w:lang w:val="en-US" w:eastAsia="zh-CN"/>
                    </w:rPr>
                  </w:pPr>
                  <w:r>
                    <w:rPr>
                      <w:rFonts w:hint="eastAsia" w:eastAsia="宋体"/>
                      <w:color w:val="auto"/>
                      <w:szCs w:val="21"/>
                      <w:highlight w:val="none"/>
                      <w:lang w:val="en-US" w:eastAsia="zh-CN"/>
                    </w:rPr>
                    <w:t>AR 500g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499"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10</w:t>
                  </w:r>
                </w:p>
              </w:tc>
              <w:tc>
                <w:tcPr>
                  <w:tcW w:w="1108"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硼酸</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851"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2</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4</w:t>
                  </w:r>
                </w:p>
              </w:tc>
              <w:tc>
                <w:tcPr>
                  <w:tcW w:w="838" w:type="pct"/>
                  <w:noWrap w:val="0"/>
                  <w:vAlign w:val="center"/>
                </w:tcPr>
                <w:p>
                  <w:pPr>
                    <w:jc w:val="center"/>
                    <w:rPr>
                      <w:rFonts w:hint="eastAsia" w:eastAsia="宋体"/>
                      <w:color w:val="auto"/>
                      <w:szCs w:val="21"/>
                      <w:highlight w:val="none"/>
                      <w:lang w:val="en-US" w:eastAsia="zh-CN"/>
                    </w:rPr>
                  </w:pPr>
                  <w:r>
                    <w:rPr>
                      <w:rFonts w:hint="eastAsia" w:eastAsia="宋体"/>
                      <w:color w:val="auto"/>
                      <w:szCs w:val="21"/>
                      <w:highlight w:val="none"/>
                      <w:lang w:val="en-US" w:eastAsia="zh-CN"/>
                    </w:rPr>
                    <w:t>AR 500g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499"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11</w:t>
                  </w:r>
                </w:p>
              </w:tc>
              <w:tc>
                <w:tcPr>
                  <w:tcW w:w="1108"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月桂基硫酸盐胰蛋白胨肉汤</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851"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1</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838"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BR 250g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499"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12</w:t>
                  </w:r>
                </w:p>
              </w:tc>
              <w:tc>
                <w:tcPr>
                  <w:tcW w:w="1108"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煌绿乳糖胆盐肉汤</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851"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1</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838" w:type="pct"/>
                  <w:noWrap w:val="0"/>
                  <w:vAlign w:val="center"/>
                </w:tcPr>
                <w:p>
                  <w:pPr>
                    <w:jc w:val="center"/>
                    <w:rPr>
                      <w:rFonts w:hint="eastAsia" w:eastAsia="宋体"/>
                      <w:color w:val="auto"/>
                      <w:szCs w:val="21"/>
                      <w:highlight w:val="none"/>
                      <w:lang w:val="en-US" w:eastAsia="zh-CN"/>
                    </w:rPr>
                  </w:pPr>
                  <w:r>
                    <w:rPr>
                      <w:rFonts w:hint="eastAsia" w:eastAsia="宋体"/>
                      <w:color w:val="auto"/>
                      <w:szCs w:val="21"/>
                      <w:highlight w:val="none"/>
                      <w:lang w:val="en-US" w:eastAsia="zh-CN"/>
                    </w:rPr>
                    <w:t>BR 250g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499" w:type="pct"/>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13</w:t>
                  </w:r>
                </w:p>
              </w:tc>
              <w:tc>
                <w:tcPr>
                  <w:tcW w:w="1108"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结晶紫中性红胆盐</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851"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1</w:t>
                  </w:r>
                </w:p>
              </w:tc>
              <w:tc>
                <w:tcPr>
                  <w:tcW w:w="851" w:type="pct"/>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838" w:type="pct"/>
                  <w:noWrap w:val="0"/>
                  <w:vAlign w:val="center"/>
                </w:tcPr>
                <w:p>
                  <w:pPr>
                    <w:jc w:val="center"/>
                    <w:rPr>
                      <w:rFonts w:hint="eastAsia" w:eastAsia="宋体"/>
                      <w:color w:val="auto"/>
                      <w:szCs w:val="21"/>
                      <w:highlight w:val="none"/>
                      <w:lang w:val="en-US" w:eastAsia="zh-CN"/>
                    </w:rPr>
                  </w:pPr>
                  <w:r>
                    <w:rPr>
                      <w:rFonts w:hint="eastAsia" w:eastAsia="宋体"/>
                      <w:color w:val="auto"/>
                      <w:szCs w:val="21"/>
                      <w:highlight w:val="none"/>
                      <w:lang w:val="en-US" w:eastAsia="zh-CN"/>
                    </w:rPr>
                    <w:t>BR 250g</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b/>
                <w:bCs w:val="0"/>
                <w:color w:val="auto"/>
                <w:sz w:val="24"/>
                <w:highlight w:val="none"/>
                <w:lang w:val="en-US" w:eastAsia="zh-CN"/>
              </w:rPr>
            </w:pPr>
            <w:r>
              <w:rPr>
                <w:rFonts w:hint="eastAsia"/>
                <w:b/>
                <w:bCs w:val="0"/>
                <w:color w:val="auto"/>
                <w:sz w:val="24"/>
                <w:highlight w:val="none"/>
                <w:lang w:val="en-US" w:eastAsia="zh-CN"/>
              </w:rPr>
              <w:t>（2）原辅材料理化性质</w:t>
            </w:r>
          </w:p>
          <w:p>
            <w:pPr>
              <w:spacing w:line="360" w:lineRule="auto"/>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①大豆拉丝蛋白</w:t>
            </w:r>
          </w:p>
          <w:p>
            <w:pPr>
              <w:spacing w:line="360" w:lineRule="auto"/>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大豆拉丝蛋白是一种挤压组织膨化食品，是以大豆植物蛋白质为主要原料的膨化物，它区别于一般以淀粉为主要原料的谷物膨化食品，是一种高蛋白的新型豆制品。大豆拉丝蛋白具有真实肉质纤维和组织，非常适合用于各类高级仿肉素食食品的加工。</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②大豆分离蛋白粉</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在低温条件下将豆粕（除去油和水溶性非蛋白成分）放入碱性溶液中浸提，然后沉淀、洗涤、干燥得到蛋白含量大于90%的蛋白粉，其结构和性质基本代替纯的大豆蛋白。</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③PAC</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聚合氯化铝（PAC）是一种无机物，一种新兴净水材料、无机高分子混凝剂，简称聚铝。它是介于AlCl</w:t>
            </w:r>
            <w:r>
              <w:rPr>
                <w:rFonts w:hint="eastAsia" w:ascii="Times New Roman" w:hAnsi="Times New Roman" w:eastAsia="宋体" w:cs="Times New Roman"/>
                <w:bCs/>
                <w:color w:val="auto"/>
                <w:sz w:val="24"/>
                <w:highlight w:val="none"/>
                <w:vertAlign w:val="subscript"/>
                <w:lang w:val="en-US" w:eastAsia="zh-CN"/>
              </w:rPr>
              <w:t>3</w:t>
            </w:r>
            <w:r>
              <w:rPr>
                <w:rFonts w:hint="eastAsia" w:ascii="Times New Roman" w:hAnsi="Times New Roman" w:eastAsia="宋体" w:cs="Times New Roman"/>
                <w:bCs/>
                <w:color w:val="auto"/>
                <w:sz w:val="24"/>
                <w:highlight w:val="none"/>
                <w:lang w:val="en-US" w:eastAsia="zh-CN"/>
              </w:rPr>
              <w:t>和Al(OH)</w:t>
            </w:r>
            <w:r>
              <w:rPr>
                <w:rFonts w:hint="eastAsia" w:ascii="Times New Roman" w:hAnsi="Times New Roman" w:eastAsia="宋体" w:cs="Times New Roman"/>
                <w:bCs/>
                <w:color w:val="auto"/>
                <w:sz w:val="24"/>
                <w:highlight w:val="none"/>
                <w:vertAlign w:val="subscript"/>
                <w:lang w:val="en-US" w:eastAsia="zh-CN"/>
              </w:rPr>
              <w:t>3</w:t>
            </w:r>
            <w:r>
              <w:rPr>
                <w:rFonts w:hint="eastAsia" w:ascii="Times New Roman" w:hAnsi="Times New Roman" w:eastAsia="宋体" w:cs="Times New Roman"/>
                <w:bCs/>
                <w:color w:val="auto"/>
                <w:sz w:val="24"/>
                <w:highlight w:val="none"/>
                <w:lang w:val="en-US" w:eastAsia="zh-CN"/>
              </w:rPr>
              <w:t>之间的一种水溶性无机高分子聚合物，化学通式为[Al</w:t>
            </w:r>
            <w:r>
              <w:rPr>
                <w:rFonts w:hint="eastAsia" w:ascii="Times New Roman" w:hAnsi="Times New Roman" w:eastAsia="宋体" w:cs="Times New Roman"/>
                <w:bCs/>
                <w:color w:val="auto"/>
                <w:sz w:val="24"/>
                <w:highlight w:val="none"/>
                <w:vertAlign w:val="subscript"/>
                <w:lang w:val="en-US" w:eastAsia="zh-CN"/>
              </w:rPr>
              <w:t>2</w:t>
            </w:r>
            <w:r>
              <w:rPr>
                <w:rFonts w:hint="eastAsia" w:ascii="Times New Roman" w:hAnsi="Times New Roman" w:eastAsia="宋体" w:cs="Times New Roman"/>
                <w:bCs/>
                <w:color w:val="auto"/>
                <w:sz w:val="24"/>
                <w:highlight w:val="none"/>
                <w:lang w:val="en-US" w:eastAsia="zh-CN"/>
              </w:rPr>
              <w:t>(OH)nCl</w:t>
            </w:r>
            <w:r>
              <w:rPr>
                <w:rFonts w:hint="eastAsia" w:ascii="Times New Roman" w:hAnsi="Times New Roman" w:eastAsia="宋体" w:cs="Times New Roman"/>
                <w:bCs/>
                <w:color w:val="auto"/>
                <w:sz w:val="24"/>
                <w:highlight w:val="none"/>
                <w:vertAlign w:val="subscript"/>
                <w:lang w:val="en-US" w:eastAsia="zh-CN"/>
              </w:rPr>
              <w:t>6</w:t>
            </w:r>
            <w:r>
              <w:rPr>
                <w:rFonts w:hint="eastAsia" w:ascii="Times New Roman" w:hAnsi="Times New Roman" w:eastAsia="宋体" w:cs="Times New Roman"/>
                <w:bCs/>
                <w:color w:val="auto"/>
                <w:sz w:val="24"/>
                <w:highlight w:val="none"/>
                <w:vertAlign w:val="superscript"/>
                <w:lang w:val="en-US" w:eastAsia="zh-CN"/>
              </w:rPr>
              <w:t>-n</w:t>
            </w:r>
            <w:r>
              <w:rPr>
                <w:rFonts w:hint="eastAsia"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vertAlign w:val="subscript"/>
                <w:lang w:val="en-US" w:eastAsia="zh-CN"/>
              </w:rPr>
              <w:t>m</w:t>
            </w:r>
            <w:r>
              <w:rPr>
                <w:rFonts w:hint="eastAsia" w:ascii="Times New Roman" w:hAnsi="Times New Roman" w:eastAsia="宋体" w:cs="Times New Roman"/>
                <w:bCs/>
                <w:color w:val="auto"/>
                <w:sz w:val="24"/>
                <w:highlight w:val="none"/>
                <w:lang w:val="en-US" w:eastAsia="zh-CN"/>
              </w:rPr>
              <w:t>。n=1~5为具有Keggin结构的高电荷聚合环链体，对水中胶体和颗粒物具有高度电中和及桥联作用，并可强力去除微有毒物及重金属离子，性状稳定。检验方法可按国标GB 15892--2003标准检验。由于氢氧根离子的架桥作用和多价阴离子的聚合作用，生产出来的聚合氯化铝是相对分子质量较大、电荷较高的无机高分子水处理药剂。</w:t>
            </w:r>
          </w:p>
          <w:p>
            <w:pPr>
              <w:spacing w:line="360" w:lineRule="auto"/>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④PAM</w:t>
            </w:r>
          </w:p>
          <w:p>
            <w:pPr>
              <w:spacing w:line="360" w:lineRule="auto"/>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聚丙烯酰胺（PAM）是一种线型高分子聚合物，化学式为(C</w:t>
            </w:r>
            <w:r>
              <w:rPr>
                <w:rFonts w:hint="eastAsia" w:ascii="Times New Roman" w:hAnsi="Times New Roman" w:eastAsia="宋体" w:cs="Times New Roman"/>
                <w:bCs/>
                <w:color w:val="auto"/>
                <w:sz w:val="24"/>
                <w:highlight w:val="none"/>
                <w:vertAlign w:val="subscript"/>
                <w:lang w:val="en-US" w:eastAsia="zh-CN"/>
              </w:rPr>
              <w:t>3</w:t>
            </w:r>
            <w:r>
              <w:rPr>
                <w:rFonts w:hint="eastAsia" w:ascii="Times New Roman" w:hAnsi="Times New Roman" w:eastAsia="宋体" w:cs="Times New Roman"/>
                <w:bCs/>
                <w:color w:val="auto"/>
                <w:sz w:val="24"/>
                <w:highlight w:val="none"/>
                <w:lang w:val="en-US" w:eastAsia="zh-CN"/>
              </w:rPr>
              <w:t>H</w:t>
            </w:r>
            <w:r>
              <w:rPr>
                <w:rFonts w:hint="eastAsia" w:ascii="Times New Roman" w:hAnsi="Times New Roman" w:eastAsia="宋体" w:cs="Times New Roman"/>
                <w:bCs/>
                <w:color w:val="auto"/>
                <w:sz w:val="24"/>
                <w:highlight w:val="none"/>
                <w:vertAlign w:val="subscript"/>
                <w:lang w:val="en-US" w:eastAsia="zh-CN"/>
              </w:rPr>
              <w:t>5</w:t>
            </w:r>
            <w:r>
              <w:rPr>
                <w:rFonts w:hint="eastAsia" w:ascii="Times New Roman" w:hAnsi="Times New Roman" w:eastAsia="宋体" w:cs="Times New Roman"/>
                <w:bCs/>
                <w:color w:val="auto"/>
                <w:sz w:val="24"/>
                <w:highlight w:val="none"/>
                <w:lang w:val="en-US" w:eastAsia="zh-CN"/>
              </w:rPr>
              <w:t>NO)</w:t>
            </w:r>
            <w:r>
              <w:rPr>
                <w:rFonts w:hint="eastAsia" w:ascii="Times New Roman" w:hAnsi="Times New Roman" w:eastAsia="宋体" w:cs="Times New Roman"/>
                <w:bCs/>
                <w:color w:val="auto"/>
                <w:sz w:val="24"/>
                <w:highlight w:val="none"/>
                <w:vertAlign w:val="subscript"/>
                <w:lang w:val="en-US" w:eastAsia="zh-CN"/>
              </w:rPr>
              <w:t>n</w:t>
            </w:r>
            <w:r>
              <w:rPr>
                <w:rFonts w:hint="eastAsia" w:ascii="Times New Roman" w:hAnsi="Times New Roman" w:eastAsia="宋体" w:cs="Times New Roman"/>
                <w:bCs/>
                <w:color w:val="auto"/>
                <w:sz w:val="24"/>
                <w:highlight w:val="none"/>
                <w:lang w:val="en-US" w:eastAsia="zh-CN"/>
              </w:rPr>
              <w:t>。在常温下为坚硬的玻璃态固体，产品有胶液、胶乳和白色粉粒、半透明珠粒和薄片等。热稳定性良好。能以任意比例溶于水，水溶液为均匀透明的液体。长期存放后会因聚合物缓慢的降解而使溶液粘度下降，特别是在贮运条件较差时更为明显。聚丙烯酰胺作为润滑剂、悬浮剂、粘土稳定剂、驱油剂、降失水剂和增稠剂，在钻井、酸化、压裂、堵水、固井及二次采油、三次采油中得到了广泛应用，是一种极为重要的油田化学品。</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⑤浓硫酸</w:t>
            </w:r>
          </w:p>
          <w:p>
            <w:pPr>
              <w:spacing w:line="360" w:lineRule="auto"/>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浓硫酸，是质量分数大于或等于70%的硫酸水溶液，俗称坏水。无色黏稠，油状液体。浓硫酸具有强腐蚀性，在浓度高时具有强氧化性，这是它与稀硫酸最大的区别之一。同时它还具有脱水性，难挥发性，酸性，吸水性等。常用的浓硫酸中H</w:t>
            </w:r>
            <w:r>
              <w:rPr>
                <w:rFonts w:hint="eastAsia" w:ascii="Times New Roman" w:hAnsi="Times New Roman" w:eastAsia="宋体" w:cs="Times New Roman"/>
                <w:bCs/>
                <w:color w:val="auto"/>
                <w:sz w:val="24"/>
                <w:highlight w:val="none"/>
                <w:vertAlign w:val="subscript"/>
                <w:lang w:val="en-US" w:eastAsia="zh-CN"/>
              </w:rPr>
              <w:t>2</w:t>
            </w:r>
            <w:r>
              <w:rPr>
                <w:rFonts w:hint="eastAsia" w:ascii="Times New Roman" w:hAnsi="Times New Roman" w:eastAsia="宋体" w:cs="Times New Roman"/>
                <w:bCs/>
                <w:color w:val="auto"/>
                <w:sz w:val="24"/>
                <w:highlight w:val="none"/>
                <w:lang w:val="en-US" w:eastAsia="zh-CN"/>
              </w:rPr>
              <w:t>SO</w:t>
            </w:r>
            <w:r>
              <w:rPr>
                <w:rFonts w:hint="eastAsia" w:ascii="Times New Roman" w:hAnsi="Times New Roman" w:eastAsia="宋体" w:cs="Times New Roman"/>
                <w:bCs/>
                <w:color w:val="auto"/>
                <w:sz w:val="24"/>
                <w:highlight w:val="none"/>
                <w:vertAlign w:val="subscript"/>
                <w:lang w:val="en-US" w:eastAsia="zh-CN"/>
              </w:rPr>
              <w:t>4</w:t>
            </w:r>
            <w:r>
              <w:rPr>
                <w:rFonts w:hint="eastAsia" w:ascii="Times New Roman" w:hAnsi="Times New Roman" w:eastAsia="宋体" w:cs="Times New Roman"/>
                <w:bCs/>
                <w:color w:val="auto"/>
                <w:sz w:val="24"/>
                <w:highlight w:val="none"/>
                <w:lang w:val="en-US" w:eastAsia="zh-CN"/>
              </w:rPr>
              <w:t>的质量分数为98.3%，其密度为1.84g·cm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val="en-US" w:eastAsia="zh-CN"/>
              </w:rPr>
              <w:t>。98.3%时，熔点：10℃；沸点：338℃。硫酸是一种高沸点难挥发的强酸，易溶于水，能以任意比与水混溶。浓硫酸溶解时放出大量的热，因此浓硫酸稀释时应该“酸入水，沿器壁，慢慢倒，不断搅”。</w:t>
            </w:r>
          </w:p>
          <w:p>
            <w:pPr>
              <w:spacing w:line="360" w:lineRule="auto"/>
              <w:ind w:firstLine="48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⑥铬酸钾</w:t>
            </w:r>
          </w:p>
          <w:p>
            <w:pPr>
              <w:spacing w:line="360" w:lineRule="auto"/>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化学式为K</w:t>
            </w:r>
            <w:r>
              <w:rPr>
                <w:rFonts w:hint="eastAsia" w:ascii="Times New Roman" w:hAnsi="Times New Roman" w:eastAsia="宋体" w:cs="Times New Roman"/>
                <w:bCs/>
                <w:color w:val="auto"/>
                <w:sz w:val="24"/>
                <w:highlight w:val="none"/>
                <w:vertAlign w:val="subscript"/>
                <w:lang w:val="en-US" w:eastAsia="zh-CN"/>
              </w:rPr>
              <w:t>2</w:t>
            </w:r>
            <w:r>
              <w:rPr>
                <w:rFonts w:hint="eastAsia" w:ascii="Times New Roman" w:hAnsi="Times New Roman" w:eastAsia="宋体" w:cs="Times New Roman"/>
                <w:bCs/>
                <w:color w:val="auto"/>
                <w:sz w:val="24"/>
                <w:highlight w:val="none"/>
                <w:lang w:val="en-US" w:eastAsia="zh-CN"/>
              </w:rPr>
              <w:t>CrO</w:t>
            </w:r>
            <w:r>
              <w:rPr>
                <w:rFonts w:hint="eastAsia" w:ascii="Times New Roman" w:hAnsi="Times New Roman" w:eastAsia="宋体" w:cs="Times New Roman"/>
                <w:bCs/>
                <w:color w:val="auto"/>
                <w:sz w:val="24"/>
                <w:highlight w:val="none"/>
                <w:vertAlign w:val="subscript"/>
                <w:lang w:val="en-US" w:eastAsia="zh-CN"/>
              </w:rPr>
              <w:t>4</w:t>
            </w:r>
            <w:r>
              <w:rPr>
                <w:rFonts w:hint="eastAsia" w:ascii="Times New Roman" w:hAnsi="Times New Roman" w:eastAsia="宋体" w:cs="Times New Roman"/>
                <w:bCs/>
                <w:color w:val="auto"/>
                <w:sz w:val="24"/>
                <w:highlight w:val="none"/>
                <w:lang w:val="en-US" w:eastAsia="zh-CN"/>
              </w:rPr>
              <w:t>，为黄色结晶性粉末，是铬酸所成的钾盐，用于鉴别氯离子，铬酸钾中铬为六价，属于一级致癌物质，吸入或吞食会导致癌症。分子量194.19，熔点971</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，密度2.732g/cm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vertAlign w:val="baseline"/>
                <w:lang w:val="en-US" w:eastAsia="zh-CN"/>
              </w:rPr>
              <w:t>，溶于水、不溶于乙醇。贮存于阴凉、通风仓库内。远离火种、热源。保持容器密封。应与还原剂、易燃物、可燃物等分开存放。不能与食品、饲料等共储混运。</w:t>
            </w:r>
          </w:p>
          <w:p>
            <w:pPr>
              <w:spacing w:line="360" w:lineRule="auto"/>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⑦酚酞</w:t>
            </w:r>
          </w:p>
          <w:p>
            <w:pPr>
              <w:spacing w:line="360" w:lineRule="auto"/>
              <w:ind w:firstLine="48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化学名称为3,3-二(4-羟苯基)-3H-异苯并呋喃酮，是一种有机化合物，化学式为C</w:t>
            </w:r>
            <w:r>
              <w:rPr>
                <w:rFonts w:hint="eastAsia" w:ascii="Times New Roman" w:hAnsi="Times New Roman" w:eastAsia="宋体" w:cs="Times New Roman"/>
                <w:bCs/>
                <w:color w:val="auto"/>
                <w:sz w:val="24"/>
                <w:highlight w:val="none"/>
                <w:vertAlign w:val="subscript"/>
                <w:lang w:val="en-US" w:eastAsia="zh-CN"/>
              </w:rPr>
              <w:t>20</w:t>
            </w:r>
            <w:r>
              <w:rPr>
                <w:rFonts w:hint="eastAsia" w:ascii="Times New Roman" w:hAnsi="Times New Roman" w:eastAsia="宋体" w:cs="Times New Roman"/>
                <w:bCs/>
                <w:color w:val="auto"/>
                <w:sz w:val="24"/>
                <w:highlight w:val="none"/>
                <w:lang w:val="en-US" w:eastAsia="zh-CN"/>
              </w:rPr>
              <w:t>H</w:t>
            </w:r>
            <w:r>
              <w:rPr>
                <w:rFonts w:hint="eastAsia" w:ascii="Times New Roman" w:hAnsi="Times New Roman" w:eastAsia="宋体" w:cs="Times New Roman"/>
                <w:bCs/>
                <w:color w:val="auto"/>
                <w:sz w:val="24"/>
                <w:highlight w:val="none"/>
                <w:vertAlign w:val="subscript"/>
                <w:lang w:val="en-US" w:eastAsia="zh-CN"/>
              </w:rPr>
              <w:t>14</w:t>
            </w:r>
            <w:r>
              <w:rPr>
                <w:rFonts w:hint="eastAsia" w:ascii="Times New Roman" w:hAnsi="Times New Roman" w:eastAsia="宋体" w:cs="Times New Roman"/>
                <w:bCs/>
                <w:color w:val="auto"/>
                <w:sz w:val="24"/>
                <w:highlight w:val="none"/>
                <w:lang w:val="en-US" w:eastAsia="zh-CN"/>
              </w:rPr>
              <w:t>O</w:t>
            </w:r>
            <w:r>
              <w:rPr>
                <w:rFonts w:hint="eastAsia" w:ascii="Times New Roman" w:hAnsi="Times New Roman" w:eastAsia="宋体" w:cs="Times New Roman"/>
                <w:bCs/>
                <w:color w:val="auto"/>
                <w:sz w:val="24"/>
                <w:highlight w:val="none"/>
                <w:vertAlign w:val="subscript"/>
                <w:lang w:val="en-US" w:eastAsia="zh-CN"/>
              </w:rPr>
              <w:t>4</w:t>
            </w:r>
            <w:r>
              <w:rPr>
                <w:rFonts w:hint="eastAsia" w:ascii="Times New Roman" w:hAnsi="Times New Roman" w:eastAsia="宋体" w:cs="Times New Roman"/>
                <w:bCs/>
                <w:color w:val="auto"/>
                <w:sz w:val="24"/>
                <w:highlight w:val="none"/>
                <w:lang w:val="en-US" w:eastAsia="zh-CN"/>
              </w:rPr>
              <w:t>，为白色至微黄色结晶性粉末，溶于乙醇和碱溶液，在乙醚中略溶，极微溶于氯仿，不溶于水，其特性是在酸性和中性溶液中为无色，在碱性溶液中为紫红色。常被人们用作酸碱指示剂。酚酞属刺激剂，用于慢性便秘，能直接刺激肠黏膜或活化肠内平滑肌的神经末梢而增加肠的推进力，因产生过度缓泻而导致体液与电解质障碍，长期使用可损害肠神经系统，且很可能是不可逆的。2017年10月27日，世界卫生组织国际癌症研究机构公布的致癌物清单初步整理参考，酚酞在2B类致癌物清单中。</w:t>
            </w:r>
          </w:p>
          <w:p>
            <w:pPr>
              <w:spacing w:line="360" w:lineRule="auto"/>
              <w:ind w:firstLine="48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⑧溴甲酚氯</w:t>
            </w:r>
          </w:p>
          <w:p>
            <w:pPr>
              <w:spacing w:line="360" w:lineRule="auto"/>
              <w:ind w:firstLine="48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别名溴甲酚绿，化学式为C</w:t>
            </w:r>
            <w:r>
              <w:rPr>
                <w:rFonts w:hint="eastAsia" w:ascii="Times New Roman" w:hAnsi="Times New Roman" w:eastAsia="宋体" w:cs="Times New Roman"/>
                <w:bCs/>
                <w:color w:val="auto"/>
                <w:sz w:val="24"/>
                <w:highlight w:val="none"/>
                <w:vertAlign w:val="subscript"/>
                <w:lang w:val="en-US" w:eastAsia="zh-CN"/>
              </w:rPr>
              <w:t>21</w:t>
            </w:r>
            <w:r>
              <w:rPr>
                <w:rFonts w:hint="eastAsia" w:ascii="Times New Roman" w:hAnsi="Times New Roman" w:eastAsia="宋体" w:cs="Times New Roman"/>
                <w:bCs/>
                <w:color w:val="auto"/>
                <w:sz w:val="24"/>
                <w:highlight w:val="none"/>
                <w:lang w:val="en-US" w:eastAsia="zh-CN"/>
              </w:rPr>
              <w:t>H</w:t>
            </w:r>
            <w:r>
              <w:rPr>
                <w:rFonts w:hint="eastAsia" w:ascii="Times New Roman" w:hAnsi="Times New Roman" w:eastAsia="宋体" w:cs="Times New Roman"/>
                <w:bCs/>
                <w:color w:val="auto"/>
                <w:sz w:val="24"/>
                <w:highlight w:val="none"/>
                <w:vertAlign w:val="subscript"/>
                <w:lang w:val="en-US" w:eastAsia="zh-CN"/>
              </w:rPr>
              <w:t>14</w:t>
            </w:r>
            <w:r>
              <w:rPr>
                <w:rFonts w:hint="eastAsia" w:ascii="Times New Roman" w:hAnsi="Times New Roman" w:eastAsia="宋体" w:cs="Times New Roman"/>
                <w:bCs/>
                <w:color w:val="auto"/>
                <w:sz w:val="24"/>
                <w:highlight w:val="none"/>
                <w:lang w:val="en-US" w:eastAsia="zh-CN"/>
              </w:rPr>
              <w:t>Br</w:t>
            </w:r>
            <w:r>
              <w:rPr>
                <w:rFonts w:hint="eastAsia" w:ascii="Times New Roman" w:hAnsi="Times New Roman" w:eastAsia="宋体" w:cs="Times New Roman"/>
                <w:bCs/>
                <w:color w:val="auto"/>
                <w:sz w:val="24"/>
                <w:highlight w:val="none"/>
                <w:vertAlign w:val="subscript"/>
                <w:lang w:val="en-US" w:eastAsia="zh-CN"/>
              </w:rPr>
              <w:t>4</w:t>
            </w:r>
            <w:r>
              <w:rPr>
                <w:rFonts w:hint="eastAsia" w:ascii="Times New Roman" w:hAnsi="Times New Roman" w:eastAsia="宋体" w:cs="Times New Roman"/>
                <w:bCs/>
                <w:color w:val="auto"/>
                <w:sz w:val="24"/>
                <w:highlight w:val="none"/>
                <w:lang w:val="en-US" w:eastAsia="zh-CN"/>
              </w:rPr>
              <w:t>O</w:t>
            </w:r>
            <w:r>
              <w:rPr>
                <w:rFonts w:hint="eastAsia" w:ascii="Times New Roman" w:hAnsi="Times New Roman" w:eastAsia="宋体" w:cs="Times New Roman"/>
                <w:bCs/>
                <w:color w:val="auto"/>
                <w:sz w:val="24"/>
                <w:highlight w:val="none"/>
                <w:vertAlign w:val="subscript"/>
                <w:lang w:val="en-US" w:eastAsia="zh-CN"/>
              </w:rPr>
              <w:t>5</w:t>
            </w:r>
            <w:r>
              <w:rPr>
                <w:rFonts w:hint="eastAsia" w:ascii="Times New Roman" w:hAnsi="Times New Roman" w:eastAsia="宋体" w:cs="Times New Roman"/>
                <w:bCs/>
                <w:color w:val="auto"/>
                <w:sz w:val="24"/>
                <w:highlight w:val="none"/>
                <w:lang w:val="en-US" w:eastAsia="zh-CN"/>
              </w:rPr>
              <w:t>S，微溶于水，溶于乙醇、乙醚、乙酸乙酯和苯。主要用作酸碱指示剂。</w:t>
            </w:r>
          </w:p>
          <w:p>
            <w:pPr>
              <w:spacing w:line="360" w:lineRule="auto"/>
              <w:ind w:firstLine="48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⑨甲基红</w:t>
            </w:r>
          </w:p>
          <w:p>
            <w:pPr>
              <w:spacing w:line="360" w:lineRule="auto"/>
              <w:ind w:firstLine="48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化学式为C</w:t>
            </w:r>
            <w:r>
              <w:rPr>
                <w:rFonts w:hint="eastAsia" w:ascii="Times New Roman" w:hAnsi="Times New Roman" w:eastAsia="宋体" w:cs="Times New Roman"/>
                <w:bCs/>
                <w:color w:val="auto"/>
                <w:sz w:val="24"/>
                <w:highlight w:val="none"/>
                <w:vertAlign w:val="subscript"/>
                <w:lang w:val="en-US" w:eastAsia="zh-CN"/>
              </w:rPr>
              <w:t>15</w:t>
            </w:r>
            <w:r>
              <w:rPr>
                <w:rFonts w:hint="eastAsia" w:ascii="Times New Roman" w:hAnsi="Times New Roman" w:eastAsia="宋体" w:cs="Times New Roman"/>
                <w:bCs/>
                <w:color w:val="auto"/>
                <w:sz w:val="24"/>
                <w:highlight w:val="none"/>
                <w:lang w:val="en-US" w:eastAsia="zh-CN"/>
              </w:rPr>
              <w:t>H</w:t>
            </w:r>
            <w:r>
              <w:rPr>
                <w:rFonts w:hint="eastAsia" w:ascii="Times New Roman" w:hAnsi="Times New Roman" w:eastAsia="宋体" w:cs="Times New Roman"/>
                <w:bCs/>
                <w:color w:val="auto"/>
                <w:sz w:val="24"/>
                <w:highlight w:val="none"/>
                <w:vertAlign w:val="subscript"/>
                <w:lang w:val="en-US" w:eastAsia="zh-CN"/>
              </w:rPr>
              <w:t>15</w:t>
            </w:r>
            <w:r>
              <w:rPr>
                <w:rFonts w:hint="eastAsia" w:ascii="Times New Roman" w:hAnsi="Times New Roman" w:eastAsia="宋体" w:cs="Times New Roman"/>
                <w:bCs/>
                <w:color w:val="auto"/>
                <w:sz w:val="24"/>
                <w:highlight w:val="none"/>
                <w:lang w:val="en-US" w:eastAsia="zh-CN"/>
              </w:rPr>
              <w:t>N</w:t>
            </w:r>
            <w:r>
              <w:rPr>
                <w:rFonts w:hint="eastAsia" w:ascii="Times New Roman" w:hAnsi="Times New Roman" w:eastAsia="宋体" w:cs="Times New Roman"/>
                <w:bCs/>
                <w:color w:val="auto"/>
                <w:sz w:val="24"/>
                <w:highlight w:val="none"/>
                <w:vertAlign w:val="subscript"/>
                <w:lang w:val="en-US" w:eastAsia="zh-CN"/>
              </w:rPr>
              <w:t>3</w:t>
            </w:r>
            <w:r>
              <w:rPr>
                <w:rFonts w:hint="eastAsia" w:ascii="Times New Roman" w:hAnsi="Times New Roman" w:eastAsia="宋体" w:cs="Times New Roman"/>
                <w:bCs/>
                <w:color w:val="auto"/>
                <w:sz w:val="24"/>
                <w:highlight w:val="none"/>
                <w:lang w:val="en-US" w:eastAsia="zh-CN"/>
              </w:rPr>
              <w:t>O</w:t>
            </w:r>
            <w:r>
              <w:rPr>
                <w:rFonts w:hint="eastAsia" w:ascii="Times New Roman" w:hAnsi="Times New Roman" w:eastAsia="宋体" w:cs="Times New Roman"/>
                <w:bCs/>
                <w:color w:val="auto"/>
                <w:sz w:val="24"/>
                <w:highlight w:val="none"/>
                <w:vertAlign w:val="subscript"/>
                <w:lang w:val="en-US" w:eastAsia="zh-CN"/>
              </w:rPr>
              <w:t>2</w:t>
            </w:r>
            <w:r>
              <w:rPr>
                <w:rFonts w:hint="eastAsia" w:ascii="Times New Roman" w:hAnsi="Times New Roman" w:eastAsia="宋体" w:cs="Times New Roman"/>
                <w:bCs/>
                <w:color w:val="auto"/>
                <w:sz w:val="24"/>
                <w:highlight w:val="none"/>
                <w:lang w:val="en-US" w:eastAsia="zh-CN"/>
              </w:rPr>
              <w:t>，为暗红色结晶性粉末，溶于乙醇和乙酸，几乎不溶于水。甲基红的乙醇溶液经长时间保存后，可因羧基起酯化作用而使灵敏度显著降低，最大吸收波长410nm，可用于原生动物活体染色和酸碱指示剂，pH变色范围4.4（红）～6.2（黄）。2017年10月27日，世界卫生组织国际癌症研究机构公布的致癌物清单初步整理参考，甲基红在3类致癌物清单中。</w:t>
            </w:r>
          </w:p>
          <w:p>
            <w:pPr>
              <w:spacing w:line="360" w:lineRule="auto"/>
              <w:ind w:firstLine="48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⑩硝酸银</w:t>
            </w:r>
          </w:p>
          <w:p>
            <w:pPr>
              <w:spacing w:line="360" w:lineRule="auto"/>
              <w:ind w:firstLine="48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化学式为AgNO</w:t>
            </w:r>
            <w:r>
              <w:rPr>
                <w:rFonts w:hint="eastAsia" w:ascii="Times New Roman" w:hAnsi="Times New Roman" w:eastAsia="宋体" w:cs="Times New Roman"/>
                <w:bCs/>
                <w:color w:val="auto"/>
                <w:sz w:val="24"/>
                <w:highlight w:val="none"/>
                <w:vertAlign w:val="subscript"/>
                <w:lang w:val="en-US" w:eastAsia="zh-CN"/>
              </w:rPr>
              <w:t>3</w:t>
            </w:r>
            <w:r>
              <w:rPr>
                <w:rFonts w:hint="eastAsia" w:ascii="Times New Roman" w:hAnsi="Times New Roman" w:eastAsia="宋体" w:cs="Times New Roman"/>
                <w:bCs/>
                <w:color w:val="auto"/>
                <w:sz w:val="24"/>
                <w:highlight w:val="none"/>
                <w:lang w:val="en-US" w:eastAsia="zh-CN"/>
              </w:rPr>
              <w:t>，为白色结晶性粉末，易溶于水、氨水、甘油，微溶于乙醇。纯硝酸银对光稳定，但由于一般的产品纯度不够，其水溶液和固体常被保存在棕色试剂瓶中。用于照相乳剂、镀银、制镜、印刷、医药、染毛发、检验氯离子，溴离子和碘离子等，也用于电子工业。被列入《易制爆危险化学品名录》，并按照《易制爆危险化学品治安管理办法》管控。</w:t>
            </w:r>
          </w:p>
          <w:p>
            <w:pPr>
              <w:spacing w:line="360" w:lineRule="auto"/>
              <w:ind w:firstLine="48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⑪</w:t>
            </w:r>
            <w:r>
              <w:rPr>
                <w:rFonts w:hint="eastAsia" w:ascii="Times New Roman" w:hAnsi="Times New Roman" w:eastAsia="宋体" w:cs="Times New Roman"/>
                <w:bCs/>
                <w:color w:val="auto"/>
                <w:sz w:val="24"/>
                <w:highlight w:val="none"/>
                <w:lang w:val="en-US" w:eastAsia="zh-CN"/>
              </w:rPr>
              <w:t>浓盐酸</w:t>
            </w:r>
          </w:p>
          <w:p>
            <w:pPr>
              <w:spacing w:line="360" w:lineRule="auto"/>
              <w:ind w:firstLine="48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氯化氢质量分数超过20%的盐酸。实验用浓盐酸一般为36%~38%，是一种共沸混合物。浓盐酸在空气中极易挥发，且对皮肤和衣物有强烈的腐蚀性。</w:t>
            </w:r>
          </w:p>
          <w:p>
            <w:pPr>
              <w:spacing w:line="360" w:lineRule="auto"/>
              <w:ind w:firstLine="48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⑫</w:t>
            </w:r>
            <w:r>
              <w:rPr>
                <w:rFonts w:hint="eastAsia" w:ascii="Times New Roman" w:hAnsi="Times New Roman" w:eastAsia="宋体" w:cs="Times New Roman"/>
                <w:bCs/>
                <w:color w:val="auto"/>
                <w:sz w:val="24"/>
                <w:highlight w:val="none"/>
                <w:lang w:val="en-US" w:eastAsia="zh-CN"/>
              </w:rPr>
              <w:t>硫酸钾</w:t>
            </w:r>
          </w:p>
          <w:p>
            <w:pPr>
              <w:spacing w:line="360" w:lineRule="auto"/>
              <w:ind w:firstLine="48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化学式为K</w:t>
            </w:r>
            <w:r>
              <w:rPr>
                <w:rFonts w:hint="default" w:ascii="Times New Roman" w:hAnsi="Times New Roman" w:eastAsia="宋体" w:cs="Times New Roman"/>
                <w:bCs/>
                <w:color w:val="auto"/>
                <w:sz w:val="24"/>
                <w:highlight w:val="none"/>
                <w:vertAlign w:val="subscript"/>
                <w:lang w:val="en-US" w:eastAsia="zh-CN"/>
              </w:rPr>
              <w:t>2</w:t>
            </w:r>
            <w:r>
              <w:rPr>
                <w:rFonts w:hint="default" w:ascii="Times New Roman" w:hAnsi="Times New Roman" w:eastAsia="宋体" w:cs="Times New Roman"/>
                <w:bCs/>
                <w:color w:val="auto"/>
                <w:sz w:val="24"/>
                <w:highlight w:val="none"/>
                <w:lang w:val="en-US" w:eastAsia="zh-CN"/>
              </w:rPr>
              <w:t>SO</w:t>
            </w:r>
            <w:r>
              <w:rPr>
                <w:rFonts w:hint="default" w:ascii="Times New Roman" w:hAnsi="Times New Roman" w:eastAsia="宋体" w:cs="Times New Roman"/>
                <w:bCs/>
                <w:color w:val="auto"/>
                <w:sz w:val="24"/>
                <w:highlight w:val="none"/>
                <w:vertAlign w:val="subscript"/>
                <w:lang w:val="en-US" w:eastAsia="zh-CN"/>
              </w:rPr>
              <w:t>4</w:t>
            </w:r>
            <w:r>
              <w:rPr>
                <w:rFonts w:hint="default" w:ascii="Times New Roman" w:hAnsi="Times New Roman" w:eastAsia="宋体" w:cs="Times New Roman"/>
                <w:bCs/>
                <w:color w:val="auto"/>
                <w:sz w:val="24"/>
                <w:highlight w:val="none"/>
                <w:lang w:val="en-US" w:eastAsia="zh-CN"/>
              </w:rPr>
              <w:t>，呈白色结晶性粉末。硫酸钾的吸湿性小，不易结块，物理性状良好，施用方便，是很好的水溶性钾肥，也是制作无氯氮、磷、钾三元复合肥的主要原料。</w:t>
            </w:r>
          </w:p>
          <w:p>
            <w:pPr>
              <w:spacing w:line="360" w:lineRule="auto"/>
              <w:ind w:firstLine="48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⑬</w:t>
            </w:r>
            <w:r>
              <w:rPr>
                <w:rFonts w:hint="eastAsia" w:ascii="Times New Roman" w:hAnsi="Times New Roman" w:eastAsia="宋体" w:cs="Times New Roman"/>
                <w:bCs/>
                <w:color w:val="auto"/>
                <w:sz w:val="24"/>
                <w:highlight w:val="none"/>
                <w:lang w:val="en-US" w:eastAsia="zh-CN"/>
              </w:rPr>
              <w:t>硫酸铜</w:t>
            </w:r>
          </w:p>
          <w:p>
            <w:pPr>
              <w:spacing w:line="360" w:lineRule="auto"/>
              <w:ind w:firstLine="480"/>
              <w:rPr>
                <w:color w:val="auto"/>
                <w:sz w:val="24"/>
                <w:highlight w:val="none"/>
              </w:rPr>
            </w:pPr>
            <w:r>
              <w:rPr>
                <w:color w:val="auto"/>
                <w:sz w:val="24"/>
                <w:highlight w:val="none"/>
              </w:rPr>
              <w:t>化学式：CuSO</w:t>
            </w:r>
            <w:r>
              <w:rPr>
                <w:color w:val="auto"/>
                <w:sz w:val="24"/>
                <w:highlight w:val="none"/>
                <w:vertAlign w:val="subscript"/>
              </w:rPr>
              <w:t>4</w:t>
            </w:r>
            <w:r>
              <w:rPr>
                <w:color w:val="auto"/>
                <w:sz w:val="24"/>
                <w:highlight w:val="none"/>
              </w:rPr>
              <w:t>，是强酸弱碱盐，由于水解溶液呈弱酸性。</w:t>
            </w:r>
            <w:r>
              <w:rPr>
                <w:rFonts w:hint="eastAsia"/>
                <w:color w:val="auto"/>
                <w:sz w:val="24"/>
                <w:highlight w:val="none"/>
              </w:rPr>
              <w:t>无水硫酸铜为灰白色粉末，易吸水变蓝绿色的五水合硫酸铜</w:t>
            </w:r>
            <w:r>
              <w:rPr>
                <w:color w:val="auto"/>
                <w:sz w:val="24"/>
                <w:highlight w:val="none"/>
              </w:rPr>
              <w:t>。将硫酸铜溶液浓缩结晶，可得到五水硫酸铜蓝色晶体，俗称胆矾、铜矾或蓝矾。加热至190℃时失去四分子结晶水变为CuSO</w:t>
            </w:r>
            <w:r>
              <w:rPr>
                <w:color w:val="auto"/>
                <w:sz w:val="24"/>
                <w:highlight w:val="none"/>
                <w:vertAlign w:val="subscript"/>
              </w:rPr>
              <w:t>4</w:t>
            </w:r>
            <w:r>
              <w:rPr>
                <w:color w:val="auto"/>
                <w:sz w:val="24"/>
                <w:highlight w:val="none"/>
              </w:rPr>
              <w:t>·H</w:t>
            </w:r>
            <w:r>
              <w:rPr>
                <w:color w:val="auto"/>
                <w:sz w:val="24"/>
                <w:highlight w:val="none"/>
                <w:vertAlign w:val="subscript"/>
              </w:rPr>
              <w:t>2</w:t>
            </w:r>
            <w:r>
              <w:rPr>
                <w:color w:val="auto"/>
                <w:sz w:val="24"/>
                <w:highlight w:val="none"/>
              </w:rPr>
              <w:t>O（相对分子质量为177.62，淡绿色粉末）。至258℃变成无水盐，常利用这一特性来检验某些液态有机物中是否含有微量水分。将胆矾加热至650℃高温，可分解为黑色氧化铜、二氧化硫及氧气。溶于水，不溶于乙醇。在空气的作用下铜与浓硫酸反应或将氧化铜溶于稀硫酸后，经蒸发，结晶而得。用作定氨催化剂，棉丝媒染剂，木材防腐剂，农用杀虫剂，水质杀菌剂，医用呕吐剂；作为电镀，染料和皮革工业的原料，无水硫酸铜用作脱水剂和气体干燥剂。</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⑭</w:t>
            </w:r>
            <w:r>
              <w:rPr>
                <w:rFonts w:hint="default" w:ascii="Times New Roman" w:hAnsi="Times New Roman" w:eastAsia="宋体" w:cs="Times New Roman"/>
                <w:bCs/>
                <w:color w:val="auto"/>
                <w:sz w:val="24"/>
                <w:highlight w:val="none"/>
                <w:lang w:val="en-US" w:eastAsia="zh-CN"/>
              </w:rPr>
              <w:t>硼酸</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白色粉末状结晶或三斜轴面的鳞片状带光泽结晶。有滑腻手感，无臭味。溶于水、酒精、甘油、醚类及香精油中。无气味。味微酸苦后带甜。与皮肤接触有滑腻感。露置空气中无变化。能随水蒸气挥发。加热至100~105℃时失去一分子水而形成偏硼酸，于104~160℃时长时间加热转变为焦硼酸，更高温度则形成无水物。0.1mol/L水溶液pH为5.1。1g能溶于18ml冷水、4ml沸水、18ml冷乙醇、6ml沸乙醇和4ml甘油。在水中溶解度能随盐酸、柠檬酸和酒石酸的加入而增加。相对密度：1.4347。熔点：184℃（分解）。沸点300℃。半数致死量（大鼠，经口）5.14g/kg。有刺激性。有毒，内服严重时导致死亡，致死最低量：成人口服640mg/kg，皮肤8.6g/kg，静脉内29mg/kg；婴儿口服200mg/kg。</w:t>
            </w:r>
          </w:p>
          <w:p>
            <w:pPr>
              <w:spacing w:line="360" w:lineRule="auto"/>
              <w:ind w:firstLine="480" w:firstLineChars="200"/>
              <w:rPr>
                <w:rFonts w:hint="eastAsia"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⑮</w:t>
            </w:r>
            <w:r>
              <w:rPr>
                <w:rFonts w:hint="eastAsia" w:cs="Times New Roman"/>
                <w:color w:val="auto"/>
                <w:sz w:val="24"/>
                <w:highlight w:val="none"/>
                <w:lang w:val="en-US" w:eastAsia="zh-CN"/>
              </w:rPr>
              <w:t>清洁剂</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color w:val="auto"/>
                <w:sz w:val="24"/>
                <w:highlight w:val="none"/>
                <w:lang w:val="en-US" w:eastAsia="zh-CN"/>
              </w:rPr>
              <w:t>本项目使用清洁剂除油，根据MSDS，本项目所用清洁剂组分包括：水65-85%，表面活性剂5-15%，其他成分5-20%。</w:t>
            </w:r>
          </w:p>
          <w:p>
            <w:pPr>
              <w:spacing w:line="360" w:lineRule="auto"/>
              <w:ind w:firstLine="480" w:firstLineChars="200"/>
              <w:rPr>
                <w:rFonts w:hint="eastAsia"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⑯</w:t>
            </w:r>
            <w:r>
              <w:rPr>
                <w:rFonts w:hint="eastAsia" w:cs="Times New Roman"/>
                <w:color w:val="auto"/>
                <w:sz w:val="24"/>
                <w:highlight w:val="none"/>
                <w:lang w:val="en-US" w:eastAsia="zh-CN"/>
              </w:rPr>
              <w:t>油墨</w:t>
            </w:r>
          </w:p>
          <w:p>
            <w:pPr>
              <w:spacing w:line="360" w:lineRule="auto"/>
              <w:ind w:firstLine="480" w:firstLineChars="200"/>
              <w:rPr>
                <w:rFonts w:hint="default" w:cs="Times New Roman"/>
                <w:color w:val="auto"/>
                <w:sz w:val="24"/>
                <w:highlight w:val="none"/>
                <w:lang w:val="en-US" w:eastAsia="zh-CN"/>
              </w:rPr>
            </w:pPr>
            <w:r>
              <w:rPr>
                <w:rFonts w:hint="eastAsia" w:cs="Times New Roman"/>
                <w:color w:val="auto"/>
                <w:sz w:val="24"/>
                <w:highlight w:val="none"/>
                <w:lang w:val="en-US" w:eastAsia="zh-CN"/>
              </w:rPr>
              <w:t>本项目油墨</w:t>
            </w:r>
            <w:r>
              <w:rPr>
                <w:color w:val="auto"/>
                <w:sz w:val="24"/>
                <w:highlight w:val="none"/>
              </w:rPr>
              <w:t>用于产品包装喷码，</w:t>
            </w:r>
            <w:r>
              <w:rPr>
                <w:rFonts w:hint="eastAsia"/>
                <w:color w:val="auto"/>
                <w:sz w:val="24"/>
                <w:highlight w:val="none"/>
              </w:rPr>
              <w:t>项目使用油墨为溶剂型</w:t>
            </w:r>
            <w:r>
              <w:rPr>
                <w:rFonts w:hint="eastAsia"/>
                <w:color w:val="auto"/>
                <w:sz w:val="24"/>
                <w:highlight w:val="none"/>
                <w:lang w:eastAsia="zh-CN"/>
              </w:rPr>
              <w:t>、</w:t>
            </w:r>
            <w:r>
              <w:rPr>
                <w:rFonts w:hint="eastAsia"/>
                <w:color w:val="auto"/>
                <w:sz w:val="24"/>
                <w:highlight w:val="none"/>
              </w:rPr>
              <w:t>网印油墨，根据油墨检测报告，项目使用油墨</w:t>
            </w:r>
            <w:r>
              <w:rPr>
                <w:rFonts w:hint="eastAsia"/>
                <w:color w:val="auto"/>
                <w:sz w:val="24"/>
                <w:highlight w:val="none"/>
                <w:lang w:val="en-US" w:eastAsia="zh-CN"/>
              </w:rPr>
              <w:t>挥发性有机化合物</w:t>
            </w:r>
            <w:r>
              <w:rPr>
                <w:rFonts w:hint="eastAsia"/>
                <w:color w:val="auto"/>
                <w:sz w:val="24"/>
                <w:highlight w:val="none"/>
              </w:rPr>
              <w:t>含量为22.3%。挥发性有机物质含量满足《油墨中可挥发性有机化合物（VOCs）含量的限值》（GB38507-2020）中溶剂油墨-网印油墨标准限值（≤75%）。</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b/>
                <w:bCs w:val="0"/>
                <w:color w:val="auto"/>
                <w:sz w:val="24"/>
                <w:highlight w:val="none"/>
                <w:lang w:val="en-US" w:eastAsia="zh-CN"/>
              </w:rPr>
            </w:pPr>
            <w:r>
              <w:rPr>
                <w:rFonts w:hint="eastAsia"/>
                <w:b/>
                <w:bCs w:val="0"/>
                <w:color w:val="auto"/>
                <w:sz w:val="24"/>
                <w:highlight w:val="none"/>
                <w:lang w:val="en-US" w:eastAsia="zh-CN"/>
              </w:rPr>
              <w:t>（3）物料平衡</w:t>
            </w:r>
          </w:p>
          <w:p>
            <w:pPr>
              <w:pStyle w:val="41"/>
              <w:bidi w:val="0"/>
              <w:rPr>
                <w:rFonts w:ascii="Times New Roman" w:hAnsi="Times New Roman" w:eastAsia="宋体" w:cs="宋体"/>
                <w:b/>
                <w:bCs/>
                <w:color w:val="auto"/>
                <w:szCs w:val="21"/>
                <w:highlight w:val="none"/>
                <w:shd w:val="clear" w:color="auto" w:fill="FFFFFF"/>
              </w:rPr>
            </w:pPr>
            <w:r>
              <w:rPr>
                <w:rFonts w:ascii="Times New Roman" w:hAnsi="Times New Roman" w:eastAsia="宋体" w:cs="宋体"/>
                <w:b/>
                <w:bCs/>
                <w:color w:val="auto"/>
                <w:szCs w:val="21"/>
                <w:highlight w:val="none"/>
                <w:shd w:val="clear" w:color="auto" w:fill="FFFFFF"/>
              </w:rPr>
              <w:t xml:space="preserve">表2-7  </w:t>
            </w:r>
            <w:r>
              <w:rPr>
                <w:rFonts w:hint="eastAsia" w:ascii="Times New Roman" w:hAnsi="Times New Roman" w:eastAsia="宋体" w:cs="宋体"/>
                <w:b/>
                <w:bCs/>
                <w:color w:val="auto"/>
                <w:szCs w:val="21"/>
                <w:highlight w:val="none"/>
                <w:shd w:val="clear" w:color="auto" w:fill="FFFFFF"/>
              </w:rPr>
              <w:t>散装称量豆干</w:t>
            </w:r>
            <w:r>
              <w:rPr>
                <w:rFonts w:ascii="Times New Roman" w:hAnsi="Times New Roman" w:eastAsia="宋体" w:cs="宋体"/>
                <w:b/>
                <w:bCs/>
                <w:color w:val="auto"/>
                <w:szCs w:val="21"/>
                <w:highlight w:val="none"/>
                <w:shd w:val="clear" w:color="auto" w:fill="FFFFFF"/>
              </w:rPr>
              <w:t>物料平衡表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0"/>
              <w:gridCol w:w="2102"/>
              <w:gridCol w:w="2100"/>
              <w:gridCol w:w="2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99" w:type="pct"/>
                  <w:gridSpan w:val="2"/>
                  <w:noWrap w:val="0"/>
                  <w:vAlign w:val="center"/>
                </w:tcPr>
                <w:p>
                  <w:pPr>
                    <w:jc w:val="center"/>
                    <w:rPr>
                      <w:b/>
                      <w:bCs/>
                      <w:color w:val="auto"/>
                      <w:highlight w:val="none"/>
                    </w:rPr>
                  </w:pPr>
                  <w:r>
                    <w:rPr>
                      <w:b/>
                      <w:bCs/>
                      <w:color w:val="auto"/>
                      <w:highlight w:val="none"/>
                    </w:rPr>
                    <w:t>投入</w:t>
                  </w:r>
                </w:p>
              </w:tc>
              <w:tc>
                <w:tcPr>
                  <w:tcW w:w="2500" w:type="pct"/>
                  <w:gridSpan w:val="2"/>
                  <w:noWrap w:val="0"/>
                  <w:vAlign w:val="center"/>
                </w:tcPr>
                <w:p>
                  <w:pPr>
                    <w:jc w:val="center"/>
                    <w:rPr>
                      <w:b/>
                      <w:bCs/>
                      <w:color w:val="auto"/>
                      <w:highlight w:val="none"/>
                    </w:rPr>
                  </w:pPr>
                  <w:r>
                    <w:rPr>
                      <w:b/>
                      <w:bCs/>
                      <w:color w:val="auto"/>
                      <w:highlight w:val="none"/>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jc w:val="center"/>
                    <w:rPr>
                      <w:b/>
                      <w:bCs/>
                      <w:color w:val="auto"/>
                      <w:highlight w:val="none"/>
                    </w:rPr>
                  </w:pPr>
                  <w:r>
                    <w:rPr>
                      <w:b/>
                      <w:bCs/>
                      <w:color w:val="auto"/>
                      <w:highlight w:val="none"/>
                    </w:rPr>
                    <w:t>名称</w:t>
                  </w:r>
                </w:p>
              </w:tc>
              <w:tc>
                <w:tcPr>
                  <w:tcW w:w="1249" w:type="pct"/>
                  <w:noWrap w:val="0"/>
                  <w:vAlign w:val="center"/>
                </w:tcPr>
                <w:p>
                  <w:pPr>
                    <w:jc w:val="center"/>
                    <w:rPr>
                      <w:b/>
                      <w:bCs/>
                      <w:color w:val="auto"/>
                      <w:highlight w:val="none"/>
                    </w:rPr>
                  </w:pPr>
                  <w:r>
                    <w:rPr>
                      <w:b/>
                      <w:bCs/>
                      <w:color w:val="auto"/>
                      <w:highlight w:val="none"/>
                    </w:rPr>
                    <w:t>投加量（t/a）</w:t>
                  </w:r>
                </w:p>
              </w:tc>
              <w:tc>
                <w:tcPr>
                  <w:tcW w:w="1249" w:type="pct"/>
                  <w:noWrap w:val="0"/>
                  <w:vAlign w:val="center"/>
                </w:tcPr>
                <w:p>
                  <w:pPr>
                    <w:jc w:val="center"/>
                    <w:rPr>
                      <w:b/>
                      <w:bCs/>
                      <w:color w:val="auto"/>
                      <w:highlight w:val="none"/>
                    </w:rPr>
                  </w:pPr>
                  <w:r>
                    <w:rPr>
                      <w:b/>
                      <w:bCs/>
                      <w:color w:val="auto"/>
                      <w:highlight w:val="none"/>
                    </w:rPr>
                    <w:t>名称</w:t>
                  </w:r>
                </w:p>
              </w:tc>
              <w:tc>
                <w:tcPr>
                  <w:tcW w:w="1251" w:type="pct"/>
                  <w:noWrap w:val="0"/>
                  <w:vAlign w:val="center"/>
                </w:tcPr>
                <w:p>
                  <w:pPr>
                    <w:jc w:val="center"/>
                    <w:rPr>
                      <w:b/>
                      <w:bCs/>
                      <w:color w:val="auto"/>
                      <w:highlight w:val="none"/>
                    </w:rPr>
                  </w:pPr>
                  <w:r>
                    <w:rPr>
                      <w:b/>
                      <w:bCs/>
                      <w:color w:val="auto"/>
                      <w:highlight w:val="none"/>
                    </w:rPr>
                    <w:t>产出量（t/a）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adjustRightInd w:val="0"/>
                    <w:snapToGrid w:val="0"/>
                    <w:jc w:val="center"/>
                    <w:rPr>
                      <w:rFonts w:hint="default" w:eastAsia="宋体"/>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大豆分离蛋白粉</w:t>
                  </w:r>
                </w:p>
              </w:tc>
              <w:tc>
                <w:tcPr>
                  <w:tcW w:w="1249" w:type="pct"/>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300</w:t>
                  </w:r>
                </w:p>
              </w:tc>
              <w:tc>
                <w:tcPr>
                  <w:tcW w:w="1249" w:type="pct"/>
                  <w:noWrap w:val="0"/>
                  <w:vAlign w:val="center"/>
                </w:tcPr>
                <w:p>
                  <w:pPr>
                    <w:jc w:val="center"/>
                    <w:rPr>
                      <w:color w:val="auto"/>
                      <w:highlight w:val="none"/>
                    </w:rPr>
                  </w:pPr>
                  <w:r>
                    <w:rPr>
                      <w:rFonts w:hint="eastAsia"/>
                      <w:bCs/>
                      <w:color w:val="auto"/>
                      <w:szCs w:val="21"/>
                      <w:highlight w:val="none"/>
                      <w:lang w:val="en-US" w:eastAsia="zh-CN"/>
                    </w:rPr>
                    <w:t>散装称量豆干</w:t>
                  </w:r>
                </w:p>
              </w:tc>
              <w:tc>
                <w:tcPr>
                  <w:tcW w:w="1251" w:type="pct"/>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斩拌、卤制用</w:t>
                  </w:r>
                  <w:r>
                    <w:rPr>
                      <w:rFonts w:hint="eastAsia" w:ascii="Times New Roman" w:hAnsi="Times New Roman" w:eastAsia="宋体" w:cs="Times New Roman"/>
                      <w:color w:val="auto"/>
                      <w:szCs w:val="21"/>
                      <w:highlight w:val="none"/>
                      <w:lang w:val="en-US" w:eastAsia="zh-CN"/>
                    </w:rPr>
                    <w:t>水</w:t>
                  </w:r>
                </w:p>
              </w:tc>
              <w:tc>
                <w:tcPr>
                  <w:tcW w:w="1249" w:type="pct"/>
                  <w:noWrap w:val="0"/>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3007.8</w:t>
                  </w:r>
                </w:p>
              </w:tc>
              <w:tc>
                <w:tcPr>
                  <w:tcW w:w="1249" w:type="pct"/>
                  <w:noWrap w:val="0"/>
                  <w:vAlign w:val="center"/>
                </w:tcPr>
                <w:p>
                  <w:pPr>
                    <w:jc w:val="center"/>
                    <w:rPr>
                      <w:rFonts w:hint="default" w:ascii="Times New Roman" w:hAnsi="Times New Roman" w:eastAsia="宋体"/>
                      <w:color w:val="auto"/>
                      <w:kern w:val="2"/>
                      <w:sz w:val="21"/>
                      <w:szCs w:val="24"/>
                      <w:highlight w:val="none"/>
                      <w:lang w:val="en-US" w:eastAsia="zh-CN" w:bidi="ar-SA"/>
                    </w:rPr>
                  </w:pPr>
                  <w:r>
                    <w:rPr>
                      <w:rFonts w:hint="eastAsia"/>
                      <w:color w:val="auto"/>
                      <w:highlight w:val="none"/>
                      <w:lang w:val="en-US" w:eastAsia="zh-CN"/>
                    </w:rPr>
                    <w:t>配料、斩拌、拌料粉尘</w:t>
                  </w:r>
                </w:p>
              </w:tc>
              <w:tc>
                <w:tcPr>
                  <w:tcW w:w="1251" w:type="pct"/>
                  <w:noWrap w:val="0"/>
                  <w:vAlign w:val="center"/>
                </w:tcPr>
                <w:p>
                  <w:pPr>
                    <w:jc w:val="center"/>
                    <w:rPr>
                      <w:rFonts w:hint="default" w:ascii="Times New Roman" w:hAnsi="Times New Roman" w:eastAsia="宋体"/>
                      <w:color w:val="auto"/>
                      <w:kern w:val="2"/>
                      <w:sz w:val="21"/>
                      <w:szCs w:val="24"/>
                      <w:highlight w:val="none"/>
                      <w:lang w:val="en-US" w:eastAsia="zh-CN" w:bidi="ar-SA"/>
                    </w:rPr>
                  </w:pPr>
                  <w:r>
                    <w:rPr>
                      <w:rFonts w:hint="eastAsia"/>
                      <w:color w:val="auto"/>
                      <w:highlight w:val="no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9" w:type="pct"/>
                  <w:noWrap w:val="0"/>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植物油</w:t>
                  </w:r>
                </w:p>
              </w:tc>
              <w:tc>
                <w:tcPr>
                  <w:tcW w:w="1249" w:type="pct"/>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160</w:t>
                  </w:r>
                </w:p>
              </w:tc>
              <w:tc>
                <w:tcPr>
                  <w:tcW w:w="1249" w:type="pct"/>
                  <w:noWrap w:val="0"/>
                  <w:vAlign w:val="center"/>
                </w:tcPr>
                <w:p>
                  <w:pPr>
                    <w:jc w:val="center"/>
                    <w:rPr>
                      <w:rFonts w:hint="eastAsia" w:ascii="Times New Roman" w:hAnsi="Times New Roman" w:eastAsia="宋体"/>
                      <w:color w:val="auto"/>
                      <w:kern w:val="2"/>
                      <w:sz w:val="21"/>
                      <w:szCs w:val="24"/>
                      <w:highlight w:val="none"/>
                      <w:lang w:val="en-US" w:eastAsia="zh-CN" w:bidi="ar-SA"/>
                    </w:rPr>
                  </w:pPr>
                  <w:r>
                    <w:rPr>
                      <w:rFonts w:hint="eastAsia"/>
                      <w:color w:val="auto"/>
                      <w:highlight w:val="none"/>
                      <w:lang w:val="en-US" w:eastAsia="zh-CN"/>
                    </w:rPr>
                    <w:t>废水</w:t>
                  </w:r>
                </w:p>
              </w:tc>
              <w:tc>
                <w:tcPr>
                  <w:tcW w:w="1251" w:type="pct"/>
                  <w:noWrap w:val="0"/>
                  <w:vAlign w:val="center"/>
                </w:tcPr>
                <w:p>
                  <w:pPr>
                    <w:jc w:val="center"/>
                    <w:rPr>
                      <w:rFonts w:hint="default" w:ascii="Times New Roman" w:hAnsi="Times New Roman" w:eastAsia="宋体"/>
                      <w:color w:val="auto"/>
                      <w:kern w:val="2"/>
                      <w:sz w:val="21"/>
                      <w:szCs w:val="24"/>
                      <w:highlight w:val="none"/>
                      <w:lang w:val="en-US" w:eastAsia="zh-CN" w:bidi="ar-SA"/>
                    </w:rPr>
                  </w:pPr>
                  <w:r>
                    <w:rPr>
                      <w:rFonts w:hint="eastAsia"/>
                      <w:color w:val="auto"/>
                      <w:highlight w:val="none"/>
                      <w:lang w:val="en-US" w:eastAsia="zh-CN"/>
                    </w:rPr>
                    <w:t>603.9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酿造酱油（含焦糖色）</w:t>
                  </w:r>
                </w:p>
              </w:tc>
              <w:tc>
                <w:tcPr>
                  <w:tcW w:w="1249" w:type="pct"/>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27</w:t>
                  </w:r>
                </w:p>
              </w:tc>
              <w:tc>
                <w:tcPr>
                  <w:tcW w:w="1249" w:type="pct"/>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植物油损耗</w:t>
                  </w:r>
                </w:p>
              </w:tc>
              <w:tc>
                <w:tcPr>
                  <w:tcW w:w="1251" w:type="pct"/>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食用盐</w:t>
                  </w:r>
                </w:p>
              </w:tc>
              <w:tc>
                <w:tcPr>
                  <w:tcW w:w="1249" w:type="pct"/>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40</w:t>
                  </w:r>
                </w:p>
              </w:tc>
              <w:tc>
                <w:tcPr>
                  <w:tcW w:w="1249" w:type="pct"/>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不合格品</w:t>
                  </w:r>
                </w:p>
              </w:tc>
              <w:tc>
                <w:tcPr>
                  <w:tcW w:w="1251" w:type="pct"/>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白砂糖</w:t>
                  </w:r>
                </w:p>
              </w:tc>
              <w:tc>
                <w:tcPr>
                  <w:tcW w:w="1249" w:type="pct"/>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50</w:t>
                  </w:r>
                </w:p>
              </w:tc>
              <w:tc>
                <w:tcPr>
                  <w:tcW w:w="1249" w:type="pct"/>
                  <w:noWrap w:val="0"/>
                  <w:vAlign w:val="center"/>
                </w:tcPr>
                <w:p>
                  <w:pPr>
                    <w:jc w:val="center"/>
                    <w:rPr>
                      <w:rFonts w:hint="eastAsia"/>
                      <w:color w:val="auto"/>
                      <w:highlight w:val="none"/>
                    </w:rPr>
                  </w:pPr>
                </w:p>
              </w:tc>
              <w:tc>
                <w:tcPr>
                  <w:tcW w:w="1251" w:type="pct"/>
                  <w:noWrap w:val="0"/>
                  <w:vAlign w:val="center"/>
                </w:tcPr>
                <w:p>
                  <w:pPr>
                    <w:jc w:val="center"/>
                    <w:rPr>
                      <w:rFonts w:hint="default" w:eastAsia="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辣椒</w:t>
                  </w:r>
                </w:p>
              </w:tc>
              <w:tc>
                <w:tcPr>
                  <w:tcW w:w="1249" w:type="pct"/>
                  <w:noWrap w:val="0"/>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1249" w:type="pct"/>
                  <w:noWrap w:val="0"/>
                  <w:vAlign w:val="center"/>
                </w:tcPr>
                <w:p>
                  <w:pPr>
                    <w:jc w:val="center"/>
                    <w:rPr>
                      <w:rFonts w:hint="eastAsia"/>
                      <w:color w:val="auto"/>
                      <w:highlight w:val="none"/>
                    </w:rPr>
                  </w:pPr>
                </w:p>
              </w:tc>
              <w:tc>
                <w:tcPr>
                  <w:tcW w:w="1251" w:type="pct"/>
                  <w:noWrap w:val="0"/>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高鲜味精</w:t>
                  </w:r>
                </w:p>
              </w:tc>
              <w:tc>
                <w:tcPr>
                  <w:tcW w:w="1249" w:type="pct"/>
                  <w:noWrap w:val="0"/>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5</w:t>
                  </w:r>
                </w:p>
              </w:tc>
              <w:tc>
                <w:tcPr>
                  <w:tcW w:w="1249" w:type="pct"/>
                  <w:noWrap w:val="0"/>
                  <w:vAlign w:val="center"/>
                </w:tcPr>
                <w:p>
                  <w:pPr>
                    <w:jc w:val="center"/>
                    <w:rPr>
                      <w:rFonts w:hint="eastAsia"/>
                      <w:color w:val="auto"/>
                      <w:highlight w:val="none"/>
                    </w:rPr>
                  </w:pPr>
                </w:p>
              </w:tc>
              <w:tc>
                <w:tcPr>
                  <w:tcW w:w="1251" w:type="pct"/>
                  <w:noWrap w:val="0"/>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食用香精香料</w:t>
                  </w:r>
                </w:p>
              </w:tc>
              <w:tc>
                <w:tcPr>
                  <w:tcW w:w="1249" w:type="pct"/>
                  <w:noWrap w:val="0"/>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1249" w:type="pct"/>
                  <w:noWrap w:val="0"/>
                  <w:vAlign w:val="center"/>
                </w:tcPr>
                <w:p>
                  <w:pPr>
                    <w:jc w:val="center"/>
                    <w:rPr>
                      <w:rFonts w:hint="eastAsia"/>
                      <w:color w:val="auto"/>
                      <w:highlight w:val="none"/>
                    </w:rPr>
                  </w:pPr>
                </w:p>
              </w:tc>
              <w:tc>
                <w:tcPr>
                  <w:tcW w:w="1251" w:type="pct"/>
                  <w:noWrap w:val="0"/>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香辛料</w:t>
                  </w:r>
                </w:p>
              </w:tc>
              <w:tc>
                <w:tcPr>
                  <w:tcW w:w="1249" w:type="pct"/>
                  <w:noWrap w:val="0"/>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5</w:t>
                  </w:r>
                </w:p>
              </w:tc>
              <w:tc>
                <w:tcPr>
                  <w:tcW w:w="1249" w:type="pct"/>
                  <w:noWrap w:val="0"/>
                  <w:vAlign w:val="center"/>
                </w:tcPr>
                <w:p>
                  <w:pPr>
                    <w:jc w:val="center"/>
                    <w:rPr>
                      <w:rFonts w:hint="eastAsia"/>
                      <w:color w:val="auto"/>
                      <w:highlight w:val="none"/>
                    </w:rPr>
                  </w:pPr>
                </w:p>
              </w:tc>
              <w:tc>
                <w:tcPr>
                  <w:tcW w:w="1251" w:type="pct"/>
                  <w:noWrap w:val="0"/>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卤药水</w:t>
                  </w:r>
                </w:p>
              </w:tc>
              <w:tc>
                <w:tcPr>
                  <w:tcW w:w="1249" w:type="pct"/>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3</w:t>
                  </w:r>
                </w:p>
              </w:tc>
              <w:tc>
                <w:tcPr>
                  <w:tcW w:w="1249" w:type="pct"/>
                  <w:noWrap w:val="0"/>
                  <w:vAlign w:val="center"/>
                </w:tcPr>
                <w:p>
                  <w:pPr>
                    <w:jc w:val="center"/>
                    <w:rPr>
                      <w:rFonts w:hint="eastAsia"/>
                      <w:color w:val="auto"/>
                      <w:highlight w:val="none"/>
                    </w:rPr>
                  </w:pPr>
                </w:p>
              </w:tc>
              <w:tc>
                <w:tcPr>
                  <w:tcW w:w="1251" w:type="pct"/>
                  <w:noWrap w:val="0"/>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卤膏</w:t>
                  </w:r>
                </w:p>
              </w:tc>
              <w:tc>
                <w:tcPr>
                  <w:tcW w:w="1249" w:type="pct"/>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3</w:t>
                  </w:r>
                </w:p>
              </w:tc>
              <w:tc>
                <w:tcPr>
                  <w:tcW w:w="1249" w:type="pct"/>
                  <w:noWrap w:val="0"/>
                  <w:vAlign w:val="center"/>
                </w:tcPr>
                <w:p>
                  <w:pPr>
                    <w:jc w:val="center"/>
                    <w:rPr>
                      <w:color w:val="auto"/>
                      <w:highlight w:val="none"/>
                    </w:rPr>
                  </w:pPr>
                </w:p>
              </w:tc>
              <w:tc>
                <w:tcPr>
                  <w:tcW w:w="1251" w:type="pct"/>
                  <w:noWrap w:val="0"/>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jc w:val="center"/>
                    <w:rPr>
                      <w:color w:val="auto"/>
                      <w:highlight w:val="none"/>
                    </w:rPr>
                  </w:pPr>
                  <w:r>
                    <w:rPr>
                      <w:color w:val="auto"/>
                      <w:highlight w:val="none"/>
                    </w:rPr>
                    <w:t>合计</w:t>
                  </w:r>
                </w:p>
              </w:tc>
              <w:tc>
                <w:tcPr>
                  <w:tcW w:w="1249" w:type="pct"/>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≈3605</w:t>
                  </w:r>
                </w:p>
              </w:tc>
              <w:tc>
                <w:tcPr>
                  <w:tcW w:w="1249" w:type="pct"/>
                  <w:noWrap w:val="0"/>
                  <w:vAlign w:val="center"/>
                </w:tcPr>
                <w:p>
                  <w:pPr>
                    <w:jc w:val="center"/>
                    <w:rPr>
                      <w:color w:val="auto"/>
                      <w:highlight w:val="none"/>
                    </w:rPr>
                  </w:pPr>
                  <w:r>
                    <w:rPr>
                      <w:color w:val="auto"/>
                      <w:highlight w:val="none"/>
                    </w:rPr>
                    <w:t>合计</w:t>
                  </w:r>
                </w:p>
              </w:tc>
              <w:tc>
                <w:tcPr>
                  <w:tcW w:w="1251" w:type="pct"/>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≈3605</w:t>
                  </w:r>
                </w:p>
              </w:tc>
            </w:tr>
          </w:tbl>
          <w:p>
            <w:pPr>
              <w:pStyle w:val="41"/>
              <w:bidi w:val="0"/>
              <w:rPr>
                <w:rFonts w:ascii="Times New Roman" w:hAnsi="Times New Roman" w:eastAsia="宋体" w:cs="宋体"/>
                <w:b/>
                <w:bCs/>
                <w:color w:val="auto"/>
                <w:szCs w:val="21"/>
                <w:highlight w:val="none"/>
                <w:shd w:val="clear" w:color="auto" w:fill="FFFFFF"/>
              </w:rPr>
            </w:pPr>
            <w:r>
              <w:rPr>
                <w:rFonts w:ascii="Times New Roman" w:hAnsi="Times New Roman" w:eastAsia="宋体" w:cs="宋体"/>
                <w:b/>
                <w:bCs/>
                <w:color w:val="auto"/>
                <w:szCs w:val="21"/>
                <w:highlight w:val="none"/>
                <w:shd w:val="clear" w:color="auto" w:fill="FFFFFF"/>
              </w:rPr>
              <w:t>表2-</w:t>
            </w:r>
            <w:r>
              <w:rPr>
                <w:rFonts w:hint="eastAsia" w:ascii="Times New Roman" w:hAnsi="Times New Roman" w:eastAsia="宋体" w:cs="宋体"/>
                <w:b/>
                <w:bCs/>
                <w:color w:val="auto"/>
                <w:szCs w:val="21"/>
                <w:highlight w:val="none"/>
                <w:shd w:val="clear" w:color="auto" w:fill="FFFFFF"/>
                <w:lang w:val="en-US" w:eastAsia="zh-CN"/>
              </w:rPr>
              <w:t>8</w:t>
            </w:r>
            <w:r>
              <w:rPr>
                <w:rFonts w:ascii="Times New Roman" w:hAnsi="Times New Roman" w:eastAsia="宋体" w:cs="宋体"/>
                <w:b/>
                <w:bCs/>
                <w:color w:val="auto"/>
                <w:szCs w:val="21"/>
                <w:highlight w:val="none"/>
                <w:shd w:val="clear" w:color="auto" w:fill="FFFFFF"/>
              </w:rPr>
              <w:t xml:space="preserve">  </w:t>
            </w:r>
            <w:r>
              <w:rPr>
                <w:rFonts w:hint="eastAsia" w:ascii="Times New Roman" w:hAnsi="Times New Roman" w:eastAsia="宋体" w:cs="宋体"/>
                <w:b/>
                <w:bCs/>
                <w:color w:val="auto"/>
                <w:szCs w:val="21"/>
                <w:highlight w:val="none"/>
                <w:shd w:val="clear" w:color="auto" w:fill="FFFFFF"/>
                <w:lang w:val="en-US" w:eastAsia="zh-CN"/>
              </w:rPr>
              <w:t>手撕素肉</w:t>
            </w:r>
            <w:r>
              <w:rPr>
                <w:rFonts w:ascii="Times New Roman" w:hAnsi="Times New Roman" w:eastAsia="宋体" w:cs="宋体"/>
                <w:b/>
                <w:bCs/>
                <w:color w:val="auto"/>
                <w:szCs w:val="21"/>
                <w:highlight w:val="none"/>
                <w:shd w:val="clear" w:color="auto" w:fill="FFFFFF"/>
              </w:rPr>
              <w:t>物料平衡表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0"/>
              <w:gridCol w:w="2102"/>
              <w:gridCol w:w="2100"/>
              <w:gridCol w:w="2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99" w:type="pct"/>
                  <w:gridSpan w:val="2"/>
                  <w:noWrap w:val="0"/>
                  <w:vAlign w:val="center"/>
                </w:tcPr>
                <w:p>
                  <w:pPr>
                    <w:jc w:val="center"/>
                    <w:rPr>
                      <w:b/>
                      <w:bCs/>
                      <w:color w:val="auto"/>
                      <w:highlight w:val="none"/>
                    </w:rPr>
                  </w:pPr>
                  <w:r>
                    <w:rPr>
                      <w:b/>
                      <w:bCs/>
                      <w:color w:val="auto"/>
                      <w:highlight w:val="none"/>
                    </w:rPr>
                    <w:t>投入</w:t>
                  </w:r>
                </w:p>
              </w:tc>
              <w:tc>
                <w:tcPr>
                  <w:tcW w:w="2500" w:type="pct"/>
                  <w:gridSpan w:val="2"/>
                  <w:noWrap w:val="0"/>
                  <w:vAlign w:val="center"/>
                </w:tcPr>
                <w:p>
                  <w:pPr>
                    <w:jc w:val="center"/>
                    <w:rPr>
                      <w:b/>
                      <w:bCs/>
                      <w:color w:val="auto"/>
                      <w:highlight w:val="none"/>
                    </w:rPr>
                  </w:pPr>
                  <w:r>
                    <w:rPr>
                      <w:b/>
                      <w:bCs/>
                      <w:color w:val="auto"/>
                      <w:highlight w:val="none"/>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jc w:val="center"/>
                    <w:rPr>
                      <w:b/>
                      <w:bCs/>
                      <w:color w:val="auto"/>
                      <w:highlight w:val="none"/>
                    </w:rPr>
                  </w:pPr>
                  <w:r>
                    <w:rPr>
                      <w:b/>
                      <w:bCs/>
                      <w:color w:val="auto"/>
                      <w:highlight w:val="none"/>
                    </w:rPr>
                    <w:t>名称</w:t>
                  </w:r>
                </w:p>
              </w:tc>
              <w:tc>
                <w:tcPr>
                  <w:tcW w:w="1249" w:type="pct"/>
                  <w:noWrap w:val="0"/>
                  <w:vAlign w:val="center"/>
                </w:tcPr>
                <w:p>
                  <w:pPr>
                    <w:jc w:val="center"/>
                    <w:rPr>
                      <w:b/>
                      <w:bCs/>
                      <w:color w:val="auto"/>
                      <w:highlight w:val="none"/>
                    </w:rPr>
                  </w:pPr>
                  <w:r>
                    <w:rPr>
                      <w:b/>
                      <w:bCs/>
                      <w:color w:val="auto"/>
                      <w:highlight w:val="none"/>
                    </w:rPr>
                    <w:t>投加量（t/a）</w:t>
                  </w:r>
                </w:p>
              </w:tc>
              <w:tc>
                <w:tcPr>
                  <w:tcW w:w="1249" w:type="pct"/>
                  <w:noWrap w:val="0"/>
                  <w:vAlign w:val="center"/>
                </w:tcPr>
                <w:p>
                  <w:pPr>
                    <w:jc w:val="center"/>
                    <w:rPr>
                      <w:b/>
                      <w:bCs/>
                      <w:color w:val="auto"/>
                      <w:highlight w:val="none"/>
                    </w:rPr>
                  </w:pPr>
                  <w:r>
                    <w:rPr>
                      <w:b/>
                      <w:bCs/>
                      <w:color w:val="auto"/>
                      <w:highlight w:val="none"/>
                    </w:rPr>
                    <w:t>名称</w:t>
                  </w:r>
                </w:p>
              </w:tc>
              <w:tc>
                <w:tcPr>
                  <w:tcW w:w="1251" w:type="pct"/>
                  <w:noWrap w:val="0"/>
                  <w:vAlign w:val="center"/>
                </w:tcPr>
                <w:p>
                  <w:pPr>
                    <w:jc w:val="center"/>
                    <w:rPr>
                      <w:b/>
                      <w:bCs/>
                      <w:color w:val="auto"/>
                      <w:highlight w:val="none"/>
                    </w:rPr>
                  </w:pPr>
                  <w:r>
                    <w:rPr>
                      <w:b/>
                      <w:bCs/>
                      <w:color w:val="auto"/>
                      <w:highlight w:val="none"/>
                    </w:rPr>
                    <w:t>产出量（t/a）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249" w:type="pct"/>
                  <w:noWrap w:val="0"/>
                  <w:vAlign w:val="center"/>
                </w:tcPr>
                <w:p>
                  <w:pPr>
                    <w:adjustRightInd w:val="0"/>
                    <w:snapToGrid w:val="0"/>
                    <w:jc w:val="center"/>
                    <w:rPr>
                      <w:rFonts w:hint="default" w:eastAsia="宋体"/>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大豆拉丝蛋白</w:t>
                  </w:r>
                </w:p>
              </w:tc>
              <w:tc>
                <w:tcPr>
                  <w:tcW w:w="2104" w:type="dxa"/>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1249" w:type="pct"/>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手撕素肉</w:t>
                  </w:r>
                </w:p>
              </w:tc>
              <w:tc>
                <w:tcPr>
                  <w:tcW w:w="1251" w:type="pct"/>
                  <w:noWrap w:val="0"/>
                  <w:vAlign w:val="center"/>
                </w:tcPr>
                <w:p>
                  <w:pPr>
                    <w:jc w:val="center"/>
                    <w:rPr>
                      <w:rFonts w:hint="default" w:eastAsia="宋体"/>
                      <w:color w:val="auto"/>
                      <w:highlight w:val="none"/>
                      <w:lang w:val="en-US" w:eastAsia="zh-CN"/>
                    </w:rPr>
                  </w:pPr>
                  <w:r>
                    <w:rPr>
                      <w:rFonts w:hint="eastAsia" w:eastAsia="宋体"/>
                      <w:color w:val="auto"/>
                      <w:highlight w:val="no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浸泡、卤制用</w:t>
                  </w:r>
                  <w:r>
                    <w:rPr>
                      <w:rFonts w:hint="eastAsia" w:ascii="Times New Roman" w:hAnsi="Times New Roman" w:eastAsia="宋体" w:cs="Times New Roman"/>
                      <w:color w:val="auto"/>
                      <w:szCs w:val="21"/>
                      <w:highlight w:val="none"/>
                      <w:lang w:val="en-US" w:eastAsia="zh-CN"/>
                    </w:rPr>
                    <w:t>水</w:t>
                  </w:r>
                </w:p>
              </w:tc>
              <w:tc>
                <w:tcPr>
                  <w:tcW w:w="2104" w:type="dxa"/>
                  <w:noWrap w:val="0"/>
                  <w:vAlign w:val="center"/>
                </w:tcPr>
                <w:p>
                  <w:pPr>
                    <w:keepNext w:val="0"/>
                    <w:keepLines w:val="0"/>
                    <w:widowControl/>
                    <w:suppressLineNumbers w:val="0"/>
                    <w:jc w:val="center"/>
                    <w:textAlignment w:val="center"/>
                    <w:rPr>
                      <w:rFonts w:hint="default"/>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240</w:t>
                  </w:r>
                  <w:r>
                    <w:rPr>
                      <w:rFonts w:hint="eastAsia" w:ascii="Times New Roman" w:hAnsi="Times New Roman" w:eastAsia="宋体" w:cs="Times New Roman"/>
                      <w:i w:val="0"/>
                      <w:iCs w:val="0"/>
                      <w:color w:val="auto"/>
                      <w:kern w:val="0"/>
                      <w:sz w:val="21"/>
                      <w:szCs w:val="21"/>
                      <w:highlight w:val="none"/>
                      <w:u w:val="none"/>
                      <w:lang w:val="en-US" w:eastAsia="zh-CN" w:bidi="ar"/>
                    </w:rPr>
                    <w:t>5</w:t>
                  </w:r>
                </w:p>
              </w:tc>
              <w:tc>
                <w:tcPr>
                  <w:tcW w:w="1249" w:type="pct"/>
                  <w:noWrap w:val="0"/>
                  <w:vAlign w:val="center"/>
                </w:tcPr>
                <w:p>
                  <w:pPr>
                    <w:jc w:val="center"/>
                    <w:rPr>
                      <w:rFonts w:hint="default"/>
                      <w:bCs/>
                      <w:color w:val="auto"/>
                      <w:szCs w:val="21"/>
                      <w:highlight w:val="none"/>
                      <w:lang w:val="en-US" w:eastAsia="zh-CN"/>
                    </w:rPr>
                  </w:pPr>
                  <w:r>
                    <w:rPr>
                      <w:rFonts w:hint="eastAsia"/>
                      <w:bCs/>
                      <w:color w:val="auto"/>
                      <w:szCs w:val="21"/>
                      <w:highlight w:val="none"/>
                      <w:lang w:val="en-US" w:eastAsia="zh-CN"/>
                    </w:rPr>
                    <w:t>油炸油烟</w:t>
                  </w:r>
                </w:p>
              </w:tc>
              <w:tc>
                <w:tcPr>
                  <w:tcW w:w="1251" w:type="pct"/>
                  <w:noWrap w:val="0"/>
                  <w:vAlign w:val="center"/>
                </w:tcPr>
                <w:p>
                  <w:pPr>
                    <w:jc w:val="center"/>
                    <w:rPr>
                      <w:rFonts w:hint="default"/>
                      <w:color w:val="auto"/>
                      <w:highlight w:val="none"/>
                      <w:lang w:val="en-US" w:eastAsia="zh-CN"/>
                    </w:rPr>
                  </w:pPr>
                  <w:r>
                    <w:rPr>
                      <w:rFonts w:hint="eastAsia"/>
                      <w:color w:val="auto"/>
                      <w:highlight w:val="none"/>
                      <w:lang w:val="en-US" w:eastAsia="zh-CN"/>
                    </w:rPr>
                    <w:t>0.0023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植物油</w:t>
                  </w:r>
                </w:p>
              </w:tc>
              <w:tc>
                <w:tcPr>
                  <w:tcW w:w="2104" w:type="dxa"/>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1249" w:type="pct"/>
                  <w:noWrap w:val="0"/>
                  <w:vAlign w:val="center"/>
                </w:tcPr>
                <w:p>
                  <w:pPr>
                    <w:jc w:val="center"/>
                    <w:rPr>
                      <w:rFonts w:hint="eastAsia" w:eastAsia="宋体"/>
                      <w:color w:val="auto"/>
                      <w:highlight w:val="none"/>
                      <w:lang w:val="en-US" w:eastAsia="zh-CN"/>
                    </w:rPr>
                  </w:pPr>
                  <w:r>
                    <w:rPr>
                      <w:rFonts w:hint="eastAsia"/>
                      <w:color w:val="auto"/>
                      <w:highlight w:val="none"/>
                      <w:lang w:val="en-US" w:eastAsia="zh-CN"/>
                    </w:rPr>
                    <w:t>拌料粉尘</w:t>
                  </w:r>
                </w:p>
              </w:tc>
              <w:tc>
                <w:tcPr>
                  <w:tcW w:w="1251" w:type="pct"/>
                  <w:noWrap w:val="0"/>
                  <w:vAlign w:val="center"/>
                </w:tcPr>
                <w:p>
                  <w:pPr>
                    <w:jc w:val="center"/>
                    <w:rPr>
                      <w:rFonts w:hint="default" w:eastAsia="宋体"/>
                      <w:color w:val="auto"/>
                      <w:highlight w:val="none"/>
                      <w:lang w:val="en-US" w:eastAsia="zh-CN"/>
                    </w:rPr>
                  </w:pPr>
                  <w:r>
                    <w:rPr>
                      <w:rFonts w:hint="eastAsia" w:eastAsia="宋体"/>
                      <w:color w:val="auto"/>
                      <w:highlight w:val="none"/>
                      <w:lang w:val="en-US" w:eastAsia="zh-CN"/>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酿造酱油（含焦糖色）</w:t>
                  </w:r>
                </w:p>
              </w:tc>
              <w:tc>
                <w:tcPr>
                  <w:tcW w:w="2104" w:type="dxa"/>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249" w:type="pct"/>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废水</w:t>
                  </w:r>
                </w:p>
              </w:tc>
              <w:tc>
                <w:tcPr>
                  <w:tcW w:w="1251" w:type="pct"/>
                  <w:noWrap w:val="0"/>
                  <w:vAlign w:val="center"/>
                </w:tcPr>
                <w:p>
                  <w:pPr>
                    <w:jc w:val="center"/>
                    <w:rPr>
                      <w:rFonts w:hint="default" w:eastAsia="宋体"/>
                      <w:color w:val="auto"/>
                      <w:highlight w:val="none"/>
                      <w:lang w:val="en-US" w:eastAsia="zh-CN"/>
                    </w:rPr>
                  </w:pPr>
                  <w:r>
                    <w:rPr>
                      <w:rFonts w:hint="eastAsia" w:eastAsia="宋体"/>
                      <w:color w:val="auto"/>
                      <w:highlight w:val="none"/>
                      <w:lang w:val="en-US" w:eastAsia="zh-CN"/>
                    </w:rPr>
                    <w:t>2283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食用盐</w:t>
                  </w:r>
                </w:p>
              </w:tc>
              <w:tc>
                <w:tcPr>
                  <w:tcW w:w="2104" w:type="dxa"/>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249" w:type="pct"/>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不合格品</w:t>
                  </w:r>
                </w:p>
              </w:tc>
              <w:tc>
                <w:tcPr>
                  <w:tcW w:w="1251" w:type="pct"/>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白砂糖</w:t>
                  </w:r>
                </w:p>
              </w:tc>
              <w:tc>
                <w:tcPr>
                  <w:tcW w:w="2104" w:type="dxa"/>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15</w:t>
                  </w:r>
                </w:p>
              </w:tc>
              <w:tc>
                <w:tcPr>
                  <w:tcW w:w="1249" w:type="pct"/>
                  <w:noWrap w:val="0"/>
                  <w:vAlign w:val="center"/>
                </w:tcPr>
                <w:p>
                  <w:pPr>
                    <w:jc w:val="center"/>
                    <w:rPr>
                      <w:rFonts w:hint="eastAsia"/>
                      <w:color w:val="auto"/>
                      <w:highlight w:val="none"/>
                    </w:rPr>
                  </w:pPr>
                  <w:r>
                    <w:rPr>
                      <w:rFonts w:hint="eastAsia"/>
                      <w:color w:val="auto"/>
                      <w:highlight w:val="none"/>
                      <w:lang w:val="en-US" w:eastAsia="zh-CN"/>
                    </w:rPr>
                    <w:t>废植物油</w:t>
                  </w:r>
                </w:p>
              </w:tc>
              <w:tc>
                <w:tcPr>
                  <w:tcW w:w="1251" w:type="pct"/>
                  <w:noWrap w:val="0"/>
                  <w:vAlign w:val="center"/>
                </w:tcPr>
                <w:p>
                  <w:pPr>
                    <w:jc w:val="center"/>
                    <w:rPr>
                      <w:rFonts w:hint="default" w:eastAsia="宋体"/>
                      <w:color w:val="auto"/>
                      <w:highlight w:val="none"/>
                      <w:lang w:val="en-US" w:eastAsia="zh-CN"/>
                    </w:rPr>
                  </w:pPr>
                  <w:r>
                    <w:rPr>
                      <w:rFonts w:hint="eastAsia" w:eastAsia="宋体"/>
                      <w:color w:val="auto"/>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辣椒</w:t>
                  </w:r>
                </w:p>
              </w:tc>
              <w:tc>
                <w:tcPr>
                  <w:tcW w:w="2104" w:type="dxa"/>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249" w:type="pct"/>
                  <w:noWrap w:val="0"/>
                  <w:vAlign w:val="center"/>
                </w:tcPr>
                <w:p>
                  <w:pPr>
                    <w:jc w:val="center"/>
                    <w:rPr>
                      <w:rFonts w:hint="eastAsia"/>
                      <w:color w:val="auto"/>
                      <w:highlight w:val="none"/>
                    </w:rPr>
                  </w:pPr>
                </w:p>
              </w:tc>
              <w:tc>
                <w:tcPr>
                  <w:tcW w:w="1251" w:type="pct"/>
                  <w:noWrap w:val="0"/>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高鲜味精</w:t>
                  </w:r>
                </w:p>
              </w:tc>
              <w:tc>
                <w:tcPr>
                  <w:tcW w:w="2104" w:type="dxa"/>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1249" w:type="pct"/>
                  <w:noWrap w:val="0"/>
                  <w:vAlign w:val="center"/>
                </w:tcPr>
                <w:p>
                  <w:pPr>
                    <w:jc w:val="center"/>
                    <w:rPr>
                      <w:rFonts w:hint="eastAsia"/>
                      <w:color w:val="auto"/>
                      <w:highlight w:val="none"/>
                    </w:rPr>
                  </w:pPr>
                </w:p>
              </w:tc>
              <w:tc>
                <w:tcPr>
                  <w:tcW w:w="1251" w:type="pct"/>
                  <w:noWrap w:val="0"/>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食用香精香料</w:t>
                  </w:r>
                </w:p>
              </w:tc>
              <w:tc>
                <w:tcPr>
                  <w:tcW w:w="2104" w:type="dxa"/>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249" w:type="pct"/>
                  <w:noWrap w:val="0"/>
                  <w:vAlign w:val="center"/>
                </w:tcPr>
                <w:p>
                  <w:pPr>
                    <w:jc w:val="center"/>
                    <w:rPr>
                      <w:rFonts w:hint="eastAsia"/>
                      <w:color w:val="auto"/>
                      <w:highlight w:val="none"/>
                    </w:rPr>
                  </w:pPr>
                </w:p>
              </w:tc>
              <w:tc>
                <w:tcPr>
                  <w:tcW w:w="1251" w:type="pct"/>
                  <w:noWrap w:val="0"/>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香辛料</w:t>
                  </w:r>
                </w:p>
              </w:tc>
              <w:tc>
                <w:tcPr>
                  <w:tcW w:w="2104" w:type="dxa"/>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1249" w:type="pct"/>
                  <w:noWrap w:val="0"/>
                  <w:vAlign w:val="center"/>
                </w:tcPr>
                <w:p>
                  <w:pPr>
                    <w:jc w:val="center"/>
                    <w:rPr>
                      <w:rFonts w:hint="eastAsia"/>
                      <w:color w:val="auto"/>
                      <w:highlight w:val="none"/>
                    </w:rPr>
                  </w:pPr>
                </w:p>
              </w:tc>
              <w:tc>
                <w:tcPr>
                  <w:tcW w:w="1251" w:type="pct"/>
                  <w:noWrap w:val="0"/>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卤药水</w:t>
                  </w:r>
                </w:p>
              </w:tc>
              <w:tc>
                <w:tcPr>
                  <w:tcW w:w="2104" w:type="dxa"/>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249" w:type="pct"/>
                  <w:noWrap w:val="0"/>
                  <w:vAlign w:val="center"/>
                </w:tcPr>
                <w:p>
                  <w:pPr>
                    <w:jc w:val="center"/>
                    <w:rPr>
                      <w:rFonts w:hint="eastAsia"/>
                      <w:color w:val="auto"/>
                      <w:highlight w:val="none"/>
                    </w:rPr>
                  </w:pPr>
                </w:p>
              </w:tc>
              <w:tc>
                <w:tcPr>
                  <w:tcW w:w="1251" w:type="pct"/>
                  <w:noWrap w:val="0"/>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卤膏</w:t>
                  </w:r>
                </w:p>
              </w:tc>
              <w:tc>
                <w:tcPr>
                  <w:tcW w:w="2104" w:type="dxa"/>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249" w:type="pct"/>
                  <w:noWrap w:val="0"/>
                  <w:vAlign w:val="center"/>
                </w:tcPr>
                <w:p>
                  <w:pPr>
                    <w:jc w:val="center"/>
                    <w:rPr>
                      <w:color w:val="auto"/>
                      <w:highlight w:val="none"/>
                    </w:rPr>
                  </w:pPr>
                </w:p>
              </w:tc>
              <w:tc>
                <w:tcPr>
                  <w:tcW w:w="1251" w:type="pct"/>
                  <w:noWrap w:val="0"/>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9" w:type="pct"/>
                  <w:noWrap w:val="0"/>
                  <w:vAlign w:val="center"/>
                </w:tcPr>
                <w:p>
                  <w:pPr>
                    <w:jc w:val="center"/>
                    <w:rPr>
                      <w:color w:val="auto"/>
                      <w:highlight w:val="none"/>
                    </w:rPr>
                  </w:pPr>
                  <w:r>
                    <w:rPr>
                      <w:color w:val="auto"/>
                      <w:highlight w:val="none"/>
                    </w:rPr>
                    <w:t>合计</w:t>
                  </w:r>
                </w:p>
              </w:tc>
              <w:tc>
                <w:tcPr>
                  <w:tcW w:w="2104" w:type="dxa"/>
                  <w:noWrap w:val="0"/>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eastAsia" w:cs="Times New Roman"/>
                      <w:i w:val="0"/>
                      <w:iCs w:val="0"/>
                      <w:color w:val="auto"/>
                      <w:kern w:val="0"/>
                      <w:sz w:val="21"/>
                      <w:szCs w:val="21"/>
                      <w:highlight w:val="none"/>
                      <w:u w:val="none"/>
                      <w:lang w:val="en-US" w:eastAsia="zh-CN" w:bidi="ar"/>
                    </w:rPr>
                    <w:t>2798</w:t>
                  </w:r>
                </w:p>
              </w:tc>
              <w:tc>
                <w:tcPr>
                  <w:tcW w:w="1249" w:type="pct"/>
                  <w:noWrap w:val="0"/>
                  <w:vAlign w:val="center"/>
                </w:tcPr>
                <w:p>
                  <w:pPr>
                    <w:jc w:val="center"/>
                    <w:rPr>
                      <w:color w:val="auto"/>
                      <w:highlight w:val="none"/>
                    </w:rPr>
                  </w:pPr>
                  <w:r>
                    <w:rPr>
                      <w:color w:val="auto"/>
                      <w:highlight w:val="none"/>
                    </w:rPr>
                    <w:t>合计</w:t>
                  </w:r>
                </w:p>
              </w:tc>
              <w:tc>
                <w:tcPr>
                  <w:tcW w:w="1251" w:type="pct"/>
                  <w:noWrap w:val="0"/>
                  <w:vAlign w:val="center"/>
                </w:tcPr>
                <w:p>
                  <w:pPr>
                    <w:jc w:val="center"/>
                    <w:rPr>
                      <w:rFonts w:hint="default"/>
                      <w:color w:val="auto"/>
                      <w:highlight w:val="none"/>
                      <w:lang w:val="en-US"/>
                    </w:rPr>
                  </w:pPr>
                  <w:r>
                    <w:rPr>
                      <w:rFonts w:hint="eastAsia"/>
                      <w:color w:val="auto"/>
                      <w:highlight w:val="none"/>
                      <w:lang w:val="en-US" w:eastAsia="zh-CN"/>
                    </w:rPr>
                    <w:t>≈</w:t>
                  </w:r>
                  <w:r>
                    <w:rPr>
                      <w:rFonts w:hint="eastAsia" w:cs="Times New Roman"/>
                      <w:i w:val="0"/>
                      <w:iCs w:val="0"/>
                      <w:color w:val="auto"/>
                      <w:kern w:val="0"/>
                      <w:sz w:val="21"/>
                      <w:szCs w:val="21"/>
                      <w:highlight w:val="none"/>
                      <w:u w:val="none"/>
                      <w:lang w:val="en-US" w:eastAsia="zh-CN" w:bidi="ar"/>
                    </w:rPr>
                    <w:t>2798</w:t>
                  </w:r>
                </w:p>
              </w:tc>
            </w:tr>
          </w:tbl>
          <w:p>
            <w:pPr>
              <w:adjustRightInd w:val="0"/>
              <w:snapToGrid w:val="0"/>
              <w:spacing w:line="360" w:lineRule="auto"/>
              <w:rPr>
                <w:b/>
                <w:bCs/>
                <w:color w:val="auto"/>
                <w:sz w:val="24"/>
                <w:highlight w:val="yellow"/>
                <w:shd w:val="clear" w:color="auto" w:fill="FFFFFF"/>
              </w:rPr>
            </w:pPr>
            <w:r>
              <w:rPr>
                <w:rFonts w:hint="eastAsia"/>
                <w:b/>
                <w:bCs/>
                <w:color w:val="auto"/>
                <w:sz w:val="24"/>
                <w:highlight w:val="none"/>
                <w:shd w:val="clear" w:color="auto" w:fill="FFFFFF"/>
                <w:lang w:val="en-US" w:eastAsia="zh-CN"/>
              </w:rPr>
              <w:t>7、</w:t>
            </w:r>
            <w:r>
              <w:rPr>
                <w:b/>
                <w:bCs/>
                <w:color w:val="auto"/>
                <w:sz w:val="24"/>
                <w:highlight w:val="none"/>
                <w:shd w:val="clear" w:color="auto" w:fill="FFFFFF"/>
              </w:rPr>
              <w:t>主要生产设备</w:t>
            </w:r>
            <w:r>
              <w:rPr>
                <w:rFonts w:hint="eastAsia" w:ascii="Times New Roman" w:hAnsi="Times New Roman" w:eastAsia="宋体" w:cs="Times New Roman"/>
                <w:b/>
                <w:color w:val="auto"/>
                <w:kern w:val="0"/>
                <w:sz w:val="24"/>
                <w:szCs w:val="24"/>
                <w:highlight w:val="none"/>
                <w:lang w:val="en-US" w:eastAsia="zh-CN" w:bidi="ar"/>
              </w:rPr>
              <w:t>清单</w:t>
            </w:r>
            <w:r>
              <w:rPr>
                <w:rFonts w:hint="eastAsia" w:cs="Times New Roman"/>
                <w:b/>
                <w:color w:val="auto"/>
                <w:kern w:val="0"/>
                <w:sz w:val="24"/>
                <w:szCs w:val="24"/>
                <w:highlight w:val="none"/>
                <w:lang w:val="en-US" w:eastAsia="zh-CN" w:bidi="ar"/>
              </w:rPr>
              <w:t>（新增）</w:t>
            </w:r>
          </w:p>
          <w:p>
            <w:pPr>
              <w:pStyle w:val="41"/>
              <w:bidi w:val="0"/>
              <w:rPr>
                <w:b/>
                <w:bCs/>
                <w:color w:val="auto"/>
                <w:szCs w:val="21"/>
                <w:highlight w:val="none"/>
                <w:shd w:val="clear" w:color="auto" w:fill="FFFFFF"/>
              </w:rPr>
            </w:pPr>
            <w:r>
              <w:rPr>
                <w:b/>
                <w:bCs/>
                <w:color w:val="auto"/>
                <w:szCs w:val="21"/>
                <w:highlight w:val="none"/>
                <w:shd w:val="clear" w:color="auto" w:fill="FFFFFF"/>
              </w:rPr>
              <w:t>表2-</w:t>
            </w:r>
            <w:r>
              <w:rPr>
                <w:rFonts w:hint="eastAsia"/>
                <w:b/>
                <w:bCs/>
                <w:color w:val="auto"/>
                <w:szCs w:val="21"/>
                <w:highlight w:val="none"/>
                <w:shd w:val="clear" w:color="auto" w:fill="FFFFFF"/>
                <w:lang w:val="en-US" w:eastAsia="zh-CN"/>
              </w:rPr>
              <w:t>9</w:t>
            </w:r>
            <w:r>
              <w:rPr>
                <w:b/>
                <w:bCs/>
                <w:color w:val="auto"/>
                <w:szCs w:val="21"/>
                <w:highlight w:val="none"/>
                <w:shd w:val="clear" w:color="auto" w:fill="FFFFFF"/>
              </w:rPr>
              <w:t xml:space="preserve">  主要生产设备清单</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1359"/>
              <w:gridCol w:w="2341"/>
              <w:gridCol w:w="1349"/>
              <w:gridCol w:w="1238"/>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83" w:type="pct"/>
                  <w:noWrap w:val="0"/>
                  <w:vAlign w:val="center"/>
                </w:tcPr>
                <w:p>
                  <w:pPr>
                    <w:adjustRightInd w:val="0"/>
                    <w:snapToGrid w:val="0"/>
                    <w:jc w:val="center"/>
                    <w:rPr>
                      <w:b/>
                      <w:bCs/>
                      <w:color w:val="auto"/>
                      <w:szCs w:val="21"/>
                      <w:highlight w:val="none"/>
                    </w:rPr>
                  </w:pPr>
                  <w:r>
                    <w:rPr>
                      <w:b/>
                      <w:bCs/>
                      <w:color w:val="auto"/>
                      <w:szCs w:val="21"/>
                      <w:highlight w:val="none"/>
                    </w:rPr>
                    <w:t>序号</w:t>
                  </w:r>
                </w:p>
              </w:tc>
              <w:tc>
                <w:tcPr>
                  <w:tcW w:w="808" w:type="pct"/>
                  <w:noWrap w:val="0"/>
                  <w:vAlign w:val="center"/>
                </w:tcPr>
                <w:p>
                  <w:pPr>
                    <w:adjustRightInd w:val="0"/>
                    <w:snapToGrid w:val="0"/>
                    <w:jc w:val="center"/>
                    <w:rPr>
                      <w:b/>
                      <w:bCs/>
                      <w:color w:val="auto"/>
                      <w:szCs w:val="21"/>
                      <w:highlight w:val="none"/>
                    </w:rPr>
                  </w:pPr>
                  <w:r>
                    <w:rPr>
                      <w:b/>
                      <w:bCs/>
                      <w:color w:val="auto"/>
                      <w:szCs w:val="21"/>
                      <w:highlight w:val="none"/>
                    </w:rPr>
                    <w:t>名称</w:t>
                  </w:r>
                </w:p>
              </w:tc>
              <w:tc>
                <w:tcPr>
                  <w:tcW w:w="1392" w:type="pct"/>
                  <w:noWrap w:val="0"/>
                  <w:vAlign w:val="center"/>
                </w:tcPr>
                <w:p>
                  <w:pPr>
                    <w:adjustRightInd w:val="0"/>
                    <w:snapToGrid w:val="0"/>
                    <w:jc w:val="center"/>
                    <w:rPr>
                      <w:b/>
                      <w:bCs/>
                      <w:color w:val="auto"/>
                      <w:szCs w:val="21"/>
                      <w:highlight w:val="none"/>
                    </w:rPr>
                  </w:pPr>
                  <w:r>
                    <w:rPr>
                      <w:b/>
                      <w:bCs/>
                      <w:color w:val="auto"/>
                      <w:szCs w:val="21"/>
                      <w:highlight w:val="none"/>
                    </w:rPr>
                    <w:t>型号</w:t>
                  </w:r>
                </w:p>
              </w:tc>
              <w:tc>
                <w:tcPr>
                  <w:tcW w:w="802" w:type="pct"/>
                  <w:noWrap w:val="0"/>
                  <w:vAlign w:val="center"/>
                </w:tcPr>
                <w:p>
                  <w:pPr>
                    <w:adjustRightInd w:val="0"/>
                    <w:snapToGrid w:val="0"/>
                    <w:jc w:val="center"/>
                    <w:rPr>
                      <w:b/>
                      <w:bCs/>
                      <w:color w:val="auto"/>
                      <w:szCs w:val="21"/>
                      <w:highlight w:val="none"/>
                    </w:rPr>
                  </w:pPr>
                  <w:r>
                    <w:rPr>
                      <w:b/>
                      <w:bCs/>
                      <w:color w:val="auto"/>
                      <w:szCs w:val="21"/>
                      <w:highlight w:val="none"/>
                    </w:rPr>
                    <w:t>数量</w:t>
                  </w:r>
                  <w:r>
                    <w:rPr>
                      <w:rFonts w:hint="eastAsia"/>
                      <w:b/>
                      <w:bCs/>
                      <w:color w:val="auto"/>
                      <w:szCs w:val="21"/>
                      <w:highlight w:val="none"/>
                      <w:lang w:eastAsia="zh-CN"/>
                    </w:rPr>
                    <w:t>（</w:t>
                  </w:r>
                  <w:r>
                    <w:rPr>
                      <w:rFonts w:hint="eastAsia"/>
                      <w:b/>
                      <w:bCs/>
                      <w:color w:val="auto"/>
                      <w:szCs w:val="21"/>
                      <w:highlight w:val="none"/>
                      <w:lang w:val="en-US" w:eastAsia="zh-CN"/>
                    </w:rPr>
                    <w:t>台</w:t>
                  </w:r>
                  <w:r>
                    <w:rPr>
                      <w:rFonts w:hint="eastAsia"/>
                      <w:b/>
                      <w:bCs/>
                      <w:color w:val="auto"/>
                      <w:szCs w:val="21"/>
                      <w:highlight w:val="none"/>
                      <w:lang w:eastAsia="zh-CN"/>
                    </w:rPr>
                    <w:t>）</w:t>
                  </w:r>
                </w:p>
              </w:tc>
              <w:tc>
                <w:tcPr>
                  <w:tcW w:w="736" w:type="pct"/>
                  <w:noWrap w:val="0"/>
                  <w:vAlign w:val="center"/>
                </w:tcPr>
                <w:p>
                  <w:pPr>
                    <w:adjustRightInd w:val="0"/>
                    <w:snapToGrid w:val="0"/>
                    <w:jc w:val="center"/>
                    <w:rPr>
                      <w:rFonts w:hint="default" w:eastAsia="宋体"/>
                      <w:b/>
                      <w:bCs/>
                      <w:color w:val="auto"/>
                      <w:szCs w:val="21"/>
                      <w:highlight w:val="none"/>
                      <w:lang w:val="en-US" w:eastAsia="zh-CN"/>
                    </w:rPr>
                  </w:pPr>
                  <w:r>
                    <w:rPr>
                      <w:rFonts w:hint="eastAsia"/>
                      <w:b/>
                      <w:bCs/>
                      <w:color w:val="auto"/>
                      <w:szCs w:val="21"/>
                      <w:highlight w:val="none"/>
                      <w:lang w:val="en-US" w:eastAsia="zh-CN"/>
                    </w:rPr>
                    <w:t>生产工序</w:t>
                  </w:r>
                </w:p>
              </w:tc>
              <w:tc>
                <w:tcPr>
                  <w:tcW w:w="776" w:type="pct"/>
                  <w:noWrap w:val="0"/>
                  <w:vAlign w:val="center"/>
                </w:tcPr>
                <w:p>
                  <w:pPr>
                    <w:adjustRightInd w:val="0"/>
                    <w:snapToGrid w:val="0"/>
                    <w:jc w:val="center"/>
                    <w:rPr>
                      <w:b/>
                      <w:bCs/>
                      <w:color w:val="auto"/>
                      <w:szCs w:val="21"/>
                      <w:highlight w:val="none"/>
                    </w:rPr>
                  </w:pPr>
                  <w:r>
                    <w:rPr>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noWrap w:val="0"/>
                  <w:vAlign w:val="center"/>
                </w:tcPr>
                <w:p>
                  <w:pPr>
                    <w:adjustRightInd w:val="0"/>
                    <w:snapToGrid w:val="0"/>
                    <w:jc w:val="center"/>
                    <w:rPr>
                      <w:rFonts w:ascii="Times New Roman" w:hAnsi="Times New Roman" w:eastAsia="宋体"/>
                      <w:color w:val="auto"/>
                      <w:kern w:val="2"/>
                      <w:sz w:val="21"/>
                      <w:szCs w:val="21"/>
                      <w:highlight w:val="none"/>
                      <w:lang w:val="en-US" w:eastAsia="zh-CN" w:bidi="ar-SA"/>
                    </w:rPr>
                  </w:pPr>
                  <w:r>
                    <w:rPr>
                      <w:color w:val="auto"/>
                      <w:szCs w:val="21"/>
                      <w:highlight w:val="none"/>
                    </w:rPr>
                    <w:t>1</w:t>
                  </w:r>
                </w:p>
              </w:tc>
              <w:tc>
                <w:tcPr>
                  <w:tcW w:w="808"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高速斩拌机</w:t>
                  </w:r>
                </w:p>
              </w:tc>
              <w:tc>
                <w:tcPr>
                  <w:tcW w:w="13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ZD-200</w:t>
                  </w:r>
                </w:p>
              </w:tc>
              <w:tc>
                <w:tcPr>
                  <w:tcW w:w="80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w:t>
                  </w:r>
                </w:p>
              </w:tc>
              <w:tc>
                <w:tcPr>
                  <w:tcW w:w="73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斩拌</w:t>
                  </w:r>
                </w:p>
              </w:tc>
              <w:tc>
                <w:tcPr>
                  <w:tcW w:w="776" w:type="pct"/>
                  <w:vMerge w:val="restart"/>
                  <w:noWrap w:val="0"/>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生产散装称量豆干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noWrap w:val="0"/>
                  <w:vAlign w:val="center"/>
                </w:tcPr>
                <w:p>
                  <w:pPr>
                    <w:adjustRightInd w:val="0"/>
                    <w:snapToGrid w:val="0"/>
                    <w:jc w:val="center"/>
                    <w:rPr>
                      <w:rFonts w:ascii="Times New Roman" w:hAnsi="Times New Roman" w:eastAsia="宋体"/>
                      <w:color w:val="auto"/>
                      <w:kern w:val="2"/>
                      <w:sz w:val="21"/>
                      <w:szCs w:val="21"/>
                      <w:highlight w:val="none"/>
                      <w:lang w:val="en-US" w:eastAsia="zh-CN" w:bidi="ar-SA"/>
                    </w:rPr>
                  </w:pPr>
                  <w:r>
                    <w:rPr>
                      <w:color w:val="auto"/>
                      <w:szCs w:val="21"/>
                      <w:highlight w:val="none"/>
                    </w:rPr>
                    <w:t>2</w:t>
                  </w:r>
                </w:p>
              </w:tc>
              <w:tc>
                <w:tcPr>
                  <w:tcW w:w="808"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去泡机</w:t>
                  </w:r>
                </w:p>
              </w:tc>
              <w:tc>
                <w:tcPr>
                  <w:tcW w:w="13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ZD-200</w:t>
                  </w:r>
                </w:p>
              </w:tc>
              <w:tc>
                <w:tcPr>
                  <w:tcW w:w="80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w:t>
                  </w:r>
                </w:p>
              </w:tc>
              <w:tc>
                <w:tcPr>
                  <w:tcW w:w="73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去泡</w:t>
                  </w:r>
                </w:p>
              </w:tc>
              <w:tc>
                <w:tcPr>
                  <w:tcW w:w="776" w:type="pct"/>
                  <w:vMerge w:val="continue"/>
                  <w:noWrap w:val="0"/>
                  <w:vAlign w:val="center"/>
                </w:tcPr>
                <w:p>
                  <w:pPr>
                    <w:adjustRightInd w:val="0"/>
                    <w:snapToGrid w:val="0"/>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noWrap w:val="0"/>
                  <w:vAlign w:val="center"/>
                </w:tcPr>
                <w:p>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3</w:t>
                  </w:r>
                </w:p>
              </w:tc>
              <w:tc>
                <w:tcPr>
                  <w:tcW w:w="808"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保压锅</w:t>
                  </w:r>
                </w:p>
              </w:tc>
              <w:tc>
                <w:tcPr>
                  <w:tcW w:w="139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802"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736"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保压</w:t>
                  </w:r>
                </w:p>
              </w:tc>
              <w:tc>
                <w:tcPr>
                  <w:tcW w:w="776" w:type="pct"/>
                  <w:vMerge w:val="continue"/>
                  <w:noWrap w:val="0"/>
                  <w:vAlign w:val="center"/>
                </w:tcPr>
                <w:p>
                  <w:pPr>
                    <w:adjustRightInd w:val="0"/>
                    <w:snapToGrid w:val="0"/>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noWrap w:val="0"/>
                  <w:vAlign w:val="center"/>
                </w:tcPr>
                <w:p>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4</w:t>
                  </w:r>
                </w:p>
              </w:tc>
              <w:tc>
                <w:tcPr>
                  <w:tcW w:w="808"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分切机</w:t>
                  </w:r>
                </w:p>
              </w:tc>
              <w:tc>
                <w:tcPr>
                  <w:tcW w:w="13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JIAYUAN SC200X350</w:t>
                  </w:r>
                </w:p>
              </w:tc>
              <w:tc>
                <w:tcPr>
                  <w:tcW w:w="80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w:t>
                  </w:r>
                </w:p>
              </w:tc>
              <w:tc>
                <w:tcPr>
                  <w:tcW w:w="73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分切</w:t>
                  </w:r>
                </w:p>
              </w:tc>
              <w:tc>
                <w:tcPr>
                  <w:tcW w:w="776" w:type="pct"/>
                  <w:vMerge w:val="continue"/>
                  <w:noWrap w:val="0"/>
                  <w:vAlign w:val="center"/>
                </w:tcPr>
                <w:p>
                  <w:pPr>
                    <w:adjustRightInd w:val="0"/>
                    <w:snapToGrid w:val="0"/>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5</w:t>
                  </w:r>
                </w:p>
              </w:tc>
              <w:tc>
                <w:tcPr>
                  <w:tcW w:w="808"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夹层锅</w:t>
                  </w:r>
                </w:p>
              </w:tc>
              <w:tc>
                <w:tcPr>
                  <w:tcW w:w="13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6300-QJH</w:t>
                  </w:r>
                </w:p>
              </w:tc>
              <w:tc>
                <w:tcPr>
                  <w:tcW w:w="80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3</w:t>
                  </w:r>
                </w:p>
              </w:tc>
              <w:tc>
                <w:tcPr>
                  <w:tcW w:w="73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卤制</w:t>
                  </w:r>
                </w:p>
              </w:tc>
              <w:tc>
                <w:tcPr>
                  <w:tcW w:w="776" w:type="pct"/>
                  <w:vMerge w:val="continue"/>
                  <w:noWrap w:val="0"/>
                  <w:vAlign w:val="center"/>
                </w:tcPr>
                <w:p>
                  <w:pPr>
                    <w:adjustRightInd w:val="0"/>
                    <w:snapToGrid w:val="0"/>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6</w:t>
                  </w:r>
                </w:p>
              </w:tc>
              <w:tc>
                <w:tcPr>
                  <w:tcW w:w="808"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烘烤线</w:t>
                  </w:r>
                </w:p>
              </w:tc>
              <w:tc>
                <w:tcPr>
                  <w:tcW w:w="13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HK-100</w:t>
                  </w:r>
                </w:p>
              </w:tc>
              <w:tc>
                <w:tcPr>
                  <w:tcW w:w="80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w:t>
                  </w:r>
                </w:p>
              </w:tc>
              <w:tc>
                <w:tcPr>
                  <w:tcW w:w="73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烘烤</w:t>
                  </w:r>
                </w:p>
              </w:tc>
              <w:tc>
                <w:tcPr>
                  <w:tcW w:w="776" w:type="pct"/>
                  <w:vMerge w:val="continue"/>
                  <w:noWrap w:val="0"/>
                  <w:vAlign w:val="center"/>
                </w:tcPr>
                <w:p>
                  <w:pPr>
                    <w:adjustRightInd w:val="0"/>
                    <w:snapToGrid w:val="0"/>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7</w:t>
                  </w:r>
                </w:p>
              </w:tc>
              <w:tc>
                <w:tcPr>
                  <w:tcW w:w="808"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冷却线</w:t>
                  </w:r>
                </w:p>
              </w:tc>
              <w:tc>
                <w:tcPr>
                  <w:tcW w:w="13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HK-100</w:t>
                  </w:r>
                </w:p>
              </w:tc>
              <w:tc>
                <w:tcPr>
                  <w:tcW w:w="80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w:t>
                  </w:r>
                </w:p>
              </w:tc>
              <w:tc>
                <w:tcPr>
                  <w:tcW w:w="73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冷却</w:t>
                  </w:r>
                </w:p>
              </w:tc>
              <w:tc>
                <w:tcPr>
                  <w:tcW w:w="776" w:type="pct"/>
                  <w:vMerge w:val="continue"/>
                  <w:noWrap w:val="0"/>
                  <w:vAlign w:val="center"/>
                </w:tcPr>
                <w:p>
                  <w:pPr>
                    <w:adjustRightInd w:val="0"/>
                    <w:snapToGrid w:val="0"/>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noWrap w:val="0"/>
                  <w:vAlign w:val="center"/>
                </w:tcPr>
                <w:p>
                  <w:pPr>
                    <w:adjustRightInd w:val="0"/>
                    <w:snapToGrid w:val="0"/>
                    <w:jc w:val="center"/>
                    <w:rPr>
                      <w:rFonts w:hint="default" w:ascii="Times New Roman" w:hAnsi="Times New Roman"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8</w:t>
                  </w:r>
                </w:p>
              </w:tc>
              <w:tc>
                <w:tcPr>
                  <w:tcW w:w="808"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拌料桶</w:t>
                  </w:r>
                </w:p>
              </w:tc>
              <w:tc>
                <w:tcPr>
                  <w:tcW w:w="1392" w:type="pct"/>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JG80</w:t>
                  </w:r>
                </w:p>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BAW</w:t>
                  </w:r>
                </w:p>
              </w:tc>
              <w:tc>
                <w:tcPr>
                  <w:tcW w:w="80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4</w:t>
                  </w:r>
                </w:p>
              </w:tc>
              <w:tc>
                <w:tcPr>
                  <w:tcW w:w="73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拌料</w:t>
                  </w:r>
                </w:p>
              </w:tc>
              <w:tc>
                <w:tcPr>
                  <w:tcW w:w="776" w:type="pct"/>
                  <w:vMerge w:val="continue"/>
                  <w:noWrap w:val="0"/>
                  <w:vAlign w:val="center"/>
                </w:tcPr>
                <w:p>
                  <w:pPr>
                    <w:adjustRightInd w:val="0"/>
                    <w:snapToGrid w:val="0"/>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noWrap w:val="0"/>
                  <w:vAlign w:val="center"/>
                </w:tcPr>
                <w:p>
                  <w:pPr>
                    <w:adjustRightInd w:val="0"/>
                    <w:snapToGrid w:val="0"/>
                    <w:jc w:val="center"/>
                    <w:rPr>
                      <w:rFonts w:hint="default" w:ascii="Times New Roman" w:hAnsi="Times New Roman"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9</w:t>
                  </w:r>
                </w:p>
              </w:tc>
              <w:tc>
                <w:tcPr>
                  <w:tcW w:w="808"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给袋式包装机</w:t>
                  </w:r>
                </w:p>
              </w:tc>
              <w:tc>
                <w:tcPr>
                  <w:tcW w:w="13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MR-YJIU-E-16</w:t>
                  </w:r>
                </w:p>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MR-YBA-S-97</w:t>
                  </w:r>
                </w:p>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MR-YGIU-D-01</w:t>
                  </w:r>
                </w:p>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MR-YGIU-D-02</w:t>
                  </w:r>
                </w:p>
              </w:tc>
              <w:tc>
                <w:tcPr>
                  <w:tcW w:w="80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4</w:t>
                  </w:r>
                </w:p>
              </w:tc>
              <w:tc>
                <w:tcPr>
                  <w:tcW w:w="73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包装</w:t>
                  </w:r>
                </w:p>
              </w:tc>
              <w:tc>
                <w:tcPr>
                  <w:tcW w:w="776" w:type="pct"/>
                  <w:vMerge w:val="continue"/>
                  <w:noWrap w:val="0"/>
                  <w:vAlign w:val="center"/>
                </w:tcPr>
                <w:p>
                  <w:pPr>
                    <w:adjustRightInd w:val="0"/>
                    <w:snapToGrid w:val="0"/>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10</w:t>
                  </w:r>
                </w:p>
              </w:tc>
              <w:tc>
                <w:tcPr>
                  <w:tcW w:w="808"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喷淋式灭菌锅</w:t>
                  </w:r>
                </w:p>
              </w:tc>
              <w:tc>
                <w:tcPr>
                  <w:tcW w:w="13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R2019-0168</w:t>
                  </w:r>
                </w:p>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R2019-0164</w:t>
                  </w:r>
                </w:p>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R2018-00271</w:t>
                  </w:r>
                </w:p>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SR18-0043</w:t>
                  </w:r>
                </w:p>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R2019-0165</w:t>
                  </w:r>
                </w:p>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R2019-0166</w:t>
                  </w:r>
                </w:p>
              </w:tc>
              <w:tc>
                <w:tcPr>
                  <w:tcW w:w="80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w:t>
                  </w:r>
                </w:p>
              </w:tc>
              <w:tc>
                <w:tcPr>
                  <w:tcW w:w="73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灭菌</w:t>
                  </w:r>
                </w:p>
              </w:tc>
              <w:tc>
                <w:tcPr>
                  <w:tcW w:w="776" w:type="pct"/>
                  <w:vMerge w:val="continue"/>
                  <w:noWrap w:val="0"/>
                  <w:vAlign w:val="center"/>
                </w:tcPr>
                <w:p>
                  <w:pPr>
                    <w:adjustRightInd w:val="0"/>
                    <w:snapToGrid w:val="0"/>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11</w:t>
                  </w:r>
                </w:p>
              </w:tc>
              <w:tc>
                <w:tcPr>
                  <w:tcW w:w="808"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清洗线</w:t>
                  </w:r>
                </w:p>
              </w:tc>
              <w:tc>
                <w:tcPr>
                  <w:tcW w:w="13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HPP QXX-2018-1</w:t>
                  </w:r>
                </w:p>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HPP QXX-2018-2</w:t>
                  </w:r>
                </w:p>
              </w:tc>
              <w:tc>
                <w:tcPr>
                  <w:tcW w:w="80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2</w:t>
                  </w:r>
                </w:p>
              </w:tc>
              <w:tc>
                <w:tcPr>
                  <w:tcW w:w="73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清洗</w:t>
                  </w:r>
                </w:p>
              </w:tc>
              <w:tc>
                <w:tcPr>
                  <w:tcW w:w="776" w:type="pct"/>
                  <w:vMerge w:val="continue"/>
                  <w:noWrap w:val="0"/>
                  <w:vAlign w:val="center"/>
                </w:tcPr>
                <w:p>
                  <w:pPr>
                    <w:adjustRightInd w:val="0"/>
                    <w:snapToGrid w:val="0"/>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12</w:t>
                  </w:r>
                </w:p>
              </w:tc>
              <w:tc>
                <w:tcPr>
                  <w:tcW w:w="808"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金属探测仪</w:t>
                  </w:r>
                </w:p>
              </w:tc>
              <w:tc>
                <w:tcPr>
                  <w:tcW w:w="13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KDS4510ABW</w:t>
                  </w:r>
                </w:p>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HS-GOSP</w:t>
                  </w:r>
                </w:p>
              </w:tc>
              <w:tc>
                <w:tcPr>
                  <w:tcW w:w="80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2</w:t>
                  </w:r>
                </w:p>
              </w:tc>
              <w:tc>
                <w:tcPr>
                  <w:tcW w:w="73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金探</w:t>
                  </w:r>
                </w:p>
              </w:tc>
              <w:tc>
                <w:tcPr>
                  <w:tcW w:w="776" w:type="pct"/>
                  <w:vMerge w:val="continue"/>
                  <w:noWrap w:val="0"/>
                  <w:vAlign w:val="center"/>
                </w:tcPr>
                <w:p>
                  <w:pPr>
                    <w:adjustRightInd w:val="0"/>
                    <w:snapToGrid w:val="0"/>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13</w:t>
                  </w:r>
                </w:p>
              </w:tc>
              <w:tc>
                <w:tcPr>
                  <w:tcW w:w="808"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全检线</w:t>
                  </w:r>
                </w:p>
              </w:tc>
              <w:tc>
                <w:tcPr>
                  <w:tcW w:w="13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HPP PDSSJ-2022-03</w:t>
                  </w:r>
                </w:p>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HPP PDSSJ-2022-04</w:t>
                  </w:r>
                </w:p>
              </w:tc>
              <w:tc>
                <w:tcPr>
                  <w:tcW w:w="80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2</w:t>
                  </w:r>
                </w:p>
              </w:tc>
              <w:tc>
                <w:tcPr>
                  <w:tcW w:w="73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全检</w:t>
                  </w:r>
                </w:p>
              </w:tc>
              <w:tc>
                <w:tcPr>
                  <w:tcW w:w="776" w:type="pct"/>
                  <w:vMerge w:val="continue"/>
                  <w:noWrap w:val="0"/>
                  <w:vAlign w:val="center"/>
                </w:tcPr>
                <w:p>
                  <w:pPr>
                    <w:adjustRightInd w:val="0"/>
                    <w:snapToGrid w:val="0"/>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14</w:t>
                  </w:r>
                </w:p>
              </w:tc>
              <w:tc>
                <w:tcPr>
                  <w:tcW w:w="808"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X光机</w:t>
                  </w:r>
                </w:p>
              </w:tc>
              <w:tc>
                <w:tcPr>
                  <w:tcW w:w="13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FXR-4017K100</w:t>
                  </w:r>
                </w:p>
              </w:tc>
              <w:tc>
                <w:tcPr>
                  <w:tcW w:w="80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2</w:t>
                  </w:r>
                </w:p>
              </w:tc>
              <w:tc>
                <w:tcPr>
                  <w:tcW w:w="73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检验</w:t>
                  </w:r>
                </w:p>
              </w:tc>
              <w:tc>
                <w:tcPr>
                  <w:tcW w:w="776" w:type="pct"/>
                  <w:vMerge w:val="continue"/>
                  <w:noWrap w:val="0"/>
                  <w:vAlign w:val="center"/>
                </w:tcPr>
                <w:p>
                  <w:pPr>
                    <w:adjustRightInd w:val="0"/>
                    <w:snapToGrid w:val="0"/>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15</w:t>
                  </w:r>
                </w:p>
              </w:tc>
              <w:tc>
                <w:tcPr>
                  <w:tcW w:w="808"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喷码机</w:t>
                  </w:r>
                </w:p>
              </w:tc>
              <w:tc>
                <w:tcPr>
                  <w:tcW w:w="13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CCS-R</w:t>
                  </w:r>
                </w:p>
              </w:tc>
              <w:tc>
                <w:tcPr>
                  <w:tcW w:w="80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2</w:t>
                  </w:r>
                </w:p>
              </w:tc>
              <w:tc>
                <w:tcPr>
                  <w:tcW w:w="73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喷码</w:t>
                  </w:r>
                </w:p>
              </w:tc>
              <w:tc>
                <w:tcPr>
                  <w:tcW w:w="776" w:type="pct"/>
                  <w:vMerge w:val="continue"/>
                  <w:noWrap w:val="0"/>
                  <w:vAlign w:val="center"/>
                </w:tcPr>
                <w:p>
                  <w:pPr>
                    <w:adjustRightInd w:val="0"/>
                    <w:snapToGrid w:val="0"/>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16</w:t>
                  </w:r>
                </w:p>
              </w:tc>
              <w:tc>
                <w:tcPr>
                  <w:tcW w:w="80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多头秤</w:t>
                  </w:r>
                </w:p>
              </w:tc>
              <w:tc>
                <w:tcPr>
                  <w:tcW w:w="1392" w:type="pct"/>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RL720</w:t>
                  </w:r>
                </w:p>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R8-200</w:t>
                  </w:r>
                </w:p>
              </w:tc>
              <w:tc>
                <w:tcPr>
                  <w:tcW w:w="80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2</w:t>
                  </w:r>
                </w:p>
              </w:tc>
              <w:tc>
                <w:tcPr>
                  <w:tcW w:w="736"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外包</w:t>
                  </w:r>
                </w:p>
              </w:tc>
              <w:tc>
                <w:tcPr>
                  <w:tcW w:w="776" w:type="pct"/>
                  <w:vMerge w:val="continue"/>
                  <w:noWrap w:val="0"/>
                  <w:vAlign w:val="center"/>
                </w:tcPr>
                <w:p>
                  <w:pPr>
                    <w:adjustRightInd w:val="0"/>
                    <w:snapToGrid w:val="0"/>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17</w:t>
                  </w:r>
                </w:p>
              </w:tc>
              <w:tc>
                <w:tcPr>
                  <w:tcW w:w="80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浸泡池</w:t>
                  </w:r>
                </w:p>
              </w:tc>
              <w:tc>
                <w:tcPr>
                  <w:tcW w:w="1392" w:type="pct"/>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HPP-QPC-001</w:t>
                  </w:r>
                </w:p>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HPP-QPC-002</w:t>
                  </w:r>
                </w:p>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HPP-QPC-003</w:t>
                  </w:r>
                </w:p>
                <w:p>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HPP-QPC-004</w:t>
                  </w:r>
                </w:p>
              </w:tc>
              <w:tc>
                <w:tcPr>
                  <w:tcW w:w="802"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4</w:t>
                  </w:r>
                </w:p>
              </w:tc>
              <w:tc>
                <w:tcPr>
                  <w:tcW w:w="736"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浸泡</w:t>
                  </w:r>
                </w:p>
              </w:tc>
              <w:tc>
                <w:tcPr>
                  <w:tcW w:w="776" w:type="pct"/>
                  <w:vMerge w:val="restart"/>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生产手撕素肉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18</w:t>
                  </w:r>
                </w:p>
              </w:tc>
              <w:tc>
                <w:tcPr>
                  <w:tcW w:w="80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气动榨床</w:t>
                  </w:r>
                </w:p>
              </w:tc>
              <w:tc>
                <w:tcPr>
                  <w:tcW w:w="1392" w:type="pct"/>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HPP-QDZC-2019-001</w:t>
                  </w:r>
                </w:p>
                <w:p>
                  <w:pPr>
                    <w:adjustRightInd w:val="0"/>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HPP-QDZC-2019-002</w:t>
                  </w:r>
                </w:p>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HPP-QDZC-2020-003</w:t>
                  </w:r>
                </w:p>
                <w:p>
                  <w:pPr>
                    <w:adjustRightInd w:val="0"/>
                    <w:snapToGrid w:val="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HPP-QDZC-2020-004</w:t>
                  </w:r>
                </w:p>
              </w:tc>
              <w:tc>
                <w:tcPr>
                  <w:tcW w:w="802"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4</w:t>
                  </w:r>
                </w:p>
              </w:tc>
              <w:tc>
                <w:tcPr>
                  <w:tcW w:w="736"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压榨</w:t>
                  </w:r>
                </w:p>
              </w:tc>
              <w:tc>
                <w:tcPr>
                  <w:tcW w:w="776"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19</w:t>
                  </w:r>
                </w:p>
              </w:tc>
              <w:tc>
                <w:tcPr>
                  <w:tcW w:w="808"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油炸锅</w:t>
                  </w:r>
                </w:p>
              </w:tc>
              <w:tc>
                <w:tcPr>
                  <w:tcW w:w="1392"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XD1200</w:t>
                  </w:r>
                </w:p>
              </w:tc>
              <w:tc>
                <w:tcPr>
                  <w:tcW w:w="80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w:t>
                  </w:r>
                </w:p>
              </w:tc>
              <w:tc>
                <w:tcPr>
                  <w:tcW w:w="73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油炸</w:t>
                  </w:r>
                </w:p>
              </w:tc>
              <w:tc>
                <w:tcPr>
                  <w:tcW w:w="776"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20</w:t>
                  </w:r>
                </w:p>
              </w:tc>
              <w:tc>
                <w:tcPr>
                  <w:tcW w:w="80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夹层锅</w:t>
                  </w:r>
                </w:p>
              </w:tc>
              <w:tc>
                <w:tcPr>
                  <w:tcW w:w="139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33926</w:t>
                  </w:r>
                </w:p>
              </w:tc>
              <w:tc>
                <w:tcPr>
                  <w:tcW w:w="802"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4</w:t>
                  </w:r>
                </w:p>
              </w:tc>
              <w:tc>
                <w:tcPr>
                  <w:tcW w:w="736"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卤制</w:t>
                  </w:r>
                </w:p>
              </w:tc>
              <w:tc>
                <w:tcPr>
                  <w:tcW w:w="776"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21</w:t>
                  </w:r>
                </w:p>
              </w:tc>
              <w:tc>
                <w:tcPr>
                  <w:tcW w:w="80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烘烤线</w:t>
                  </w:r>
                </w:p>
              </w:tc>
              <w:tc>
                <w:tcPr>
                  <w:tcW w:w="139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ZLAF20</w:t>
                  </w:r>
                </w:p>
              </w:tc>
              <w:tc>
                <w:tcPr>
                  <w:tcW w:w="802"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1</w:t>
                  </w:r>
                </w:p>
              </w:tc>
              <w:tc>
                <w:tcPr>
                  <w:tcW w:w="736"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烘烤</w:t>
                  </w:r>
                </w:p>
              </w:tc>
              <w:tc>
                <w:tcPr>
                  <w:tcW w:w="776"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22</w:t>
                  </w:r>
                </w:p>
              </w:tc>
              <w:tc>
                <w:tcPr>
                  <w:tcW w:w="80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摊晾线</w:t>
                  </w:r>
                </w:p>
              </w:tc>
              <w:tc>
                <w:tcPr>
                  <w:tcW w:w="139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HPPTLX-2019-01</w:t>
                  </w:r>
                </w:p>
              </w:tc>
              <w:tc>
                <w:tcPr>
                  <w:tcW w:w="802"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w:t>
                  </w:r>
                </w:p>
              </w:tc>
              <w:tc>
                <w:tcPr>
                  <w:tcW w:w="736"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摊晾</w:t>
                  </w:r>
                </w:p>
              </w:tc>
              <w:tc>
                <w:tcPr>
                  <w:tcW w:w="776"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23</w:t>
                  </w:r>
                </w:p>
              </w:tc>
              <w:tc>
                <w:tcPr>
                  <w:tcW w:w="80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拌料桶</w:t>
                  </w:r>
                </w:p>
              </w:tc>
              <w:tc>
                <w:tcPr>
                  <w:tcW w:w="1392" w:type="pct"/>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JG80</w:t>
                  </w:r>
                </w:p>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BAW</w:t>
                  </w:r>
                </w:p>
              </w:tc>
              <w:tc>
                <w:tcPr>
                  <w:tcW w:w="802"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4</w:t>
                  </w:r>
                </w:p>
              </w:tc>
              <w:tc>
                <w:tcPr>
                  <w:tcW w:w="736"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拌料</w:t>
                  </w:r>
                </w:p>
              </w:tc>
              <w:tc>
                <w:tcPr>
                  <w:tcW w:w="776"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24</w:t>
                  </w:r>
                </w:p>
              </w:tc>
              <w:tc>
                <w:tcPr>
                  <w:tcW w:w="80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给袋式包装机</w:t>
                  </w:r>
                </w:p>
              </w:tc>
              <w:tc>
                <w:tcPr>
                  <w:tcW w:w="1392" w:type="pct"/>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MR-YJIU-P-44</w:t>
                  </w:r>
                </w:p>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MR-YJIU-P-47</w:t>
                  </w:r>
                </w:p>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MR-YJIU-P-30</w:t>
                  </w:r>
                </w:p>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MR-ERY-H-48</w:t>
                  </w:r>
                </w:p>
              </w:tc>
              <w:tc>
                <w:tcPr>
                  <w:tcW w:w="802"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4</w:t>
                  </w:r>
                </w:p>
              </w:tc>
              <w:tc>
                <w:tcPr>
                  <w:tcW w:w="736"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包装</w:t>
                  </w:r>
                </w:p>
              </w:tc>
              <w:tc>
                <w:tcPr>
                  <w:tcW w:w="776"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25</w:t>
                  </w:r>
                </w:p>
              </w:tc>
              <w:tc>
                <w:tcPr>
                  <w:tcW w:w="80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喷淋式灭菌锅</w:t>
                  </w:r>
                </w:p>
              </w:tc>
              <w:tc>
                <w:tcPr>
                  <w:tcW w:w="1392" w:type="pct"/>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R2011-523</w:t>
                  </w:r>
                </w:p>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SR18-0042</w:t>
                  </w:r>
                </w:p>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SR18-0041</w:t>
                  </w:r>
                </w:p>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R2010-238</w:t>
                  </w:r>
                </w:p>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R2019-0005</w:t>
                  </w:r>
                </w:p>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R2019-0006</w:t>
                  </w:r>
                </w:p>
              </w:tc>
              <w:tc>
                <w:tcPr>
                  <w:tcW w:w="802"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6</w:t>
                  </w:r>
                </w:p>
              </w:tc>
              <w:tc>
                <w:tcPr>
                  <w:tcW w:w="736"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灭菌</w:t>
                  </w:r>
                </w:p>
              </w:tc>
              <w:tc>
                <w:tcPr>
                  <w:tcW w:w="776"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26</w:t>
                  </w:r>
                </w:p>
              </w:tc>
              <w:tc>
                <w:tcPr>
                  <w:tcW w:w="80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清洗线</w:t>
                  </w:r>
                </w:p>
              </w:tc>
              <w:tc>
                <w:tcPr>
                  <w:tcW w:w="139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JG-200</w:t>
                  </w:r>
                </w:p>
              </w:tc>
              <w:tc>
                <w:tcPr>
                  <w:tcW w:w="802"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w:t>
                  </w:r>
                </w:p>
              </w:tc>
              <w:tc>
                <w:tcPr>
                  <w:tcW w:w="736"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清洗</w:t>
                  </w:r>
                </w:p>
              </w:tc>
              <w:tc>
                <w:tcPr>
                  <w:tcW w:w="776"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27</w:t>
                  </w:r>
                </w:p>
              </w:tc>
              <w:tc>
                <w:tcPr>
                  <w:tcW w:w="80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金属探测仪</w:t>
                  </w:r>
                </w:p>
              </w:tc>
              <w:tc>
                <w:tcPr>
                  <w:tcW w:w="1392" w:type="pct"/>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17M249</w:t>
                  </w:r>
                </w:p>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HS-GOSP</w:t>
                  </w:r>
                </w:p>
              </w:tc>
              <w:tc>
                <w:tcPr>
                  <w:tcW w:w="802"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w:t>
                  </w:r>
                </w:p>
              </w:tc>
              <w:tc>
                <w:tcPr>
                  <w:tcW w:w="736"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金探</w:t>
                  </w:r>
                </w:p>
              </w:tc>
              <w:tc>
                <w:tcPr>
                  <w:tcW w:w="776"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28</w:t>
                  </w:r>
                </w:p>
              </w:tc>
              <w:tc>
                <w:tcPr>
                  <w:tcW w:w="80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X光机</w:t>
                  </w:r>
                </w:p>
              </w:tc>
              <w:tc>
                <w:tcPr>
                  <w:tcW w:w="139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FXR-4017K100</w:t>
                  </w:r>
                </w:p>
              </w:tc>
              <w:tc>
                <w:tcPr>
                  <w:tcW w:w="802"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2</w:t>
                  </w:r>
                </w:p>
              </w:tc>
              <w:tc>
                <w:tcPr>
                  <w:tcW w:w="736"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检验</w:t>
                  </w:r>
                </w:p>
              </w:tc>
              <w:tc>
                <w:tcPr>
                  <w:tcW w:w="776"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29</w:t>
                  </w:r>
                </w:p>
              </w:tc>
              <w:tc>
                <w:tcPr>
                  <w:tcW w:w="80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全检线</w:t>
                  </w:r>
                </w:p>
              </w:tc>
              <w:tc>
                <w:tcPr>
                  <w:tcW w:w="139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HPP PDSSJ-2022-01</w:t>
                  </w:r>
                </w:p>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HPP PDSSJ-2022-02</w:t>
                  </w:r>
                </w:p>
              </w:tc>
              <w:tc>
                <w:tcPr>
                  <w:tcW w:w="802"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w:t>
                  </w:r>
                </w:p>
              </w:tc>
              <w:tc>
                <w:tcPr>
                  <w:tcW w:w="736"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全检</w:t>
                  </w:r>
                </w:p>
              </w:tc>
              <w:tc>
                <w:tcPr>
                  <w:tcW w:w="776"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30</w:t>
                  </w:r>
                </w:p>
              </w:tc>
              <w:tc>
                <w:tcPr>
                  <w:tcW w:w="80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喷码机</w:t>
                  </w:r>
                </w:p>
              </w:tc>
              <w:tc>
                <w:tcPr>
                  <w:tcW w:w="139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CCS-R</w:t>
                  </w:r>
                </w:p>
              </w:tc>
              <w:tc>
                <w:tcPr>
                  <w:tcW w:w="802"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w:t>
                  </w:r>
                </w:p>
              </w:tc>
              <w:tc>
                <w:tcPr>
                  <w:tcW w:w="736"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喷码</w:t>
                  </w:r>
                </w:p>
              </w:tc>
              <w:tc>
                <w:tcPr>
                  <w:tcW w:w="776"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kern w:val="2"/>
                      <w:sz w:val="21"/>
                      <w:szCs w:val="21"/>
                      <w:highlight w:val="none"/>
                      <w:lang w:val="en-US" w:eastAsia="zh-CN" w:bidi="ar-SA"/>
                    </w:rPr>
                    <w:t>31</w:t>
                  </w:r>
                </w:p>
              </w:tc>
              <w:tc>
                <w:tcPr>
                  <w:tcW w:w="808"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多头秤</w:t>
                  </w:r>
                </w:p>
              </w:tc>
              <w:tc>
                <w:tcPr>
                  <w:tcW w:w="1392" w:type="pct"/>
                  <w:noWrap w:val="0"/>
                  <w:vAlign w:val="center"/>
                </w:tcPr>
                <w:p>
                  <w:pPr>
                    <w:adjustRightInd w:val="0"/>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RL720</w:t>
                  </w:r>
                </w:p>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R8-200</w:t>
                  </w:r>
                </w:p>
              </w:tc>
              <w:tc>
                <w:tcPr>
                  <w:tcW w:w="802"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w:t>
                  </w:r>
                </w:p>
              </w:tc>
              <w:tc>
                <w:tcPr>
                  <w:tcW w:w="736"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外包</w:t>
                  </w:r>
                </w:p>
              </w:tc>
              <w:tc>
                <w:tcPr>
                  <w:tcW w:w="776"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48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32</w:t>
                  </w:r>
                </w:p>
              </w:tc>
              <w:tc>
                <w:tcPr>
                  <w:tcW w:w="808"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空气源臭氧发生器</w:t>
                  </w:r>
                </w:p>
              </w:tc>
              <w:tc>
                <w:tcPr>
                  <w:tcW w:w="139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80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w:t>
                  </w:r>
                </w:p>
              </w:tc>
              <w:tc>
                <w:tcPr>
                  <w:tcW w:w="73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制臭氧</w:t>
                  </w:r>
                </w:p>
              </w:tc>
              <w:tc>
                <w:tcPr>
                  <w:tcW w:w="776" w:type="pct"/>
                  <w:noWrap w:val="0"/>
                  <w:vAlign w:val="center"/>
                </w:tcPr>
                <w:p>
                  <w:pPr>
                    <w:adjustRightInd w:val="0"/>
                    <w:snapToGrid w:val="0"/>
                    <w:jc w:val="center"/>
                    <w:rPr>
                      <w:rFonts w:hint="default"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48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33</w:t>
                  </w:r>
                </w:p>
              </w:tc>
              <w:tc>
                <w:tcPr>
                  <w:tcW w:w="808" w:type="pct"/>
                  <w:noWrap w:val="0"/>
                  <w:vAlign w:val="center"/>
                </w:tcPr>
                <w:p>
                  <w:pPr>
                    <w:adjustRightInd w:val="0"/>
                    <w:snapToGrid w:val="0"/>
                    <w:jc w:val="center"/>
                    <w:rPr>
                      <w:rFonts w:hint="default" w:ascii="Calibri" w:hAnsi="Calibri" w:eastAsia="宋体" w:cs="Times New Roman"/>
                      <w:color w:val="auto"/>
                      <w:kern w:val="2"/>
                      <w:sz w:val="21"/>
                      <w:szCs w:val="21"/>
                      <w:highlight w:val="none"/>
                      <w:lang w:val="en-US" w:eastAsia="zh-CN" w:bidi="ar-SA"/>
                    </w:rPr>
                  </w:pPr>
                  <w:r>
                    <w:rPr>
                      <w:rFonts w:hint="eastAsia"/>
                      <w:color w:val="auto"/>
                      <w:szCs w:val="21"/>
                      <w:highlight w:val="none"/>
                      <w:lang w:val="en-US" w:eastAsia="zh-CN"/>
                    </w:rPr>
                    <w:t>燃气锅炉</w:t>
                  </w:r>
                </w:p>
              </w:tc>
              <w:tc>
                <w:tcPr>
                  <w:tcW w:w="139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80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0</w:t>
                  </w:r>
                </w:p>
              </w:tc>
              <w:tc>
                <w:tcPr>
                  <w:tcW w:w="736" w:type="pct"/>
                  <w:noWrap w:val="0"/>
                  <w:vAlign w:val="center"/>
                </w:tcPr>
                <w:p>
                  <w:pPr>
                    <w:adjustRightInd w:val="0"/>
                    <w:snapToGrid w:val="0"/>
                    <w:jc w:val="center"/>
                    <w:rPr>
                      <w:rFonts w:hint="default" w:ascii="Calibri" w:hAnsi="Calibri" w:eastAsia="宋体" w:cs="Times New Roman"/>
                      <w:color w:val="auto"/>
                      <w:kern w:val="2"/>
                      <w:sz w:val="21"/>
                      <w:szCs w:val="21"/>
                      <w:highlight w:val="none"/>
                      <w:lang w:val="en-US" w:eastAsia="zh-CN" w:bidi="ar-SA"/>
                    </w:rPr>
                  </w:pPr>
                  <w:r>
                    <w:rPr>
                      <w:rFonts w:hint="eastAsia"/>
                      <w:color w:val="auto"/>
                      <w:szCs w:val="21"/>
                      <w:highlight w:val="none"/>
                      <w:lang w:val="en-US" w:eastAsia="zh-CN"/>
                    </w:rPr>
                    <w:t>提供蒸汽</w:t>
                  </w:r>
                </w:p>
              </w:tc>
              <w:tc>
                <w:tcPr>
                  <w:tcW w:w="776" w:type="pct"/>
                  <w:noWrap w:val="0"/>
                  <w:vAlign w:val="center"/>
                </w:tcPr>
                <w:p>
                  <w:pPr>
                    <w:adjustRightInd w:val="0"/>
                    <w:snapToGrid w:val="0"/>
                    <w:jc w:val="center"/>
                    <w:rPr>
                      <w:rFonts w:hint="default" w:ascii="Calibri" w:hAnsi="Calibri" w:eastAsia="宋体" w:cs="Times New Roman"/>
                      <w:color w:val="auto"/>
                      <w:kern w:val="2"/>
                      <w:sz w:val="21"/>
                      <w:szCs w:val="21"/>
                      <w:highlight w:val="none"/>
                      <w:lang w:val="en-US" w:eastAsia="zh-CN" w:bidi="ar-SA"/>
                    </w:rPr>
                  </w:pPr>
                  <w:r>
                    <w:rPr>
                      <w:rFonts w:hint="eastAsia"/>
                      <w:color w:val="auto"/>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noWrap w:val="0"/>
                  <w:vAlign w:val="top"/>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34</w:t>
                  </w:r>
                </w:p>
              </w:tc>
              <w:tc>
                <w:tcPr>
                  <w:tcW w:w="808" w:type="pct"/>
                  <w:noWrap w:val="0"/>
                  <w:vAlign w:val="center"/>
                </w:tcPr>
                <w:p>
                  <w:pPr>
                    <w:adjustRightInd w:val="0"/>
                    <w:snapToGrid w:val="0"/>
                    <w:jc w:val="center"/>
                    <w:rPr>
                      <w:rFonts w:hint="default" w:ascii="Calibri" w:hAnsi="Calibri" w:eastAsia="宋体" w:cs="Times New Roman"/>
                      <w:color w:val="auto"/>
                      <w:kern w:val="2"/>
                      <w:sz w:val="21"/>
                      <w:szCs w:val="21"/>
                      <w:highlight w:val="none"/>
                      <w:lang w:val="en-US" w:eastAsia="zh-CN" w:bidi="ar-SA"/>
                    </w:rPr>
                  </w:pPr>
                  <w:r>
                    <w:rPr>
                      <w:rFonts w:hint="eastAsia"/>
                      <w:color w:val="auto"/>
                      <w:szCs w:val="21"/>
                      <w:highlight w:val="none"/>
                      <w:lang w:val="en-US" w:eastAsia="zh-CN"/>
                    </w:rPr>
                    <w:t>冷却塔</w:t>
                  </w:r>
                </w:p>
              </w:tc>
              <w:tc>
                <w:tcPr>
                  <w:tcW w:w="139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80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0</w:t>
                  </w:r>
                </w:p>
              </w:tc>
              <w:tc>
                <w:tcPr>
                  <w:tcW w:w="736" w:type="pct"/>
                  <w:noWrap w:val="0"/>
                  <w:vAlign w:val="center"/>
                </w:tcPr>
                <w:p>
                  <w:pPr>
                    <w:adjustRightInd w:val="0"/>
                    <w:snapToGrid w:val="0"/>
                    <w:jc w:val="center"/>
                    <w:rPr>
                      <w:rFonts w:hint="eastAsia" w:ascii="Calibri" w:hAnsi="Calibri" w:eastAsia="宋体" w:cs="Times New Roman"/>
                      <w:color w:val="auto"/>
                      <w:kern w:val="2"/>
                      <w:sz w:val="21"/>
                      <w:szCs w:val="21"/>
                      <w:highlight w:val="none"/>
                      <w:lang w:val="en-US" w:eastAsia="zh-CN" w:bidi="ar-SA"/>
                    </w:rPr>
                  </w:pPr>
                  <w:r>
                    <w:rPr>
                      <w:rFonts w:hint="eastAsia"/>
                      <w:color w:val="auto"/>
                      <w:szCs w:val="21"/>
                      <w:highlight w:val="none"/>
                      <w:lang w:val="en-US" w:eastAsia="zh-CN"/>
                    </w:rPr>
                    <w:t>蒸汽冷凝</w:t>
                  </w:r>
                </w:p>
              </w:tc>
              <w:tc>
                <w:tcPr>
                  <w:tcW w:w="776" w:type="pct"/>
                  <w:noWrap w:val="0"/>
                  <w:vAlign w:val="center"/>
                </w:tcPr>
                <w:p>
                  <w:pPr>
                    <w:adjustRightInd w:val="0"/>
                    <w:snapToGrid w:val="0"/>
                    <w:jc w:val="center"/>
                    <w:rPr>
                      <w:rFonts w:hint="eastAsia" w:ascii="Calibri" w:hAnsi="Calibri" w:eastAsia="宋体" w:cs="Times New Roman"/>
                      <w:color w:val="auto"/>
                      <w:kern w:val="2"/>
                      <w:sz w:val="21"/>
                      <w:szCs w:val="21"/>
                      <w:highlight w:val="none"/>
                      <w:lang w:val="en-US" w:eastAsia="zh-CN" w:bidi="ar-SA"/>
                    </w:rPr>
                  </w:pPr>
                  <w:r>
                    <w:rPr>
                      <w:rFonts w:hint="eastAsia"/>
                      <w:color w:val="auto"/>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top"/>
                </w:tcPr>
                <w:p>
                  <w:pPr>
                    <w:adjustRightInd w:val="0"/>
                    <w:snapToGrid w:val="0"/>
                    <w:jc w:val="center"/>
                    <w:rPr>
                      <w:rFonts w:hint="default" w:ascii="Times New Roman" w:hAnsi="Times New Roman"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35</w:t>
                  </w:r>
                </w:p>
              </w:tc>
              <w:tc>
                <w:tcPr>
                  <w:tcW w:w="0" w:type="auto"/>
                  <w:noWrap w:val="0"/>
                  <w:vAlign w:val="center"/>
                </w:tcPr>
                <w:p>
                  <w:pPr>
                    <w:adjustRightInd w:val="0"/>
                    <w:snapToGrid w:val="0"/>
                    <w:jc w:val="center"/>
                    <w:rPr>
                      <w:rFonts w:hint="default" w:ascii="Calibri" w:hAnsi="Calibri" w:eastAsia="宋体" w:cs="Times New Roman"/>
                      <w:color w:val="auto"/>
                      <w:kern w:val="2"/>
                      <w:sz w:val="21"/>
                      <w:szCs w:val="21"/>
                      <w:highlight w:val="none"/>
                      <w:lang w:val="en-US" w:eastAsia="zh-CN" w:bidi="ar-SA"/>
                    </w:rPr>
                  </w:pPr>
                  <w:r>
                    <w:rPr>
                      <w:rFonts w:hint="eastAsia"/>
                      <w:color w:val="auto"/>
                      <w:szCs w:val="21"/>
                      <w:highlight w:val="none"/>
                      <w:lang w:val="en-US" w:eastAsia="zh-CN"/>
                    </w:rPr>
                    <w:t>化验设备</w:t>
                  </w:r>
                </w:p>
              </w:tc>
              <w:tc>
                <w:tcPr>
                  <w:tcW w:w="1392"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w:t>
                  </w:r>
                </w:p>
              </w:tc>
              <w:tc>
                <w:tcPr>
                  <w:tcW w:w="802"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0</w:t>
                  </w:r>
                </w:p>
              </w:tc>
              <w:tc>
                <w:tcPr>
                  <w:tcW w:w="736" w:type="pct"/>
                  <w:noWrap w:val="0"/>
                  <w:vAlign w:val="center"/>
                </w:tcPr>
                <w:p>
                  <w:pPr>
                    <w:adjustRightInd w:val="0"/>
                    <w:snapToGrid w:val="0"/>
                    <w:jc w:val="center"/>
                    <w:rPr>
                      <w:rFonts w:hint="eastAsia" w:ascii="Calibri" w:hAnsi="Calibri" w:eastAsia="宋体" w:cs="Times New Roman"/>
                      <w:color w:val="auto"/>
                      <w:kern w:val="2"/>
                      <w:sz w:val="21"/>
                      <w:szCs w:val="21"/>
                      <w:highlight w:val="none"/>
                      <w:lang w:val="en-US" w:eastAsia="zh-CN" w:bidi="ar-SA"/>
                    </w:rPr>
                  </w:pPr>
                  <w:r>
                    <w:rPr>
                      <w:rFonts w:hint="eastAsia"/>
                      <w:color w:val="auto"/>
                      <w:szCs w:val="21"/>
                      <w:highlight w:val="none"/>
                      <w:lang w:val="en-US" w:eastAsia="zh-CN"/>
                    </w:rPr>
                    <w:t>化验</w:t>
                  </w:r>
                </w:p>
              </w:tc>
              <w:tc>
                <w:tcPr>
                  <w:tcW w:w="0" w:type="auto"/>
                  <w:noWrap w:val="0"/>
                  <w:vAlign w:val="center"/>
                </w:tcPr>
                <w:p>
                  <w:pPr>
                    <w:adjustRightInd w:val="0"/>
                    <w:snapToGrid w:val="0"/>
                    <w:jc w:val="center"/>
                    <w:rPr>
                      <w:rFonts w:hint="eastAsia" w:ascii="Calibri" w:hAnsi="Calibri" w:eastAsia="宋体" w:cs="Times New Roman"/>
                      <w:color w:val="auto"/>
                      <w:kern w:val="2"/>
                      <w:sz w:val="21"/>
                      <w:szCs w:val="21"/>
                      <w:highlight w:val="none"/>
                      <w:lang w:val="en-US" w:eastAsia="zh-CN" w:bidi="ar-SA"/>
                    </w:rPr>
                  </w:pPr>
                  <w:r>
                    <w:rPr>
                      <w:rFonts w:hint="eastAsia"/>
                      <w:color w:val="auto"/>
                      <w:szCs w:val="21"/>
                      <w:highlight w:val="none"/>
                      <w:lang w:val="en-US" w:eastAsia="zh-CN"/>
                    </w:rPr>
                    <w:t>依托</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b/>
                <w:bCs w:val="0"/>
                <w:color w:val="auto"/>
                <w:sz w:val="24"/>
                <w:highlight w:val="none"/>
                <w:lang w:val="en-US" w:eastAsia="zh-CN"/>
              </w:rPr>
            </w:pPr>
            <w:r>
              <w:rPr>
                <w:rFonts w:hint="eastAsia"/>
                <w:b w:val="0"/>
                <w:bCs/>
                <w:color w:val="auto"/>
                <w:sz w:val="21"/>
                <w:szCs w:val="21"/>
                <w:highlight w:val="none"/>
                <w:lang w:val="en-US" w:eastAsia="zh-CN"/>
              </w:rPr>
              <w:t>备注：X光机的辐射环评需单独另行办理。</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b/>
                <w:bCs w:val="0"/>
                <w:color w:val="auto"/>
                <w:sz w:val="24"/>
                <w:highlight w:val="none"/>
                <w:lang w:val="en-US" w:eastAsia="zh-CN"/>
              </w:rPr>
            </w:pPr>
            <w:r>
              <w:rPr>
                <w:rFonts w:hint="eastAsia"/>
                <w:b/>
                <w:bCs w:val="0"/>
                <w:color w:val="auto"/>
                <w:sz w:val="24"/>
                <w:highlight w:val="none"/>
                <w:lang w:val="en-US" w:eastAsia="zh-CN"/>
              </w:rPr>
              <w:t>8</w:t>
            </w:r>
            <w:r>
              <w:rPr>
                <w:rFonts w:hint="default"/>
                <w:b/>
                <w:bCs w:val="0"/>
                <w:color w:val="auto"/>
                <w:sz w:val="24"/>
                <w:highlight w:val="none"/>
                <w:lang w:val="en-US" w:eastAsia="zh-CN"/>
              </w:rPr>
              <w:t>、水平衡分析</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本项目给水来自市政管网，用水包括生活用水、食堂用水、斩拌用水、浸泡用水、卤制用水、产品清洗用水、灭菌用水、锅炉用水、设备清洗用水、地面清洁用水。</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（1）生活用水</w:t>
            </w:r>
          </w:p>
          <w:p>
            <w:pPr>
              <w:spacing w:line="360" w:lineRule="auto"/>
              <w:ind w:firstLine="480" w:firstLineChars="200"/>
              <w:rPr>
                <w:bCs/>
                <w:color w:val="auto"/>
                <w:sz w:val="24"/>
                <w:highlight w:val="none"/>
              </w:rPr>
            </w:pPr>
            <w:r>
              <w:rPr>
                <w:bCs/>
                <w:color w:val="auto"/>
                <w:sz w:val="24"/>
                <w:highlight w:val="none"/>
              </w:rPr>
              <w:t>本项目劳动定员</w:t>
            </w:r>
            <w:r>
              <w:rPr>
                <w:rFonts w:hint="eastAsia"/>
                <w:bCs/>
                <w:color w:val="auto"/>
                <w:sz w:val="24"/>
                <w:highlight w:val="none"/>
                <w:lang w:val="en-US" w:eastAsia="zh-CN"/>
              </w:rPr>
              <w:t>新增8</w:t>
            </w:r>
            <w:r>
              <w:rPr>
                <w:bCs/>
                <w:color w:val="auto"/>
                <w:sz w:val="24"/>
                <w:highlight w:val="none"/>
              </w:rPr>
              <w:t>0人，年工作300d</w:t>
            </w:r>
            <w:r>
              <w:rPr>
                <w:rFonts w:hint="eastAsia"/>
                <w:bCs/>
                <w:color w:val="auto"/>
                <w:sz w:val="24"/>
                <w:highlight w:val="none"/>
                <w:lang w:eastAsia="zh-CN"/>
              </w:rPr>
              <w:t>，</w:t>
            </w:r>
            <w:r>
              <w:rPr>
                <w:rFonts w:hint="eastAsia"/>
                <w:bCs/>
                <w:color w:val="auto"/>
                <w:sz w:val="24"/>
                <w:highlight w:val="none"/>
                <w:lang w:val="en-US" w:eastAsia="zh-CN"/>
              </w:rPr>
              <w:t>新建倒班房，提供住宿</w:t>
            </w:r>
            <w:r>
              <w:rPr>
                <w:bCs/>
                <w:color w:val="auto"/>
                <w:sz w:val="24"/>
                <w:highlight w:val="none"/>
              </w:rPr>
              <w:t>。根据《四川省用水定额》（川府函【2021】8号）并结合项目</w:t>
            </w:r>
            <w:r>
              <w:rPr>
                <w:rFonts w:hint="eastAsia"/>
                <w:bCs/>
                <w:color w:val="auto"/>
                <w:sz w:val="24"/>
                <w:highlight w:val="none"/>
                <w:lang w:val="en-US" w:eastAsia="zh-CN"/>
              </w:rPr>
              <w:t>具体</w:t>
            </w:r>
            <w:r>
              <w:rPr>
                <w:bCs/>
                <w:color w:val="auto"/>
                <w:sz w:val="24"/>
                <w:highlight w:val="none"/>
              </w:rPr>
              <w:t>情况分析，本项目生活用水定额100L/人∙d计算，则生活用水量为</w:t>
            </w:r>
            <w:r>
              <w:rPr>
                <w:rFonts w:hint="eastAsia"/>
                <w:bCs/>
                <w:color w:val="auto"/>
                <w:sz w:val="24"/>
                <w:highlight w:val="none"/>
                <w:lang w:val="en-US" w:eastAsia="zh-CN"/>
              </w:rPr>
              <w:t>8</w:t>
            </w:r>
            <w:r>
              <w:rPr>
                <w:bCs/>
                <w:color w:val="auto"/>
                <w:sz w:val="24"/>
                <w:highlight w:val="none"/>
              </w:rPr>
              <w:t>m</w:t>
            </w:r>
            <w:r>
              <w:rPr>
                <w:rFonts w:hint="eastAsia"/>
                <w:bCs/>
                <w:color w:val="auto"/>
                <w:sz w:val="24"/>
                <w:highlight w:val="none"/>
                <w:vertAlign w:val="superscript"/>
              </w:rPr>
              <w:t>3</w:t>
            </w:r>
            <w:r>
              <w:rPr>
                <w:bCs/>
                <w:color w:val="auto"/>
                <w:sz w:val="24"/>
                <w:highlight w:val="none"/>
              </w:rPr>
              <w:t>/d</w:t>
            </w:r>
            <w:r>
              <w:rPr>
                <w:rFonts w:hint="eastAsia"/>
                <w:bCs/>
                <w:color w:val="auto"/>
                <w:sz w:val="24"/>
                <w:highlight w:val="none"/>
                <w:lang w:eastAsia="zh-CN"/>
              </w:rPr>
              <w:t>，</w:t>
            </w:r>
            <w:r>
              <w:rPr>
                <w:rFonts w:hint="eastAsia"/>
                <w:bCs/>
                <w:color w:val="auto"/>
                <w:sz w:val="24"/>
                <w:highlight w:val="none"/>
                <w:lang w:val="en-US" w:eastAsia="zh-CN"/>
              </w:rPr>
              <w:t>24</w:t>
            </w:r>
            <w:r>
              <w:rPr>
                <w:bCs/>
                <w:color w:val="auto"/>
                <w:sz w:val="24"/>
                <w:highlight w:val="none"/>
              </w:rPr>
              <w:t>00m</w:t>
            </w:r>
            <w:r>
              <w:rPr>
                <w:rFonts w:hint="eastAsia"/>
                <w:bCs/>
                <w:color w:val="auto"/>
                <w:sz w:val="24"/>
                <w:highlight w:val="none"/>
                <w:vertAlign w:val="superscript"/>
              </w:rPr>
              <w:t>3</w:t>
            </w:r>
            <w:r>
              <w:rPr>
                <w:bCs/>
                <w:color w:val="auto"/>
                <w:sz w:val="24"/>
                <w:highlight w:val="none"/>
              </w:rPr>
              <w:t>/a。本项目生活</w:t>
            </w:r>
            <w:r>
              <w:rPr>
                <w:rFonts w:hint="eastAsia"/>
                <w:bCs/>
                <w:color w:val="auto"/>
                <w:sz w:val="24"/>
                <w:highlight w:val="none"/>
              </w:rPr>
              <w:t>污</w:t>
            </w:r>
            <w:r>
              <w:rPr>
                <w:bCs/>
                <w:color w:val="auto"/>
                <w:sz w:val="24"/>
                <w:highlight w:val="none"/>
              </w:rPr>
              <w:t>水的产污系数按0.8</w:t>
            </w:r>
            <w:r>
              <w:rPr>
                <w:rFonts w:hint="eastAsia"/>
                <w:bCs/>
                <w:color w:val="auto"/>
                <w:sz w:val="24"/>
                <w:highlight w:val="none"/>
                <w:lang w:val="en-US" w:eastAsia="zh-CN"/>
              </w:rPr>
              <w:t>5</w:t>
            </w:r>
            <w:r>
              <w:rPr>
                <w:bCs/>
                <w:color w:val="auto"/>
                <w:sz w:val="24"/>
                <w:highlight w:val="none"/>
              </w:rPr>
              <w:t>计，则生活污水</w:t>
            </w:r>
            <w:r>
              <w:rPr>
                <w:rFonts w:hint="eastAsia"/>
                <w:bCs/>
                <w:color w:val="auto"/>
                <w:sz w:val="24"/>
                <w:highlight w:val="none"/>
                <w:lang w:val="en-US" w:eastAsia="zh-CN"/>
              </w:rPr>
              <w:t>排放</w:t>
            </w:r>
            <w:r>
              <w:rPr>
                <w:bCs/>
                <w:color w:val="auto"/>
                <w:sz w:val="24"/>
                <w:highlight w:val="none"/>
              </w:rPr>
              <w:t>量为</w:t>
            </w:r>
            <w:r>
              <w:rPr>
                <w:rFonts w:hint="eastAsia"/>
                <w:bCs/>
                <w:color w:val="auto"/>
                <w:sz w:val="24"/>
                <w:highlight w:val="none"/>
                <w:lang w:val="en-US" w:eastAsia="zh-CN"/>
              </w:rPr>
              <w:t>6.8</w:t>
            </w:r>
            <w:r>
              <w:rPr>
                <w:bCs/>
                <w:color w:val="auto"/>
                <w:sz w:val="24"/>
                <w:highlight w:val="none"/>
              </w:rPr>
              <w:t>m</w:t>
            </w:r>
            <w:r>
              <w:rPr>
                <w:bCs/>
                <w:color w:val="auto"/>
                <w:sz w:val="24"/>
                <w:highlight w:val="none"/>
                <w:vertAlign w:val="superscript"/>
              </w:rPr>
              <w:t>3</w:t>
            </w:r>
            <w:r>
              <w:rPr>
                <w:bCs/>
                <w:color w:val="auto"/>
                <w:sz w:val="24"/>
                <w:highlight w:val="none"/>
              </w:rPr>
              <w:t>/d，</w:t>
            </w:r>
            <w:r>
              <w:rPr>
                <w:rFonts w:hint="eastAsia"/>
                <w:bCs/>
                <w:color w:val="auto"/>
                <w:sz w:val="24"/>
                <w:highlight w:val="none"/>
                <w:lang w:val="en-US" w:eastAsia="zh-CN"/>
              </w:rPr>
              <w:t>2040</w:t>
            </w:r>
            <w:r>
              <w:rPr>
                <w:bCs/>
                <w:color w:val="auto"/>
                <w:sz w:val="24"/>
                <w:highlight w:val="none"/>
              </w:rPr>
              <w:t>m</w:t>
            </w:r>
            <w:r>
              <w:rPr>
                <w:bCs/>
                <w:color w:val="auto"/>
                <w:sz w:val="24"/>
                <w:highlight w:val="none"/>
                <w:vertAlign w:val="superscript"/>
              </w:rPr>
              <w:t>3</w:t>
            </w:r>
            <w:r>
              <w:rPr>
                <w:bCs/>
                <w:color w:val="auto"/>
                <w:sz w:val="24"/>
                <w:highlight w:val="none"/>
              </w:rPr>
              <w:t>/a。</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（2）食堂用水</w:t>
            </w:r>
          </w:p>
          <w:p>
            <w:pPr>
              <w:spacing w:line="360" w:lineRule="auto"/>
              <w:ind w:firstLine="480" w:firstLineChars="200"/>
              <w:rPr>
                <w:bCs/>
                <w:color w:val="auto"/>
                <w:sz w:val="24"/>
                <w:highlight w:val="none"/>
              </w:rPr>
            </w:pPr>
            <w:r>
              <w:rPr>
                <w:rFonts w:hint="eastAsia" w:ascii="Times New Roman" w:hAnsi="Times New Roman" w:eastAsia="宋体" w:cs="Times New Roman"/>
                <w:bCs/>
                <w:color w:val="auto"/>
                <w:sz w:val="24"/>
                <w:highlight w:val="none"/>
                <w:lang w:val="en-US" w:eastAsia="zh-CN"/>
              </w:rPr>
              <w:t>本项目不新增食堂，依托</w:t>
            </w:r>
            <w:r>
              <w:rPr>
                <w:rFonts w:hint="eastAsia" w:cs="Times New Roman"/>
                <w:bCs/>
                <w:color w:val="auto"/>
                <w:sz w:val="24"/>
                <w:highlight w:val="none"/>
                <w:lang w:val="en-US" w:eastAsia="zh-CN"/>
              </w:rPr>
              <w:t>现有项目</w:t>
            </w:r>
            <w:r>
              <w:rPr>
                <w:rFonts w:hint="eastAsia" w:ascii="Times New Roman" w:hAnsi="Times New Roman" w:eastAsia="宋体" w:cs="Times New Roman"/>
                <w:bCs/>
                <w:color w:val="auto"/>
                <w:sz w:val="24"/>
                <w:highlight w:val="none"/>
                <w:lang w:val="en-US" w:eastAsia="zh-CN"/>
              </w:rPr>
              <w:t>项目已建食堂，新增80人用餐。</w:t>
            </w:r>
            <w:r>
              <w:rPr>
                <w:rFonts w:hint="eastAsia"/>
                <w:bCs/>
                <w:color w:val="auto"/>
                <w:sz w:val="24"/>
                <w:highlight w:val="none"/>
              </w:rPr>
              <w:t>食堂用水定额取20L/人·d，则新增食堂用水量为</w:t>
            </w:r>
            <w:r>
              <w:rPr>
                <w:rFonts w:hint="eastAsia"/>
                <w:bCs/>
                <w:color w:val="auto"/>
                <w:sz w:val="24"/>
                <w:highlight w:val="none"/>
                <w:lang w:val="en-US" w:eastAsia="zh-CN"/>
              </w:rPr>
              <w:t>1.6</w:t>
            </w:r>
            <w:r>
              <w:rPr>
                <w:rFonts w:hint="eastAsia"/>
                <w:bCs/>
                <w:color w:val="auto"/>
                <w:sz w:val="24"/>
                <w:highlight w:val="none"/>
              </w:rPr>
              <w:t>m</w:t>
            </w:r>
            <w:r>
              <w:rPr>
                <w:rFonts w:hint="eastAsia"/>
                <w:bCs/>
                <w:color w:val="auto"/>
                <w:sz w:val="24"/>
                <w:highlight w:val="none"/>
                <w:vertAlign w:val="superscript"/>
              </w:rPr>
              <w:t>3</w:t>
            </w:r>
            <w:r>
              <w:rPr>
                <w:rFonts w:hint="eastAsia"/>
                <w:bCs/>
                <w:color w:val="auto"/>
                <w:sz w:val="24"/>
                <w:highlight w:val="none"/>
              </w:rPr>
              <w:t>/d，</w:t>
            </w:r>
            <w:r>
              <w:rPr>
                <w:rFonts w:hint="eastAsia"/>
                <w:bCs/>
                <w:color w:val="auto"/>
                <w:sz w:val="24"/>
                <w:highlight w:val="none"/>
                <w:lang w:val="en-US" w:eastAsia="zh-CN"/>
              </w:rPr>
              <w:t>480</w:t>
            </w:r>
            <w:r>
              <w:rPr>
                <w:rFonts w:hint="eastAsia"/>
                <w:bCs/>
                <w:color w:val="auto"/>
                <w:sz w:val="24"/>
                <w:highlight w:val="none"/>
              </w:rPr>
              <w:t>m</w:t>
            </w:r>
            <w:r>
              <w:rPr>
                <w:rFonts w:hint="eastAsia"/>
                <w:bCs/>
                <w:color w:val="auto"/>
                <w:sz w:val="24"/>
                <w:highlight w:val="none"/>
                <w:vertAlign w:val="superscript"/>
              </w:rPr>
              <w:t>3</w:t>
            </w:r>
            <w:r>
              <w:rPr>
                <w:rFonts w:hint="eastAsia"/>
                <w:bCs/>
                <w:color w:val="auto"/>
                <w:sz w:val="24"/>
                <w:highlight w:val="none"/>
              </w:rPr>
              <w:t>/a。</w:t>
            </w:r>
            <w:r>
              <w:rPr>
                <w:bCs/>
                <w:color w:val="auto"/>
                <w:sz w:val="24"/>
                <w:highlight w:val="none"/>
              </w:rPr>
              <w:t>本项目</w:t>
            </w:r>
            <w:r>
              <w:rPr>
                <w:rFonts w:hint="eastAsia"/>
                <w:bCs/>
                <w:color w:val="auto"/>
                <w:sz w:val="24"/>
                <w:highlight w:val="none"/>
                <w:lang w:val="en-US" w:eastAsia="zh-CN"/>
              </w:rPr>
              <w:t>食堂废水</w:t>
            </w:r>
            <w:r>
              <w:rPr>
                <w:bCs/>
                <w:color w:val="auto"/>
                <w:sz w:val="24"/>
                <w:highlight w:val="none"/>
              </w:rPr>
              <w:t>的产污系数按0.8</w:t>
            </w:r>
            <w:r>
              <w:rPr>
                <w:rFonts w:hint="eastAsia"/>
                <w:bCs/>
                <w:color w:val="auto"/>
                <w:sz w:val="24"/>
                <w:highlight w:val="none"/>
                <w:lang w:val="en-US" w:eastAsia="zh-CN"/>
              </w:rPr>
              <w:t>5</w:t>
            </w:r>
            <w:r>
              <w:rPr>
                <w:bCs/>
                <w:color w:val="auto"/>
                <w:sz w:val="24"/>
                <w:highlight w:val="none"/>
              </w:rPr>
              <w:t>计，则</w:t>
            </w:r>
            <w:r>
              <w:rPr>
                <w:rFonts w:hint="eastAsia"/>
                <w:bCs/>
                <w:color w:val="auto"/>
                <w:sz w:val="24"/>
                <w:highlight w:val="none"/>
                <w:lang w:val="en-US" w:eastAsia="zh-CN"/>
              </w:rPr>
              <w:t>食堂废水排放</w:t>
            </w:r>
            <w:r>
              <w:rPr>
                <w:bCs/>
                <w:color w:val="auto"/>
                <w:sz w:val="24"/>
                <w:highlight w:val="none"/>
              </w:rPr>
              <w:t>量为</w:t>
            </w:r>
            <w:r>
              <w:rPr>
                <w:rFonts w:hint="eastAsia"/>
                <w:bCs/>
                <w:color w:val="auto"/>
                <w:sz w:val="24"/>
                <w:highlight w:val="none"/>
                <w:lang w:val="en-US" w:eastAsia="zh-CN"/>
              </w:rPr>
              <w:t>1.36</w:t>
            </w:r>
            <w:r>
              <w:rPr>
                <w:bCs/>
                <w:color w:val="auto"/>
                <w:sz w:val="24"/>
                <w:highlight w:val="none"/>
              </w:rPr>
              <w:t>m</w:t>
            </w:r>
            <w:r>
              <w:rPr>
                <w:bCs/>
                <w:color w:val="auto"/>
                <w:sz w:val="24"/>
                <w:highlight w:val="none"/>
                <w:vertAlign w:val="superscript"/>
              </w:rPr>
              <w:t>3</w:t>
            </w:r>
            <w:r>
              <w:rPr>
                <w:bCs/>
                <w:color w:val="auto"/>
                <w:sz w:val="24"/>
                <w:highlight w:val="none"/>
              </w:rPr>
              <w:t>/d，</w:t>
            </w:r>
            <w:r>
              <w:rPr>
                <w:rFonts w:hint="eastAsia"/>
                <w:bCs/>
                <w:color w:val="auto"/>
                <w:sz w:val="24"/>
                <w:highlight w:val="none"/>
                <w:lang w:val="en-US" w:eastAsia="zh-CN"/>
              </w:rPr>
              <w:t>408</w:t>
            </w:r>
            <w:r>
              <w:rPr>
                <w:bCs/>
                <w:color w:val="auto"/>
                <w:sz w:val="24"/>
                <w:highlight w:val="none"/>
              </w:rPr>
              <w:t>m</w:t>
            </w:r>
            <w:r>
              <w:rPr>
                <w:bCs/>
                <w:color w:val="auto"/>
                <w:sz w:val="24"/>
                <w:highlight w:val="none"/>
                <w:vertAlign w:val="superscript"/>
              </w:rPr>
              <w:t>3</w:t>
            </w:r>
            <w:r>
              <w:rPr>
                <w:bCs/>
                <w:color w:val="auto"/>
                <w:sz w:val="24"/>
                <w:highlight w:val="none"/>
              </w:rPr>
              <w:t>/a。</w:t>
            </w:r>
          </w:p>
          <w:p>
            <w:pPr>
              <w:spacing w:line="360" w:lineRule="auto"/>
              <w:ind w:firstLine="480" w:firstLineChars="200"/>
              <w:rPr>
                <w:rFonts w:hint="default" w:eastAsia="宋体"/>
                <w:bCs/>
                <w:color w:val="auto"/>
                <w:sz w:val="24"/>
                <w:highlight w:val="none"/>
                <w:lang w:val="en-US" w:eastAsia="zh-CN"/>
              </w:rPr>
            </w:pPr>
            <w:r>
              <w:rPr>
                <w:rFonts w:hint="eastAsia"/>
                <w:bCs/>
                <w:color w:val="auto"/>
                <w:sz w:val="24"/>
                <w:highlight w:val="none"/>
                <w:lang w:val="en-US" w:eastAsia="zh-CN"/>
              </w:rPr>
              <w:t>（3）斩拌用水</w:t>
            </w:r>
          </w:p>
          <w:p>
            <w:pPr>
              <w:spacing w:line="360" w:lineRule="auto"/>
              <w:ind w:firstLine="480" w:firstLineChars="200"/>
              <w:rPr>
                <w:rFonts w:hint="default"/>
                <w:bCs/>
                <w:color w:val="auto"/>
                <w:sz w:val="24"/>
                <w:highlight w:val="none"/>
                <w:lang w:val="en-US" w:eastAsia="zh-CN"/>
              </w:rPr>
            </w:pPr>
            <w:r>
              <w:rPr>
                <w:rFonts w:hint="eastAsia"/>
                <w:bCs/>
                <w:color w:val="auto"/>
                <w:sz w:val="24"/>
                <w:highlight w:val="none"/>
                <w:lang w:val="en-US" w:eastAsia="zh-CN"/>
              </w:rPr>
              <w:t>本项目生产散装称量豆干时斩拌工序需要制冰、溶解青酶等，均需要使用清水。根据</w:t>
            </w:r>
            <w:r>
              <w:rPr>
                <w:rFonts w:hint="eastAsia" w:ascii="Times New Roman" w:hAnsi="Times New Roman" w:eastAsia="宋体" w:cs="Times New Roman"/>
                <w:bCs/>
                <w:color w:val="auto"/>
                <w:sz w:val="24"/>
                <w:highlight w:val="none"/>
                <w:lang w:val="en-US" w:eastAsia="zh-CN"/>
              </w:rPr>
              <w:t>建设单位提供资料，斩拌用水与大豆分离蛋白粉的比例约为10:1，大豆分离蛋白粉用量约300t/a，因此斩拌用水量约为3000</w:t>
            </w:r>
            <w:r>
              <w:rPr>
                <w:bCs/>
                <w:color w:val="auto"/>
                <w:sz w:val="24"/>
                <w:highlight w:val="none"/>
              </w:rPr>
              <w:t>m</w:t>
            </w:r>
            <w:r>
              <w:rPr>
                <w:rFonts w:hint="eastAsia"/>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/a。斩拌用水</w:t>
            </w:r>
            <w:r>
              <w:rPr>
                <w:rFonts w:hint="eastAsia"/>
                <w:bCs/>
                <w:color w:val="auto"/>
                <w:sz w:val="24"/>
                <w:highlight w:val="none"/>
                <w:lang w:val="en-US" w:eastAsia="zh-CN"/>
              </w:rPr>
              <w:t>约80%进入</w:t>
            </w:r>
            <w:r>
              <w:rPr>
                <w:rFonts w:hint="eastAsia" w:ascii="Times New Roman" w:hAnsi="Times New Roman" w:eastAsia="宋体" w:cs="Times New Roman"/>
                <w:bCs/>
                <w:color w:val="auto"/>
                <w:sz w:val="24"/>
                <w:highlight w:val="none"/>
                <w:lang w:val="en-US" w:eastAsia="zh-CN"/>
              </w:rPr>
              <w:t>产品，约20%外排。因此，斩拌废水</w:t>
            </w:r>
            <w:r>
              <w:rPr>
                <w:rFonts w:hint="eastAsia"/>
                <w:bCs/>
                <w:color w:val="auto"/>
                <w:sz w:val="24"/>
                <w:highlight w:val="none"/>
                <w:lang w:val="en-US" w:eastAsia="zh-CN"/>
              </w:rPr>
              <w:t>排放</w:t>
            </w:r>
            <w:r>
              <w:rPr>
                <w:rFonts w:hint="eastAsia" w:ascii="Times New Roman" w:hAnsi="Times New Roman" w:eastAsia="宋体" w:cs="Times New Roman"/>
                <w:bCs/>
                <w:color w:val="auto"/>
                <w:sz w:val="24"/>
                <w:highlight w:val="none"/>
                <w:lang w:val="en-US" w:eastAsia="zh-CN"/>
              </w:rPr>
              <w:t>量为2</w:t>
            </w:r>
            <w:r>
              <w:rPr>
                <w:bCs/>
                <w:color w:val="auto"/>
                <w:sz w:val="24"/>
                <w:highlight w:val="none"/>
              </w:rPr>
              <w:t>m</w:t>
            </w:r>
            <w:r>
              <w:rPr>
                <w:rFonts w:hint="eastAsia"/>
                <w:bCs/>
                <w:color w:val="auto"/>
                <w:sz w:val="24"/>
                <w:highlight w:val="none"/>
                <w:vertAlign w:val="superscript"/>
              </w:rPr>
              <w:t>3</w:t>
            </w:r>
            <w:r>
              <w:rPr>
                <w:bCs/>
                <w:color w:val="auto"/>
                <w:sz w:val="24"/>
                <w:highlight w:val="none"/>
              </w:rPr>
              <w:t>/d</w:t>
            </w:r>
            <w:r>
              <w:rPr>
                <w:rFonts w:hint="eastAsia"/>
                <w:bCs/>
                <w:color w:val="auto"/>
                <w:sz w:val="24"/>
                <w:highlight w:val="none"/>
                <w:lang w:eastAsia="zh-CN"/>
              </w:rPr>
              <w:t>，</w:t>
            </w:r>
            <w:r>
              <w:rPr>
                <w:rFonts w:hint="eastAsia"/>
                <w:bCs/>
                <w:color w:val="auto"/>
                <w:sz w:val="24"/>
                <w:highlight w:val="none"/>
                <w:lang w:val="en-US" w:eastAsia="zh-CN"/>
              </w:rPr>
              <w:t>600</w:t>
            </w:r>
            <w:r>
              <w:rPr>
                <w:bCs/>
                <w:color w:val="auto"/>
                <w:sz w:val="24"/>
                <w:highlight w:val="none"/>
              </w:rPr>
              <w:t>m</w:t>
            </w:r>
            <w:r>
              <w:rPr>
                <w:rFonts w:hint="eastAsia"/>
                <w:bCs/>
                <w:color w:val="auto"/>
                <w:sz w:val="24"/>
                <w:highlight w:val="none"/>
                <w:vertAlign w:val="superscript"/>
              </w:rPr>
              <w:t>3</w:t>
            </w:r>
            <w:r>
              <w:rPr>
                <w:bCs/>
                <w:color w:val="auto"/>
                <w:sz w:val="24"/>
                <w:highlight w:val="none"/>
              </w:rPr>
              <w:t>/a。</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（4）浸泡用水</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根据建设单位提供资料，本项目大豆拉丝蛋白需浸泡，浸泡时水与大豆拉丝蛋白的比例为8:1，本项目大豆拉丝蛋白用量为300t/a，因此，大豆拉丝蛋白浸泡用水量为8</w:t>
            </w:r>
            <w:r>
              <w:rPr>
                <w:bCs/>
                <w:color w:val="auto"/>
                <w:sz w:val="24"/>
                <w:highlight w:val="none"/>
              </w:rPr>
              <w:t>m</w:t>
            </w:r>
            <w:r>
              <w:rPr>
                <w:rFonts w:hint="eastAsia"/>
                <w:bCs/>
                <w:color w:val="auto"/>
                <w:sz w:val="24"/>
                <w:highlight w:val="none"/>
                <w:vertAlign w:val="superscript"/>
              </w:rPr>
              <w:t>3</w:t>
            </w:r>
            <w:r>
              <w:rPr>
                <w:bCs/>
                <w:color w:val="auto"/>
                <w:sz w:val="24"/>
                <w:highlight w:val="none"/>
              </w:rPr>
              <w:t>/d</w:t>
            </w:r>
            <w:r>
              <w:rPr>
                <w:rFonts w:hint="eastAsia"/>
                <w:bCs/>
                <w:color w:val="auto"/>
                <w:sz w:val="24"/>
                <w:highlight w:val="none"/>
                <w:lang w:eastAsia="zh-CN"/>
              </w:rPr>
              <w:t>，</w:t>
            </w:r>
            <w:r>
              <w:rPr>
                <w:rFonts w:hint="eastAsia"/>
                <w:bCs/>
                <w:color w:val="auto"/>
                <w:sz w:val="24"/>
                <w:highlight w:val="none"/>
                <w:lang w:val="en-US" w:eastAsia="zh-CN"/>
              </w:rPr>
              <w:t>2400</w:t>
            </w:r>
            <w:r>
              <w:rPr>
                <w:bCs/>
                <w:color w:val="auto"/>
                <w:sz w:val="24"/>
                <w:highlight w:val="none"/>
              </w:rPr>
              <w:t>m</w:t>
            </w:r>
            <w:r>
              <w:rPr>
                <w:rFonts w:hint="eastAsia"/>
                <w:bCs/>
                <w:color w:val="auto"/>
                <w:sz w:val="24"/>
                <w:highlight w:val="none"/>
                <w:vertAlign w:val="superscript"/>
              </w:rPr>
              <w:t>3</w:t>
            </w:r>
            <w:r>
              <w:rPr>
                <w:bCs/>
                <w:color w:val="auto"/>
                <w:sz w:val="24"/>
                <w:highlight w:val="none"/>
              </w:rPr>
              <w:t>/a。</w:t>
            </w:r>
            <w:r>
              <w:rPr>
                <w:rFonts w:hint="eastAsia" w:ascii="Times New Roman" w:hAnsi="Times New Roman" w:eastAsia="宋体" w:cs="Times New Roman"/>
                <w:bCs/>
                <w:color w:val="auto"/>
                <w:sz w:val="24"/>
                <w:highlight w:val="none"/>
                <w:lang w:val="en-US" w:eastAsia="zh-CN"/>
              </w:rPr>
              <w:t>大豆拉丝蛋白浸泡后进行压榨，</w:t>
            </w:r>
            <w:r>
              <w:rPr>
                <w:rFonts w:hint="eastAsia"/>
                <w:bCs/>
                <w:color w:val="auto"/>
                <w:sz w:val="24"/>
                <w:highlight w:val="none"/>
                <w:lang w:val="en-US" w:eastAsia="zh-CN"/>
              </w:rPr>
              <w:t>清水约5%进入</w:t>
            </w:r>
            <w:r>
              <w:rPr>
                <w:rFonts w:hint="eastAsia" w:ascii="Times New Roman" w:hAnsi="Times New Roman" w:eastAsia="宋体" w:cs="Times New Roman"/>
                <w:bCs/>
                <w:color w:val="auto"/>
                <w:sz w:val="24"/>
                <w:highlight w:val="none"/>
                <w:lang w:val="en-US" w:eastAsia="zh-CN"/>
              </w:rPr>
              <w:t>大豆拉丝蛋白，约95%压榨后外排，因此，浸泡废水</w:t>
            </w:r>
            <w:r>
              <w:rPr>
                <w:rFonts w:hint="eastAsia"/>
                <w:bCs/>
                <w:color w:val="auto"/>
                <w:sz w:val="24"/>
                <w:highlight w:val="none"/>
                <w:lang w:val="en-US" w:eastAsia="zh-CN"/>
              </w:rPr>
              <w:t>排放</w:t>
            </w:r>
            <w:r>
              <w:rPr>
                <w:rFonts w:hint="eastAsia" w:ascii="Times New Roman" w:hAnsi="Times New Roman" w:eastAsia="宋体" w:cs="Times New Roman"/>
                <w:bCs/>
                <w:color w:val="auto"/>
                <w:sz w:val="24"/>
                <w:highlight w:val="none"/>
                <w:lang w:val="en-US" w:eastAsia="zh-CN"/>
              </w:rPr>
              <w:t>量为7.6</w:t>
            </w:r>
            <w:r>
              <w:rPr>
                <w:bCs/>
                <w:color w:val="auto"/>
                <w:sz w:val="24"/>
                <w:highlight w:val="none"/>
              </w:rPr>
              <w:t>m</w:t>
            </w:r>
            <w:r>
              <w:rPr>
                <w:rFonts w:hint="eastAsia"/>
                <w:bCs/>
                <w:color w:val="auto"/>
                <w:sz w:val="24"/>
                <w:highlight w:val="none"/>
                <w:vertAlign w:val="superscript"/>
              </w:rPr>
              <w:t>3</w:t>
            </w:r>
            <w:r>
              <w:rPr>
                <w:bCs/>
                <w:color w:val="auto"/>
                <w:sz w:val="24"/>
                <w:highlight w:val="none"/>
              </w:rPr>
              <w:t>/d</w:t>
            </w:r>
            <w:r>
              <w:rPr>
                <w:rFonts w:hint="eastAsia"/>
                <w:bCs/>
                <w:color w:val="auto"/>
                <w:sz w:val="24"/>
                <w:highlight w:val="none"/>
                <w:lang w:eastAsia="zh-CN"/>
              </w:rPr>
              <w:t>，</w:t>
            </w:r>
            <w:r>
              <w:rPr>
                <w:rFonts w:hint="eastAsia"/>
                <w:bCs/>
                <w:color w:val="auto"/>
                <w:sz w:val="24"/>
                <w:highlight w:val="none"/>
                <w:lang w:val="en-US" w:eastAsia="zh-CN"/>
              </w:rPr>
              <w:t>2280</w:t>
            </w:r>
            <w:r>
              <w:rPr>
                <w:bCs/>
                <w:color w:val="auto"/>
                <w:sz w:val="24"/>
                <w:highlight w:val="none"/>
              </w:rPr>
              <w:t>m</w:t>
            </w:r>
            <w:r>
              <w:rPr>
                <w:rFonts w:hint="eastAsia"/>
                <w:bCs/>
                <w:color w:val="auto"/>
                <w:sz w:val="24"/>
                <w:highlight w:val="none"/>
                <w:vertAlign w:val="superscript"/>
              </w:rPr>
              <w:t>3</w:t>
            </w:r>
            <w:r>
              <w:rPr>
                <w:bCs/>
                <w:color w:val="auto"/>
                <w:sz w:val="24"/>
                <w:highlight w:val="none"/>
              </w:rPr>
              <w:t>/a。</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（5）卤制用水</w:t>
            </w:r>
          </w:p>
          <w:p>
            <w:pPr>
              <w:spacing w:line="360" w:lineRule="auto"/>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根据建设单位提供资料，散装称量豆干卤制时清水每周用量为0.15</w:t>
            </w:r>
            <w:r>
              <w:rPr>
                <w:bCs/>
                <w:color w:val="auto"/>
                <w:sz w:val="24"/>
                <w:highlight w:val="none"/>
              </w:rPr>
              <w:t>m</w:t>
            </w:r>
            <w:r>
              <w:rPr>
                <w:rFonts w:hint="eastAsia"/>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，即7.8</w:t>
            </w:r>
            <w:r>
              <w:rPr>
                <w:bCs/>
                <w:color w:val="auto"/>
                <w:sz w:val="24"/>
                <w:highlight w:val="none"/>
              </w:rPr>
              <w:t>m</w:t>
            </w:r>
            <w:r>
              <w:rPr>
                <w:rFonts w:hint="eastAsia"/>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/a，卤制用水每周更换一次，卤水需烧沸、卤制，此过程约损耗50%卤水。因此，散装称量豆干卤制废水</w:t>
            </w:r>
            <w:r>
              <w:rPr>
                <w:rFonts w:hint="eastAsia"/>
                <w:bCs/>
                <w:color w:val="auto"/>
                <w:sz w:val="24"/>
                <w:highlight w:val="none"/>
                <w:lang w:val="en-US" w:eastAsia="zh-CN"/>
              </w:rPr>
              <w:t>排放</w:t>
            </w:r>
            <w:r>
              <w:rPr>
                <w:rFonts w:hint="eastAsia" w:ascii="Times New Roman" w:hAnsi="Times New Roman" w:eastAsia="宋体" w:cs="Times New Roman"/>
                <w:bCs/>
                <w:color w:val="auto"/>
                <w:sz w:val="24"/>
                <w:highlight w:val="none"/>
                <w:lang w:val="en-US" w:eastAsia="zh-CN"/>
              </w:rPr>
              <w:t>量为0.075</w:t>
            </w:r>
            <w:r>
              <w:rPr>
                <w:bCs/>
                <w:color w:val="auto"/>
                <w:sz w:val="24"/>
                <w:highlight w:val="none"/>
              </w:rPr>
              <w:t>m</w:t>
            </w:r>
            <w:r>
              <w:rPr>
                <w:rFonts w:hint="eastAsia"/>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/周，3.9</w:t>
            </w:r>
            <w:r>
              <w:rPr>
                <w:bCs/>
                <w:color w:val="auto"/>
                <w:sz w:val="24"/>
                <w:highlight w:val="none"/>
              </w:rPr>
              <w:t>m</w:t>
            </w:r>
            <w:r>
              <w:rPr>
                <w:rFonts w:hint="eastAsia"/>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/a。</w:t>
            </w:r>
          </w:p>
          <w:p>
            <w:pPr>
              <w:spacing w:line="360" w:lineRule="auto"/>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手撕素肉卤制时卤药水与清水的比例为1:5，卤制用水每周更换一次，卤药水用量为1</w:t>
            </w:r>
            <w:r>
              <w:rPr>
                <w:bCs/>
                <w:color w:val="auto"/>
                <w:sz w:val="24"/>
                <w:highlight w:val="none"/>
              </w:rPr>
              <w:t>m</w:t>
            </w:r>
            <w:r>
              <w:rPr>
                <w:rFonts w:hint="eastAsia"/>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/a，则卤制所用清水量为5</w:t>
            </w:r>
            <w:r>
              <w:rPr>
                <w:bCs/>
                <w:color w:val="auto"/>
                <w:sz w:val="24"/>
                <w:highlight w:val="none"/>
              </w:rPr>
              <w:t>m</w:t>
            </w:r>
            <w:r>
              <w:rPr>
                <w:rFonts w:hint="eastAsia"/>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/a。卤水需烧沸、卤制，此过程约损耗50%卤水。因此，手撕素肉卤制废水</w:t>
            </w:r>
            <w:r>
              <w:rPr>
                <w:rFonts w:hint="eastAsia"/>
                <w:bCs/>
                <w:color w:val="auto"/>
                <w:sz w:val="24"/>
                <w:highlight w:val="none"/>
                <w:lang w:val="en-US" w:eastAsia="zh-CN"/>
              </w:rPr>
              <w:t>排放</w:t>
            </w:r>
            <w:r>
              <w:rPr>
                <w:rFonts w:hint="eastAsia" w:ascii="Times New Roman" w:hAnsi="Times New Roman" w:eastAsia="宋体" w:cs="Times New Roman"/>
                <w:bCs/>
                <w:color w:val="auto"/>
                <w:sz w:val="24"/>
                <w:highlight w:val="none"/>
                <w:lang w:val="en-US" w:eastAsia="zh-CN"/>
              </w:rPr>
              <w:t>量为0.06</w:t>
            </w:r>
            <w:r>
              <w:rPr>
                <w:bCs/>
                <w:color w:val="auto"/>
                <w:sz w:val="24"/>
                <w:highlight w:val="none"/>
              </w:rPr>
              <w:t>m</w:t>
            </w:r>
            <w:r>
              <w:rPr>
                <w:rFonts w:hint="eastAsia"/>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/周，3</w:t>
            </w:r>
            <w:r>
              <w:rPr>
                <w:bCs/>
                <w:color w:val="auto"/>
                <w:sz w:val="24"/>
                <w:highlight w:val="none"/>
              </w:rPr>
              <w:t>m</w:t>
            </w:r>
            <w:r>
              <w:rPr>
                <w:rFonts w:hint="eastAsia"/>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/a。</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综上，卤制用水量为0.25</w:t>
            </w:r>
            <w:r>
              <w:rPr>
                <w:bCs/>
                <w:color w:val="auto"/>
                <w:sz w:val="24"/>
                <w:highlight w:val="none"/>
              </w:rPr>
              <w:t>m</w:t>
            </w:r>
            <w:r>
              <w:rPr>
                <w:rFonts w:hint="eastAsia"/>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/周，12.8</w:t>
            </w:r>
            <w:r>
              <w:rPr>
                <w:bCs/>
                <w:color w:val="auto"/>
                <w:sz w:val="24"/>
                <w:highlight w:val="none"/>
              </w:rPr>
              <w:t>m</w:t>
            </w:r>
            <w:r>
              <w:rPr>
                <w:rFonts w:hint="eastAsia"/>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/a；卤制废水量为0.13</w:t>
            </w:r>
            <w:r>
              <w:rPr>
                <w:bCs/>
                <w:color w:val="auto"/>
                <w:sz w:val="24"/>
                <w:highlight w:val="none"/>
              </w:rPr>
              <w:t>m</w:t>
            </w:r>
            <w:r>
              <w:rPr>
                <w:rFonts w:hint="eastAsia"/>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/周，6.9</w:t>
            </w:r>
            <w:r>
              <w:rPr>
                <w:bCs/>
                <w:color w:val="auto"/>
                <w:sz w:val="24"/>
                <w:highlight w:val="none"/>
              </w:rPr>
              <w:t>m</w:t>
            </w:r>
            <w:r>
              <w:rPr>
                <w:rFonts w:hint="eastAsia"/>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/a。</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（6）产品清洗用水</w:t>
            </w:r>
          </w:p>
          <w:p>
            <w:pPr>
              <w:spacing w:line="360" w:lineRule="auto"/>
              <w:ind w:firstLine="480" w:firstLineChars="200"/>
              <w:rPr>
                <w:rFonts w:hint="default" w:ascii="Times New Roman" w:hAnsi="Times New Roman" w:eastAsia="宋体" w:cs="Times New Roman"/>
                <w:bCs/>
                <w:color w:val="auto"/>
                <w:sz w:val="24"/>
                <w:highlight w:val="none"/>
                <w:vertAlign w:val="baseline"/>
                <w:lang w:val="en-US" w:eastAsia="zh-CN"/>
              </w:rPr>
            </w:pPr>
            <w:r>
              <w:rPr>
                <w:rFonts w:hint="eastAsia" w:ascii="Times New Roman" w:hAnsi="Times New Roman" w:eastAsia="宋体" w:cs="Times New Roman"/>
                <w:bCs/>
                <w:color w:val="auto"/>
                <w:sz w:val="24"/>
                <w:highlight w:val="none"/>
                <w:lang w:val="en-US" w:eastAsia="zh-CN"/>
              </w:rPr>
              <w:t>本项目生产手撕素肉和散装称量豆干各设置两条清洗线，分别用于拌料后清洗和灭菌后清洗。拌料后先用碱水清洗，再用清水清洗，根据建设单位提供资料，拌料后清洗每条清洗线用水量约为1m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vertAlign w:val="baseline"/>
                <w:lang w:val="en-US" w:eastAsia="zh-CN"/>
              </w:rPr>
              <w:t>/d，300</w:t>
            </w:r>
            <w:r>
              <w:rPr>
                <w:bCs/>
                <w:color w:val="auto"/>
                <w:sz w:val="24"/>
                <w:highlight w:val="none"/>
              </w:rPr>
              <w:t>m</w:t>
            </w:r>
            <w:r>
              <w:rPr>
                <w:rFonts w:hint="eastAsia"/>
                <w:bCs/>
                <w:color w:val="auto"/>
                <w:sz w:val="24"/>
                <w:highlight w:val="none"/>
                <w:vertAlign w:val="superscript"/>
              </w:rPr>
              <w:t>3</w:t>
            </w:r>
            <w:r>
              <w:rPr>
                <w:bCs/>
                <w:color w:val="auto"/>
                <w:sz w:val="24"/>
                <w:highlight w:val="none"/>
              </w:rPr>
              <w:t>/a。</w:t>
            </w:r>
            <w:r>
              <w:rPr>
                <w:rFonts w:hint="eastAsia"/>
                <w:bCs/>
                <w:color w:val="auto"/>
                <w:sz w:val="24"/>
                <w:highlight w:val="none"/>
                <w:lang w:val="en-US" w:eastAsia="zh-CN"/>
              </w:rPr>
              <w:t>灭菌后的产品用清水加清洁剂清洗除油，再用清水漂洗除去清洁剂残留，</w:t>
            </w:r>
            <w:r>
              <w:rPr>
                <w:rFonts w:hint="eastAsia" w:ascii="Times New Roman" w:hAnsi="Times New Roman" w:eastAsia="宋体" w:cs="Times New Roman"/>
                <w:bCs/>
                <w:color w:val="auto"/>
                <w:sz w:val="24"/>
                <w:highlight w:val="none"/>
                <w:lang w:val="en-US" w:eastAsia="zh-CN"/>
              </w:rPr>
              <w:t>根据建设单位提供资料，灭菌后清洗每条清洗线用水量约为15m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vertAlign w:val="baseline"/>
                <w:lang w:val="en-US" w:eastAsia="zh-CN"/>
              </w:rPr>
              <w:t>/d，4500</w:t>
            </w:r>
            <w:r>
              <w:rPr>
                <w:bCs/>
                <w:color w:val="auto"/>
                <w:sz w:val="24"/>
                <w:highlight w:val="none"/>
              </w:rPr>
              <w:t>m</w:t>
            </w:r>
            <w:r>
              <w:rPr>
                <w:rFonts w:hint="eastAsia"/>
                <w:bCs/>
                <w:color w:val="auto"/>
                <w:sz w:val="24"/>
                <w:highlight w:val="none"/>
                <w:vertAlign w:val="superscript"/>
              </w:rPr>
              <w:t>3</w:t>
            </w:r>
            <w:r>
              <w:rPr>
                <w:bCs/>
                <w:color w:val="auto"/>
                <w:sz w:val="24"/>
                <w:highlight w:val="none"/>
              </w:rPr>
              <w:t>/a。</w:t>
            </w:r>
            <w:r>
              <w:rPr>
                <w:rFonts w:hint="eastAsia"/>
                <w:bCs/>
                <w:color w:val="auto"/>
                <w:sz w:val="24"/>
                <w:highlight w:val="none"/>
                <w:lang w:val="en-US" w:eastAsia="zh-CN"/>
              </w:rPr>
              <w:t>因此，本项目产品清洗总用水量为</w:t>
            </w:r>
            <w:r>
              <w:rPr>
                <w:rFonts w:hint="eastAsia" w:ascii="Times New Roman" w:hAnsi="Times New Roman" w:eastAsia="宋体" w:cs="Times New Roman"/>
                <w:bCs/>
                <w:color w:val="auto"/>
                <w:sz w:val="24"/>
                <w:highlight w:val="none"/>
                <w:lang w:val="en-US" w:eastAsia="zh-CN"/>
              </w:rPr>
              <w:t>32m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vertAlign w:val="baseline"/>
                <w:lang w:val="en-US" w:eastAsia="zh-CN"/>
              </w:rPr>
              <w:t>/d，9600</w:t>
            </w:r>
            <w:r>
              <w:rPr>
                <w:bCs/>
                <w:color w:val="auto"/>
                <w:sz w:val="24"/>
                <w:highlight w:val="none"/>
              </w:rPr>
              <w:t>m</w:t>
            </w:r>
            <w:r>
              <w:rPr>
                <w:rFonts w:hint="eastAsia"/>
                <w:bCs/>
                <w:color w:val="auto"/>
                <w:sz w:val="24"/>
                <w:highlight w:val="none"/>
                <w:vertAlign w:val="superscript"/>
              </w:rPr>
              <w:t>3</w:t>
            </w:r>
            <w:r>
              <w:rPr>
                <w:bCs/>
                <w:color w:val="auto"/>
                <w:sz w:val="24"/>
                <w:highlight w:val="none"/>
              </w:rPr>
              <w:t>/a。</w:t>
            </w:r>
            <w:r>
              <w:rPr>
                <w:rFonts w:hint="eastAsia"/>
                <w:bCs/>
                <w:color w:val="auto"/>
                <w:sz w:val="24"/>
                <w:highlight w:val="none"/>
                <w:lang w:val="en-US" w:eastAsia="zh-CN"/>
              </w:rPr>
              <w:t>产品清洗废水</w:t>
            </w:r>
            <w:r>
              <w:rPr>
                <w:bCs/>
                <w:color w:val="auto"/>
                <w:sz w:val="24"/>
                <w:highlight w:val="none"/>
              </w:rPr>
              <w:t>的产污系数按0.8</w:t>
            </w:r>
            <w:r>
              <w:rPr>
                <w:rFonts w:hint="eastAsia"/>
                <w:bCs/>
                <w:color w:val="auto"/>
                <w:sz w:val="24"/>
                <w:highlight w:val="none"/>
                <w:lang w:val="en-US" w:eastAsia="zh-CN"/>
              </w:rPr>
              <w:t>5</w:t>
            </w:r>
            <w:r>
              <w:rPr>
                <w:bCs/>
                <w:color w:val="auto"/>
                <w:sz w:val="24"/>
                <w:highlight w:val="none"/>
              </w:rPr>
              <w:t>计，则</w:t>
            </w:r>
            <w:r>
              <w:rPr>
                <w:rFonts w:hint="eastAsia"/>
                <w:bCs/>
                <w:color w:val="auto"/>
                <w:sz w:val="24"/>
                <w:highlight w:val="none"/>
                <w:lang w:val="en-US" w:eastAsia="zh-CN"/>
              </w:rPr>
              <w:t>产品清洗废水排放</w:t>
            </w:r>
            <w:r>
              <w:rPr>
                <w:bCs/>
                <w:color w:val="auto"/>
                <w:sz w:val="24"/>
                <w:highlight w:val="none"/>
              </w:rPr>
              <w:t>量为</w:t>
            </w:r>
            <w:r>
              <w:rPr>
                <w:rFonts w:hint="eastAsia"/>
                <w:bCs/>
                <w:color w:val="auto"/>
                <w:sz w:val="24"/>
                <w:highlight w:val="none"/>
                <w:lang w:val="en-US" w:eastAsia="zh-CN"/>
              </w:rPr>
              <w:t>27.2</w:t>
            </w:r>
            <w:r>
              <w:rPr>
                <w:bCs/>
                <w:color w:val="auto"/>
                <w:sz w:val="24"/>
                <w:highlight w:val="none"/>
              </w:rPr>
              <w:t>m</w:t>
            </w:r>
            <w:r>
              <w:rPr>
                <w:bCs/>
                <w:color w:val="auto"/>
                <w:sz w:val="24"/>
                <w:highlight w:val="none"/>
                <w:vertAlign w:val="superscript"/>
              </w:rPr>
              <w:t>3</w:t>
            </w:r>
            <w:r>
              <w:rPr>
                <w:bCs/>
                <w:color w:val="auto"/>
                <w:sz w:val="24"/>
                <w:highlight w:val="none"/>
              </w:rPr>
              <w:t>/d，</w:t>
            </w:r>
            <w:r>
              <w:rPr>
                <w:rFonts w:hint="eastAsia"/>
                <w:bCs/>
                <w:color w:val="auto"/>
                <w:sz w:val="24"/>
                <w:highlight w:val="none"/>
                <w:lang w:val="en-US" w:eastAsia="zh-CN"/>
              </w:rPr>
              <w:t>8160</w:t>
            </w:r>
            <w:r>
              <w:rPr>
                <w:bCs/>
                <w:color w:val="auto"/>
                <w:sz w:val="24"/>
                <w:highlight w:val="none"/>
              </w:rPr>
              <w:t>m</w:t>
            </w:r>
            <w:r>
              <w:rPr>
                <w:bCs/>
                <w:color w:val="auto"/>
                <w:sz w:val="24"/>
                <w:highlight w:val="none"/>
                <w:vertAlign w:val="superscript"/>
              </w:rPr>
              <w:t>3</w:t>
            </w:r>
            <w:r>
              <w:rPr>
                <w:bCs/>
                <w:color w:val="auto"/>
                <w:sz w:val="24"/>
                <w:highlight w:val="none"/>
              </w:rPr>
              <w:t>/a。</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（7）灭菌用水</w:t>
            </w:r>
          </w:p>
          <w:p>
            <w:pPr>
              <w:spacing w:line="360" w:lineRule="auto"/>
              <w:ind w:firstLine="480" w:firstLineChars="200"/>
              <w:rPr>
                <w:bCs/>
                <w:color w:val="auto"/>
                <w:sz w:val="24"/>
                <w:highlight w:val="none"/>
              </w:rPr>
            </w:pPr>
            <w:r>
              <w:rPr>
                <w:rFonts w:hint="eastAsia" w:ascii="Times New Roman" w:hAnsi="Times New Roman" w:eastAsia="宋体" w:cs="Times New Roman"/>
                <w:bCs/>
                <w:color w:val="auto"/>
                <w:sz w:val="24"/>
                <w:highlight w:val="none"/>
                <w:lang w:val="en-US" w:eastAsia="zh-CN"/>
              </w:rPr>
              <w:t>本项目手撕素肉和散装称量豆干均使用喷淋式灭菌锅进行灭菌，灭菌时需注入少量清水，并使用冷却水间接冷却。根据建设单位提供资料，灭</w:t>
            </w:r>
            <w:r>
              <w:rPr>
                <w:rFonts w:hint="eastAsia"/>
                <w:bCs/>
                <w:color w:val="auto"/>
                <w:sz w:val="24"/>
                <w:highlight w:val="none"/>
                <w:lang w:val="en-US" w:eastAsia="zh-CN"/>
              </w:rPr>
              <w:t>菌用水每半月更换一次，</w:t>
            </w:r>
            <w:r>
              <w:rPr>
                <w:rFonts w:hint="eastAsia" w:ascii="Times New Roman" w:hAnsi="Times New Roman" w:eastAsia="宋体" w:cs="Times New Roman"/>
                <w:bCs/>
                <w:color w:val="auto"/>
                <w:sz w:val="24"/>
                <w:highlight w:val="none"/>
                <w:lang w:val="en-US" w:eastAsia="zh-CN"/>
              </w:rPr>
              <w:t>每种产品注入清水量约为2m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vertAlign w:val="baseline"/>
                <w:lang w:val="en-US" w:eastAsia="zh-CN"/>
              </w:rPr>
              <w:t>/周，104</w:t>
            </w:r>
            <w:r>
              <w:rPr>
                <w:bCs/>
                <w:color w:val="auto"/>
                <w:sz w:val="24"/>
                <w:highlight w:val="none"/>
              </w:rPr>
              <w:t>m</w:t>
            </w:r>
            <w:r>
              <w:rPr>
                <w:rFonts w:hint="eastAsia"/>
                <w:bCs/>
                <w:color w:val="auto"/>
                <w:sz w:val="24"/>
                <w:highlight w:val="none"/>
                <w:vertAlign w:val="superscript"/>
              </w:rPr>
              <w:t>3</w:t>
            </w:r>
            <w:r>
              <w:rPr>
                <w:bCs/>
                <w:color w:val="auto"/>
                <w:sz w:val="24"/>
                <w:highlight w:val="none"/>
              </w:rPr>
              <w:t>/a。</w:t>
            </w:r>
            <w:r>
              <w:rPr>
                <w:rFonts w:hint="eastAsia" w:ascii="Times New Roman" w:hAnsi="Times New Roman" w:eastAsia="宋体" w:cs="Times New Roman"/>
                <w:bCs/>
                <w:color w:val="auto"/>
                <w:sz w:val="24"/>
                <w:highlight w:val="none"/>
                <w:lang w:val="en-US" w:eastAsia="zh-CN"/>
              </w:rPr>
              <w:t>循环水量为40m</w:t>
            </w:r>
            <w:r>
              <w:rPr>
                <w:rFonts w:hint="eastAsia" w:ascii="Times New Roman" w:hAnsi="Times New Roman" w:eastAsia="宋体" w:cs="Times New Roman"/>
                <w:bCs/>
                <w:color w:val="auto"/>
                <w:sz w:val="24"/>
                <w:highlight w:val="none"/>
                <w:vertAlign w:val="superscript"/>
                <w:lang w:val="en-US" w:eastAsia="zh-CN"/>
              </w:rPr>
              <w:t>3</w:t>
            </w:r>
            <w:r>
              <w:rPr>
                <w:rFonts w:hint="eastAsia"/>
                <w:bCs/>
                <w:color w:val="auto"/>
                <w:sz w:val="24"/>
                <w:highlight w:val="none"/>
              </w:rPr>
              <w:t>，设计循环系统补水量为循环水量的</w:t>
            </w:r>
            <w:r>
              <w:rPr>
                <w:rFonts w:hint="eastAsia"/>
                <w:bCs/>
                <w:color w:val="auto"/>
                <w:sz w:val="24"/>
                <w:highlight w:val="none"/>
                <w:lang w:val="en-US" w:eastAsia="zh-CN"/>
              </w:rPr>
              <w:t>2%</w:t>
            </w:r>
            <w:r>
              <w:rPr>
                <w:rFonts w:hint="eastAsia"/>
                <w:bCs/>
                <w:color w:val="auto"/>
                <w:sz w:val="24"/>
                <w:highlight w:val="none"/>
              </w:rPr>
              <w:t>，</w:t>
            </w:r>
            <w:r>
              <w:rPr>
                <w:rFonts w:hint="eastAsia"/>
                <w:bCs/>
                <w:color w:val="auto"/>
                <w:sz w:val="24"/>
                <w:highlight w:val="none"/>
                <w:lang w:val="en-US" w:eastAsia="zh-CN"/>
              </w:rPr>
              <w:t>则循环水补充量为0.8</w:t>
            </w:r>
            <w:r>
              <w:rPr>
                <w:rFonts w:hint="eastAsia" w:ascii="Times New Roman" w:hAnsi="Times New Roman" w:eastAsia="宋体" w:cs="Times New Roman"/>
                <w:bCs/>
                <w:color w:val="auto"/>
                <w:sz w:val="24"/>
                <w:highlight w:val="none"/>
                <w:lang w:val="en-US" w:eastAsia="zh-CN"/>
              </w:rPr>
              <w:t>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vertAlign w:val="baseline"/>
                <w:lang w:val="en-US" w:eastAsia="zh-CN"/>
              </w:rPr>
              <w:t>/d，</w:t>
            </w:r>
            <w:r>
              <w:rPr>
                <w:rFonts w:hint="eastAsia" w:cs="Times New Roman"/>
                <w:bCs/>
                <w:color w:val="auto"/>
                <w:sz w:val="24"/>
                <w:highlight w:val="none"/>
                <w:vertAlign w:val="baseline"/>
                <w:lang w:val="en-US" w:eastAsia="zh-CN"/>
              </w:rPr>
              <w:t>240</w:t>
            </w:r>
            <w:r>
              <w:rPr>
                <w:bCs/>
                <w:color w:val="auto"/>
                <w:sz w:val="24"/>
                <w:highlight w:val="none"/>
              </w:rPr>
              <w:t>m</w:t>
            </w:r>
            <w:r>
              <w:rPr>
                <w:rFonts w:hint="eastAsia"/>
                <w:bCs/>
                <w:color w:val="auto"/>
                <w:sz w:val="24"/>
                <w:highlight w:val="none"/>
                <w:vertAlign w:val="superscript"/>
              </w:rPr>
              <w:t>3</w:t>
            </w:r>
            <w:r>
              <w:rPr>
                <w:bCs/>
                <w:color w:val="auto"/>
                <w:sz w:val="24"/>
                <w:highlight w:val="none"/>
              </w:rPr>
              <w:t>/a。</w:t>
            </w:r>
            <w:r>
              <w:rPr>
                <w:rFonts w:hint="eastAsia"/>
                <w:bCs/>
                <w:color w:val="auto"/>
                <w:sz w:val="24"/>
                <w:highlight w:val="none"/>
                <w:lang w:val="en-US" w:eastAsia="zh-CN"/>
              </w:rPr>
              <w:t>因此，</w:t>
            </w:r>
            <w:r>
              <w:rPr>
                <w:rFonts w:hint="eastAsia" w:ascii="Times New Roman" w:hAnsi="Times New Roman" w:eastAsia="宋体" w:cs="Times New Roman"/>
                <w:bCs/>
                <w:color w:val="auto"/>
                <w:sz w:val="24"/>
                <w:highlight w:val="none"/>
                <w:lang w:val="en-US" w:eastAsia="zh-CN"/>
              </w:rPr>
              <w:t>灭</w:t>
            </w:r>
            <w:r>
              <w:rPr>
                <w:rFonts w:hint="eastAsia"/>
                <w:bCs/>
                <w:color w:val="auto"/>
                <w:sz w:val="24"/>
                <w:highlight w:val="none"/>
                <w:lang w:val="en-US" w:eastAsia="zh-CN"/>
              </w:rPr>
              <w:t>菌总用水量为6.62</w:t>
            </w:r>
            <w:r>
              <w:rPr>
                <w:rFonts w:hint="eastAsia" w:ascii="Times New Roman" w:hAnsi="Times New Roman" w:eastAsia="宋体" w:cs="Times New Roman"/>
                <w:bCs/>
                <w:color w:val="auto"/>
                <w:sz w:val="24"/>
                <w:highlight w:val="none"/>
                <w:lang w:val="en-US" w:eastAsia="zh-CN"/>
              </w:rPr>
              <w:t>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vertAlign w:val="baseline"/>
                <w:lang w:val="en-US" w:eastAsia="zh-CN"/>
              </w:rPr>
              <w:t>/周，</w:t>
            </w:r>
            <w:r>
              <w:rPr>
                <w:rFonts w:hint="eastAsia" w:cs="Times New Roman"/>
                <w:bCs/>
                <w:color w:val="auto"/>
                <w:sz w:val="24"/>
                <w:highlight w:val="none"/>
                <w:vertAlign w:val="baseline"/>
                <w:lang w:val="en-US" w:eastAsia="zh-CN"/>
              </w:rPr>
              <w:t>344</w:t>
            </w:r>
            <w:r>
              <w:rPr>
                <w:bCs/>
                <w:color w:val="auto"/>
                <w:sz w:val="24"/>
                <w:highlight w:val="none"/>
              </w:rPr>
              <w:t>m</w:t>
            </w:r>
            <w:r>
              <w:rPr>
                <w:rFonts w:hint="eastAsia"/>
                <w:bCs/>
                <w:color w:val="auto"/>
                <w:sz w:val="24"/>
                <w:highlight w:val="none"/>
                <w:vertAlign w:val="superscript"/>
              </w:rPr>
              <w:t>3</w:t>
            </w:r>
            <w:r>
              <w:rPr>
                <w:bCs/>
                <w:color w:val="auto"/>
                <w:sz w:val="24"/>
                <w:highlight w:val="none"/>
              </w:rPr>
              <w:t>/a。</w:t>
            </w:r>
            <w:r>
              <w:rPr>
                <w:rFonts w:hint="eastAsia" w:ascii="Times New Roman" w:hAnsi="Times New Roman" w:eastAsia="宋体" w:cs="Times New Roman"/>
                <w:bCs/>
                <w:color w:val="auto"/>
                <w:sz w:val="24"/>
                <w:highlight w:val="none"/>
                <w:lang w:val="en-US" w:eastAsia="zh-CN"/>
              </w:rPr>
              <w:t>灭菌废水</w:t>
            </w:r>
            <w:r>
              <w:rPr>
                <w:bCs/>
                <w:color w:val="auto"/>
                <w:sz w:val="24"/>
                <w:highlight w:val="none"/>
              </w:rPr>
              <w:t>产污系数按0.8</w:t>
            </w:r>
            <w:r>
              <w:rPr>
                <w:rFonts w:hint="eastAsia"/>
                <w:bCs/>
                <w:color w:val="auto"/>
                <w:sz w:val="24"/>
                <w:highlight w:val="none"/>
                <w:lang w:val="en-US" w:eastAsia="zh-CN"/>
              </w:rPr>
              <w:t>5</w:t>
            </w:r>
            <w:r>
              <w:rPr>
                <w:bCs/>
                <w:color w:val="auto"/>
                <w:sz w:val="24"/>
                <w:highlight w:val="none"/>
              </w:rPr>
              <w:t>计，则</w:t>
            </w:r>
            <w:r>
              <w:rPr>
                <w:rFonts w:hint="eastAsia" w:ascii="Times New Roman" w:hAnsi="Times New Roman" w:eastAsia="宋体" w:cs="Times New Roman"/>
                <w:bCs/>
                <w:color w:val="auto"/>
                <w:sz w:val="24"/>
                <w:highlight w:val="none"/>
                <w:lang w:val="en-US" w:eastAsia="zh-CN"/>
              </w:rPr>
              <w:t>灭</w:t>
            </w:r>
            <w:r>
              <w:rPr>
                <w:rFonts w:hint="eastAsia"/>
                <w:bCs/>
                <w:color w:val="auto"/>
                <w:sz w:val="24"/>
                <w:highlight w:val="none"/>
                <w:lang w:val="en-US" w:eastAsia="zh-CN"/>
              </w:rPr>
              <w:t>菌废水排放</w:t>
            </w:r>
            <w:r>
              <w:rPr>
                <w:bCs/>
                <w:color w:val="auto"/>
                <w:sz w:val="24"/>
                <w:highlight w:val="none"/>
              </w:rPr>
              <w:t>量为</w:t>
            </w:r>
            <w:r>
              <w:rPr>
                <w:rFonts w:hint="eastAsia"/>
                <w:bCs/>
                <w:color w:val="auto"/>
                <w:sz w:val="24"/>
                <w:highlight w:val="none"/>
                <w:lang w:val="en-US" w:eastAsia="zh-CN"/>
              </w:rPr>
              <w:t>5.63</w:t>
            </w:r>
            <w:r>
              <w:rPr>
                <w:bCs/>
                <w:color w:val="auto"/>
                <w:sz w:val="24"/>
                <w:highlight w:val="none"/>
              </w:rPr>
              <w:t>m</w:t>
            </w:r>
            <w:r>
              <w:rPr>
                <w:bCs/>
                <w:color w:val="auto"/>
                <w:sz w:val="24"/>
                <w:highlight w:val="none"/>
                <w:vertAlign w:val="superscript"/>
              </w:rPr>
              <w:t>3</w:t>
            </w:r>
            <w:r>
              <w:rPr>
                <w:bCs/>
                <w:color w:val="auto"/>
                <w:sz w:val="24"/>
                <w:highlight w:val="none"/>
              </w:rPr>
              <w:t>/</w:t>
            </w:r>
            <w:r>
              <w:rPr>
                <w:rFonts w:hint="eastAsia" w:ascii="Times New Roman" w:hAnsi="Times New Roman" w:eastAsia="宋体" w:cs="Times New Roman"/>
                <w:bCs/>
                <w:color w:val="auto"/>
                <w:sz w:val="24"/>
                <w:highlight w:val="none"/>
                <w:vertAlign w:val="baseline"/>
                <w:lang w:val="en-US" w:eastAsia="zh-CN"/>
              </w:rPr>
              <w:t>周</w:t>
            </w:r>
            <w:r>
              <w:rPr>
                <w:bCs/>
                <w:color w:val="auto"/>
                <w:sz w:val="24"/>
                <w:highlight w:val="none"/>
              </w:rPr>
              <w:t>，</w:t>
            </w:r>
            <w:r>
              <w:rPr>
                <w:rFonts w:hint="eastAsia"/>
                <w:bCs/>
                <w:color w:val="auto"/>
                <w:sz w:val="24"/>
                <w:highlight w:val="none"/>
                <w:lang w:val="en-US" w:eastAsia="zh-CN"/>
              </w:rPr>
              <w:t>292.4</w:t>
            </w:r>
            <w:r>
              <w:rPr>
                <w:bCs/>
                <w:color w:val="auto"/>
                <w:sz w:val="24"/>
                <w:highlight w:val="none"/>
              </w:rPr>
              <w:t>m</w:t>
            </w:r>
            <w:r>
              <w:rPr>
                <w:bCs/>
                <w:color w:val="auto"/>
                <w:sz w:val="24"/>
                <w:highlight w:val="none"/>
                <w:vertAlign w:val="superscript"/>
              </w:rPr>
              <w:t>3</w:t>
            </w:r>
            <w:r>
              <w:rPr>
                <w:bCs/>
                <w:color w:val="auto"/>
                <w:sz w:val="24"/>
                <w:highlight w:val="none"/>
              </w:rPr>
              <w:t>/a。</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（8）锅炉用水</w:t>
            </w:r>
          </w:p>
          <w:p>
            <w:pPr>
              <w:spacing w:line="360" w:lineRule="auto"/>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本项目依托现有项目已建的锅炉提供蒸汽，现有项目锅炉每天运行12h，锅炉用水为软水，</w:t>
            </w:r>
            <w:r>
              <w:rPr>
                <w:rFonts w:hint="eastAsia" w:cs="Times New Roman"/>
                <w:bCs/>
                <w:color w:val="auto"/>
                <w:sz w:val="24"/>
                <w:highlight w:val="none"/>
                <w:lang w:val="en-US" w:eastAsia="zh-CN"/>
              </w:rPr>
              <w:t>类比现有项目，本项目</w:t>
            </w:r>
            <w:r>
              <w:rPr>
                <w:rFonts w:hint="eastAsia" w:ascii="Times New Roman" w:hAnsi="Times New Roman" w:eastAsia="宋体" w:cs="Times New Roman"/>
                <w:bCs/>
                <w:color w:val="auto"/>
                <w:sz w:val="24"/>
                <w:highlight w:val="none"/>
                <w:lang w:val="en-US" w:eastAsia="zh-CN"/>
              </w:rPr>
              <w:t>软水用量约为</w:t>
            </w:r>
            <w:r>
              <w:rPr>
                <w:rFonts w:hint="eastAsia" w:cs="Times New Roman"/>
                <w:bCs/>
                <w:color w:val="auto"/>
                <w:sz w:val="24"/>
                <w:highlight w:val="none"/>
                <w:lang w:val="en-US" w:eastAsia="zh-CN"/>
              </w:rPr>
              <w:t>24</w:t>
            </w:r>
            <w:r>
              <w:rPr>
                <w:bCs/>
                <w:color w:val="auto"/>
                <w:sz w:val="24"/>
                <w:highlight w:val="none"/>
              </w:rPr>
              <w:t>m</w:t>
            </w:r>
            <w:r>
              <w:rPr>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/d</w:t>
            </w:r>
            <w:r>
              <w:rPr>
                <w:bCs/>
                <w:color w:val="auto"/>
                <w:sz w:val="24"/>
                <w:highlight w:val="none"/>
              </w:rPr>
              <w:t>。</w:t>
            </w:r>
          </w:p>
          <w:p>
            <w:pPr>
              <w:spacing w:line="360" w:lineRule="auto"/>
              <w:ind w:firstLine="480" w:firstLineChars="200"/>
              <w:rPr>
                <w:rFonts w:hint="eastAsia" w:ascii="Times New Roman" w:hAnsi="Times New Roman" w:eastAsia="宋体" w:cs="Times New Roman"/>
                <w:bCs/>
                <w:color w:val="auto"/>
                <w:sz w:val="24"/>
                <w:highlight w:val="none"/>
                <w:vertAlign w:val="baseline"/>
                <w:lang w:val="en-US" w:eastAsia="zh-CN"/>
              </w:rPr>
            </w:pPr>
            <w:r>
              <w:rPr>
                <w:rFonts w:hint="eastAsia" w:ascii="Times New Roman" w:hAnsi="Times New Roman" w:eastAsia="宋体" w:cs="Times New Roman"/>
                <w:bCs/>
                <w:color w:val="auto"/>
                <w:sz w:val="24"/>
                <w:highlight w:val="none"/>
                <w:lang w:val="en-US" w:eastAsia="zh-CN"/>
              </w:rPr>
              <w:t>根据《排放源统计调查产排污核算方法和系数手册》中4430工业锅炉（热力供应）行业系数手册，使用天然气的锅炉产生蒸汽时工业废水量（包括锅炉排污水和软化处理废水）的产污系数为13.56t/万m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vertAlign w:val="baseline"/>
                <w:lang w:val="en-US" w:eastAsia="zh-CN"/>
              </w:rPr>
              <w:t>-原料。本项目天然气用量为</w:t>
            </w:r>
            <w:r>
              <w:rPr>
                <w:rFonts w:hint="eastAsia" w:cs="Times New Roman"/>
                <w:bCs/>
                <w:color w:val="auto"/>
                <w:sz w:val="24"/>
                <w:highlight w:val="none"/>
                <w:vertAlign w:val="baseline"/>
                <w:lang w:val="en-US" w:eastAsia="zh-CN"/>
              </w:rPr>
              <w:t>5</w:t>
            </w:r>
            <w:r>
              <w:rPr>
                <w:rFonts w:hint="eastAsia" w:ascii="Times New Roman" w:hAnsi="Times New Roman" w:eastAsia="宋体" w:cs="Times New Roman"/>
                <w:bCs/>
                <w:color w:val="auto"/>
                <w:sz w:val="24"/>
                <w:highlight w:val="none"/>
                <w:vertAlign w:val="baseline"/>
                <w:lang w:val="en-US" w:eastAsia="zh-CN"/>
              </w:rPr>
              <w:t>0万m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vertAlign w:val="baseline"/>
                <w:lang w:val="en-US" w:eastAsia="zh-CN"/>
              </w:rPr>
              <w:t>/a，因此，本项目新增锅炉废水量</w:t>
            </w:r>
            <w:r>
              <w:rPr>
                <w:rFonts w:hint="eastAsia" w:ascii="Times New Roman" w:hAnsi="Times New Roman" w:eastAsia="宋体" w:cs="Times New Roman"/>
                <w:bCs/>
                <w:color w:val="auto"/>
                <w:sz w:val="24"/>
                <w:highlight w:val="none"/>
                <w:lang w:val="en-US" w:eastAsia="zh-CN"/>
              </w:rPr>
              <w:t>（包括锅炉排污水和软化处理废水）</w:t>
            </w:r>
            <w:r>
              <w:rPr>
                <w:rFonts w:hint="eastAsia" w:cs="Times New Roman"/>
                <w:bCs/>
                <w:color w:val="auto"/>
                <w:sz w:val="24"/>
                <w:highlight w:val="none"/>
                <w:lang w:val="en-US" w:eastAsia="zh-CN"/>
              </w:rPr>
              <w:t>2.26</w:t>
            </w:r>
            <w:r>
              <w:rPr>
                <w:bCs/>
                <w:color w:val="auto"/>
                <w:sz w:val="24"/>
                <w:highlight w:val="none"/>
              </w:rPr>
              <w:t>m</w:t>
            </w:r>
            <w:r>
              <w:rPr>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/d，</w:t>
            </w:r>
            <w:r>
              <w:rPr>
                <w:rFonts w:hint="eastAsia" w:cs="Times New Roman"/>
                <w:bCs/>
                <w:color w:val="auto"/>
                <w:sz w:val="24"/>
                <w:highlight w:val="none"/>
                <w:lang w:val="en-US" w:eastAsia="zh-CN"/>
              </w:rPr>
              <w:t>678</w:t>
            </w:r>
            <w:r>
              <w:rPr>
                <w:bCs/>
                <w:color w:val="auto"/>
                <w:sz w:val="24"/>
                <w:highlight w:val="none"/>
              </w:rPr>
              <w:t>m</w:t>
            </w:r>
            <w:r>
              <w:rPr>
                <w:rFonts w:hint="eastAsia"/>
                <w:bCs/>
                <w:color w:val="auto"/>
                <w:sz w:val="24"/>
                <w:highlight w:val="none"/>
                <w:vertAlign w:val="superscript"/>
              </w:rPr>
              <w:t>3</w:t>
            </w:r>
            <w:r>
              <w:rPr>
                <w:bCs/>
                <w:color w:val="auto"/>
                <w:sz w:val="24"/>
                <w:highlight w:val="none"/>
              </w:rPr>
              <w:t>/a</w:t>
            </w:r>
            <w:r>
              <w:rPr>
                <w:rFonts w:hint="eastAsia"/>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锅炉用水量为</w:t>
            </w:r>
            <w:r>
              <w:rPr>
                <w:rFonts w:hint="eastAsia" w:cs="Times New Roman"/>
                <w:bCs/>
                <w:color w:val="auto"/>
                <w:sz w:val="24"/>
                <w:highlight w:val="none"/>
                <w:lang w:val="en-US" w:eastAsia="zh-CN"/>
              </w:rPr>
              <w:t>26.26</w:t>
            </w:r>
            <w:r>
              <w:rPr>
                <w:bCs/>
                <w:color w:val="auto"/>
                <w:sz w:val="24"/>
                <w:highlight w:val="none"/>
              </w:rPr>
              <w:t>m</w:t>
            </w:r>
            <w:r>
              <w:rPr>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/d，</w:t>
            </w:r>
            <w:r>
              <w:rPr>
                <w:rFonts w:hint="eastAsia" w:cs="Times New Roman"/>
                <w:bCs/>
                <w:color w:val="auto"/>
                <w:sz w:val="24"/>
                <w:highlight w:val="none"/>
                <w:lang w:val="en-US" w:eastAsia="zh-CN"/>
              </w:rPr>
              <w:t>7878</w:t>
            </w:r>
            <w:r>
              <w:rPr>
                <w:bCs/>
                <w:color w:val="auto"/>
                <w:sz w:val="24"/>
                <w:highlight w:val="none"/>
              </w:rPr>
              <w:t>m</w:t>
            </w:r>
            <w:r>
              <w:rPr>
                <w:rFonts w:hint="eastAsia"/>
                <w:bCs/>
                <w:color w:val="auto"/>
                <w:sz w:val="24"/>
                <w:highlight w:val="none"/>
                <w:vertAlign w:val="superscript"/>
              </w:rPr>
              <w:t>3</w:t>
            </w:r>
            <w:r>
              <w:rPr>
                <w:bCs/>
                <w:color w:val="auto"/>
                <w:sz w:val="24"/>
                <w:highlight w:val="none"/>
              </w:rPr>
              <w:t>/a</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（8）设备清洗用水</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本项目生产结束后需对设备进行清洗，</w:t>
            </w:r>
            <w:r>
              <w:rPr>
                <w:rFonts w:hint="eastAsia" w:cs="Times New Roman"/>
                <w:bCs/>
                <w:color w:val="auto"/>
                <w:sz w:val="24"/>
                <w:highlight w:val="none"/>
                <w:lang w:val="en-US" w:eastAsia="zh-CN"/>
              </w:rPr>
              <w:t>类比现有项目，本项目</w:t>
            </w:r>
            <w:r>
              <w:rPr>
                <w:rFonts w:hint="eastAsia" w:ascii="Times New Roman" w:hAnsi="Times New Roman" w:eastAsia="宋体" w:cs="Times New Roman"/>
                <w:bCs/>
                <w:color w:val="auto"/>
                <w:sz w:val="24"/>
                <w:highlight w:val="none"/>
                <w:lang w:val="en-US" w:eastAsia="zh-CN"/>
              </w:rPr>
              <w:t>清洗用水量约为</w:t>
            </w:r>
            <w:r>
              <w:rPr>
                <w:rFonts w:hint="eastAsia" w:cs="Times New Roman"/>
                <w:bCs/>
                <w:color w:val="auto"/>
                <w:sz w:val="24"/>
                <w:highlight w:val="none"/>
                <w:lang w:val="en-US" w:eastAsia="zh-CN"/>
              </w:rPr>
              <w:t>10</w:t>
            </w:r>
            <w:r>
              <w:rPr>
                <w:rFonts w:hint="eastAsia" w:ascii="Times New Roman" w:hAnsi="Times New Roman" w:eastAsia="宋体" w:cs="Times New Roman"/>
                <w:bCs/>
                <w:color w:val="auto"/>
                <w:sz w:val="24"/>
                <w:highlight w:val="none"/>
                <w:lang w:val="en-US" w:eastAsia="zh-CN"/>
              </w:rPr>
              <w:t>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vertAlign w:val="baseline"/>
                <w:lang w:val="en-US" w:eastAsia="zh-CN"/>
              </w:rPr>
              <w:t>/d，</w:t>
            </w:r>
            <w:r>
              <w:rPr>
                <w:rFonts w:hint="eastAsia" w:cs="Times New Roman"/>
                <w:bCs/>
                <w:color w:val="auto"/>
                <w:sz w:val="24"/>
                <w:highlight w:val="none"/>
                <w:vertAlign w:val="baseline"/>
                <w:lang w:val="en-US" w:eastAsia="zh-CN"/>
              </w:rPr>
              <w:t>30</w:t>
            </w:r>
            <w:r>
              <w:rPr>
                <w:rFonts w:hint="eastAsia" w:ascii="Times New Roman" w:hAnsi="Times New Roman" w:eastAsia="宋体" w:cs="Times New Roman"/>
                <w:bCs/>
                <w:color w:val="auto"/>
                <w:sz w:val="24"/>
                <w:highlight w:val="none"/>
                <w:vertAlign w:val="baseline"/>
                <w:lang w:val="en-US" w:eastAsia="zh-CN"/>
              </w:rPr>
              <w:t>00</w:t>
            </w:r>
            <w:r>
              <w:rPr>
                <w:bCs/>
                <w:color w:val="auto"/>
                <w:sz w:val="24"/>
                <w:highlight w:val="none"/>
              </w:rPr>
              <w:t>m</w:t>
            </w:r>
            <w:r>
              <w:rPr>
                <w:rFonts w:hint="eastAsia"/>
                <w:bCs/>
                <w:color w:val="auto"/>
                <w:sz w:val="24"/>
                <w:highlight w:val="none"/>
                <w:vertAlign w:val="superscript"/>
              </w:rPr>
              <w:t>3</w:t>
            </w:r>
            <w:r>
              <w:rPr>
                <w:bCs/>
                <w:color w:val="auto"/>
                <w:sz w:val="24"/>
                <w:highlight w:val="none"/>
              </w:rPr>
              <w:t>/a。</w:t>
            </w:r>
            <w:r>
              <w:rPr>
                <w:rFonts w:hint="eastAsia" w:ascii="Times New Roman" w:hAnsi="Times New Roman" w:eastAsia="宋体" w:cs="Times New Roman"/>
                <w:bCs/>
                <w:color w:val="auto"/>
                <w:sz w:val="24"/>
                <w:highlight w:val="none"/>
                <w:lang w:val="en-US" w:eastAsia="zh-CN"/>
              </w:rPr>
              <w:t>设备清洗废水</w:t>
            </w:r>
            <w:r>
              <w:rPr>
                <w:bCs/>
                <w:color w:val="auto"/>
                <w:sz w:val="24"/>
                <w:highlight w:val="none"/>
              </w:rPr>
              <w:t>的产污系数按0.8</w:t>
            </w:r>
            <w:r>
              <w:rPr>
                <w:rFonts w:hint="eastAsia"/>
                <w:bCs/>
                <w:color w:val="auto"/>
                <w:sz w:val="24"/>
                <w:highlight w:val="none"/>
                <w:lang w:val="en-US" w:eastAsia="zh-CN"/>
              </w:rPr>
              <w:t>5</w:t>
            </w:r>
            <w:r>
              <w:rPr>
                <w:bCs/>
                <w:color w:val="auto"/>
                <w:sz w:val="24"/>
                <w:highlight w:val="none"/>
              </w:rPr>
              <w:t>计，则</w:t>
            </w:r>
            <w:r>
              <w:rPr>
                <w:rFonts w:hint="eastAsia" w:ascii="Times New Roman" w:hAnsi="Times New Roman" w:eastAsia="宋体" w:cs="Times New Roman"/>
                <w:bCs/>
                <w:color w:val="auto"/>
                <w:sz w:val="24"/>
                <w:highlight w:val="none"/>
                <w:lang w:val="en-US" w:eastAsia="zh-CN"/>
              </w:rPr>
              <w:t>设备清洗</w:t>
            </w:r>
            <w:r>
              <w:rPr>
                <w:rFonts w:hint="eastAsia"/>
                <w:bCs/>
                <w:color w:val="auto"/>
                <w:sz w:val="24"/>
                <w:highlight w:val="none"/>
                <w:lang w:val="en-US" w:eastAsia="zh-CN"/>
              </w:rPr>
              <w:t>废水排放</w:t>
            </w:r>
            <w:r>
              <w:rPr>
                <w:bCs/>
                <w:color w:val="auto"/>
                <w:sz w:val="24"/>
                <w:highlight w:val="none"/>
              </w:rPr>
              <w:t>量为</w:t>
            </w:r>
            <w:r>
              <w:rPr>
                <w:rFonts w:hint="eastAsia"/>
                <w:bCs/>
                <w:color w:val="auto"/>
                <w:sz w:val="24"/>
                <w:highlight w:val="none"/>
                <w:lang w:val="en-US" w:eastAsia="zh-CN"/>
              </w:rPr>
              <w:t>8.5</w:t>
            </w:r>
            <w:r>
              <w:rPr>
                <w:bCs/>
                <w:color w:val="auto"/>
                <w:sz w:val="24"/>
                <w:highlight w:val="none"/>
              </w:rPr>
              <w:t>m</w:t>
            </w:r>
            <w:r>
              <w:rPr>
                <w:bCs/>
                <w:color w:val="auto"/>
                <w:sz w:val="24"/>
                <w:highlight w:val="none"/>
                <w:vertAlign w:val="superscript"/>
              </w:rPr>
              <w:t>3</w:t>
            </w:r>
            <w:r>
              <w:rPr>
                <w:bCs/>
                <w:color w:val="auto"/>
                <w:sz w:val="24"/>
                <w:highlight w:val="none"/>
              </w:rPr>
              <w:t>/d，</w:t>
            </w:r>
            <w:r>
              <w:rPr>
                <w:rFonts w:hint="eastAsia"/>
                <w:bCs/>
                <w:color w:val="auto"/>
                <w:sz w:val="24"/>
                <w:highlight w:val="none"/>
                <w:lang w:val="en-US" w:eastAsia="zh-CN"/>
              </w:rPr>
              <w:t>2550</w:t>
            </w:r>
            <w:r>
              <w:rPr>
                <w:bCs/>
                <w:color w:val="auto"/>
                <w:sz w:val="24"/>
                <w:highlight w:val="none"/>
              </w:rPr>
              <w:t>m</w:t>
            </w:r>
            <w:r>
              <w:rPr>
                <w:bCs/>
                <w:color w:val="auto"/>
                <w:sz w:val="24"/>
                <w:highlight w:val="none"/>
                <w:vertAlign w:val="superscript"/>
              </w:rPr>
              <w:t>3</w:t>
            </w:r>
            <w:r>
              <w:rPr>
                <w:bCs/>
                <w:color w:val="auto"/>
                <w:sz w:val="24"/>
                <w:highlight w:val="none"/>
              </w:rPr>
              <w:t>/a。</w:t>
            </w:r>
          </w:p>
          <w:p>
            <w:pPr>
              <w:spacing w:line="360" w:lineRule="auto"/>
              <w:ind w:firstLine="480" w:firstLineChars="200"/>
              <w:rPr>
                <w:bCs/>
                <w:color w:val="auto"/>
                <w:sz w:val="24"/>
                <w:highlight w:val="none"/>
              </w:rPr>
            </w:pPr>
            <w:r>
              <w:rPr>
                <w:rFonts w:hint="eastAsia"/>
                <w:bCs/>
                <w:color w:val="auto"/>
                <w:sz w:val="24"/>
                <w:highlight w:val="none"/>
                <w:lang w:val="en-US" w:eastAsia="zh-CN"/>
              </w:rPr>
              <w:t>（9）</w:t>
            </w:r>
            <w:r>
              <w:rPr>
                <w:bCs/>
                <w:color w:val="auto"/>
                <w:sz w:val="24"/>
                <w:highlight w:val="none"/>
              </w:rPr>
              <w:t>地面清洁用水</w:t>
            </w:r>
          </w:p>
          <w:p>
            <w:pPr>
              <w:spacing w:line="360" w:lineRule="auto"/>
              <w:ind w:firstLine="480" w:firstLineChars="200"/>
              <w:rPr>
                <w:color w:val="auto"/>
                <w:sz w:val="24"/>
                <w:highlight w:val="none"/>
              </w:rPr>
            </w:pPr>
            <w:r>
              <w:rPr>
                <w:bCs/>
                <w:color w:val="auto"/>
                <w:sz w:val="24"/>
                <w:highlight w:val="none"/>
              </w:rPr>
              <w:t>车间</w:t>
            </w:r>
            <w:r>
              <w:rPr>
                <w:rFonts w:hint="eastAsia" w:ascii="Times New Roman" w:hAnsi="Times New Roman" w:eastAsia="宋体" w:cs="Times New Roman"/>
                <w:bCs/>
                <w:color w:val="auto"/>
                <w:sz w:val="24"/>
                <w:highlight w:val="none"/>
                <w:lang w:val="en-US" w:eastAsia="zh-CN"/>
              </w:rPr>
              <w:t>地面</w:t>
            </w:r>
            <w:r>
              <w:rPr>
                <w:rFonts w:hint="eastAsia" w:eastAsia="宋体"/>
                <w:bCs/>
                <w:color w:val="auto"/>
                <w:sz w:val="24"/>
                <w:highlight w:val="none"/>
                <w:lang w:val="en-US" w:eastAsia="zh-CN"/>
              </w:rPr>
              <w:t>需每天</w:t>
            </w:r>
            <w:r>
              <w:rPr>
                <w:rFonts w:hint="eastAsia" w:ascii="Times New Roman" w:hAnsi="Times New Roman" w:eastAsia="宋体" w:cs="Times New Roman"/>
                <w:bCs/>
                <w:color w:val="auto"/>
                <w:sz w:val="24"/>
                <w:highlight w:val="none"/>
                <w:lang w:val="en-US" w:eastAsia="zh-CN"/>
              </w:rPr>
              <w:t>进行清洁，项目车</w:t>
            </w:r>
            <w:r>
              <w:rPr>
                <w:bCs/>
                <w:color w:val="auto"/>
                <w:sz w:val="24"/>
                <w:highlight w:val="none"/>
              </w:rPr>
              <w:t>间需清洁面积以</w:t>
            </w:r>
            <w:r>
              <w:rPr>
                <w:rFonts w:hint="eastAsia"/>
                <w:bCs/>
                <w:color w:val="auto"/>
                <w:sz w:val="24"/>
                <w:highlight w:val="none"/>
                <w:lang w:val="en-US" w:eastAsia="zh-CN"/>
              </w:rPr>
              <w:t>13997.7</w:t>
            </w:r>
            <w:r>
              <w:rPr>
                <w:bCs/>
                <w:color w:val="auto"/>
                <w:sz w:val="24"/>
                <w:highlight w:val="none"/>
                <w:lang w:val="zh-CN"/>
              </w:rPr>
              <w:t>m</w:t>
            </w:r>
            <w:r>
              <w:rPr>
                <w:bCs/>
                <w:color w:val="auto"/>
                <w:sz w:val="24"/>
                <w:highlight w:val="none"/>
                <w:vertAlign w:val="superscript"/>
                <w:lang w:val="zh-CN"/>
              </w:rPr>
              <w:t>2</w:t>
            </w:r>
            <w:r>
              <w:rPr>
                <w:bCs/>
                <w:color w:val="auto"/>
                <w:sz w:val="24"/>
                <w:highlight w:val="none"/>
              </w:rPr>
              <w:t>计，</w:t>
            </w:r>
            <w:r>
              <w:rPr>
                <w:rFonts w:hint="eastAsia"/>
                <w:color w:val="auto"/>
                <w:sz w:val="24"/>
                <w:highlight w:val="none"/>
              </w:rPr>
              <w:t>用水量按</w:t>
            </w:r>
            <w:r>
              <w:rPr>
                <w:rFonts w:hint="eastAsia"/>
                <w:color w:val="auto"/>
                <w:sz w:val="24"/>
                <w:highlight w:val="none"/>
                <w:lang w:val="en-US" w:eastAsia="zh-CN"/>
              </w:rPr>
              <w:t>3L</w:t>
            </w:r>
            <w:r>
              <w:rPr>
                <w:rFonts w:hint="eastAsia"/>
                <w:color w:val="auto"/>
                <w:sz w:val="24"/>
                <w:highlight w:val="none"/>
              </w:rPr>
              <w:t>/m</w:t>
            </w:r>
            <w:r>
              <w:rPr>
                <w:rFonts w:hint="eastAsia"/>
                <w:color w:val="auto"/>
                <w:sz w:val="24"/>
                <w:highlight w:val="none"/>
                <w:vertAlign w:val="superscript"/>
              </w:rPr>
              <w:t>2</w:t>
            </w:r>
            <w:r>
              <w:rPr>
                <w:rFonts w:hint="eastAsia"/>
                <w:color w:val="auto"/>
                <w:sz w:val="24"/>
                <w:highlight w:val="none"/>
              </w:rPr>
              <w:t>·d计</w:t>
            </w:r>
            <w:r>
              <w:rPr>
                <w:bCs/>
                <w:color w:val="auto"/>
                <w:sz w:val="24"/>
                <w:highlight w:val="none"/>
              </w:rPr>
              <w:t>，</w:t>
            </w:r>
            <w:r>
              <w:rPr>
                <w:rFonts w:hint="eastAsia"/>
                <w:color w:val="auto"/>
                <w:sz w:val="24"/>
                <w:highlight w:val="none"/>
              </w:rPr>
              <w:t>则地面清洁用水量为</w:t>
            </w:r>
            <w:r>
              <w:rPr>
                <w:rFonts w:hint="eastAsia"/>
                <w:color w:val="auto"/>
                <w:sz w:val="24"/>
                <w:highlight w:val="none"/>
                <w:lang w:val="en-US" w:eastAsia="zh-CN"/>
              </w:rPr>
              <w:t>41.99</w:t>
            </w:r>
            <w:r>
              <w:rPr>
                <w:color w:val="auto"/>
                <w:sz w:val="24"/>
                <w:highlight w:val="none"/>
              </w:rPr>
              <w:t>m</w:t>
            </w:r>
            <w:r>
              <w:rPr>
                <w:color w:val="auto"/>
                <w:sz w:val="24"/>
                <w:highlight w:val="none"/>
                <w:vertAlign w:val="superscript"/>
              </w:rPr>
              <w:t>3</w:t>
            </w:r>
            <w:r>
              <w:rPr>
                <w:color w:val="auto"/>
                <w:sz w:val="24"/>
                <w:highlight w:val="none"/>
              </w:rPr>
              <w:t>/d</w:t>
            </w:r>
            <w:r>
              <w:rPr>
                <w:rFonts w:hint="eastAsia"/>
                <w:bCs/>
                <w:color w:val="auto"/>
                <w:sz w:val="24"/>
                <w:highlight w:val="none"/>
                <w:lang w:eastAsia="zh-CN"/>
              </w:rPr>
              <w:t>，</w:t>
            </w:r>
            <w:r>
              <w:rPr>
                <w:rFonts w:hint="eastAsia"/>
                <w:color w:val="auto"/>
                <w:sz w:val="24"/>
                <w:highlight w:val="none"/>
                <w:lang w:val="en-US" w:eastAsia="zh-CN"/>
              </w:rPr>
              <w:t>12597.93</w:t>
            </w:r>
            <w:r>
              <w:rPr>
                <w:color w:val="auto"/>
                <w:sz w:val="24"/>
                <w:highlight w:val="none"/>
              </w:rPr>
              <w:t>m</w:t>
            </w:r>
            <w:r>
              <w:rPr>
                <w:color w:val="auto"/>
                <w:sz w:val="24"/>
                <w:highlight w:val="none"/>
                <w:vertAlign w:val="superscript"/>
              </w:rPr>
              <w:t>3</w:t>
            </w:r>
            <w:r>
              <w:rPr>
                <w:color w:val="auto"/>
                <w:sz w:val="24"/>
                <w:highlight w:val="none"/>
              </w:rPr>
              <w:t>/a。</w:t>
            </w:r>
            <w:r>
              <w:rPr>
                <w:rFonts w:hint="eastAsia"/>
                <w:bCs/>
                <w:color w:val="auto"/>
                <w:sz w:val="24"/>
                <w:highlight w:val="none"/>
                <w:lang w:val="en-US" w:eastAsia="zh-CN"/>
              </w:rPr>
              <w:t>本项目蒸汽经过冷凝后用于地面清洁，本项目锅炉</w:t>
            </w:r>
            <w:r>
              <w:rPr>
                <w:rFonts w:hint="eastAsia" w:ascii="Times New Roman" w:hAnsi="Times New Roman" w:eastAsia="宋体" w:cs="Times New Roman"/>
                <w:bCs/>
                <w:color w:val="auto"/>
                <w:sz w:val="24"/>
                <w:highlight w:val="none"/>
                <w:lang w:val="en-US" w:eastAsia="zh-CN"/>
              </w:rPr>
              <w:t>软水用量约为</w:t>
            </w:r>
            <w:r>
              <w:rPr>
                <w:rFonts w:hint="eastAsia" w:cs="Times New Roman"/>
                <w:bCs/>
                <w:color w:val="auto"/>
                <w:sz w:val="24"/>
                <w:highlight w:val="none"/>
                <w:lang w:val="en-US" w:eastAsia="zh-CN"/>
              </w:rPr>
              <w:t>24</w:t>
            </w:r>
            <w:r>
              <w:rPr>
                <w:bCs/>
                <w:color w:val="auto"/>
                <w:sz w:val="24"/>
                <w:highlight w:val="none"/>
              </w:rPr>
              <w:t>m</w:t>
            </w:r>
            <w:r>
              <w:rPr>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/d，蒸汽冷凝水损耗量以15%计，则蒸汽冷凝水产生量约为</w:t>
            </w:r>
            <w:r>
              <w:rPr>
                <w:rFonts w:hint="eastAsia" w:cs="Times New Roman"/>
                <w:bCs/>
                <w:color w:val="auto"/>
                <w:sz w:val="24"/>
                <w:highlight w:val="none"/>
                <w:lang w:val="en-US" w:eastAsia="zh-CN"/>
              </w:rPr>
              <w:t>20.4</w:t>
            </w:r>
            <w:r>
              <w:rPr>
                <w:bCs/>
                <w:color w:val="auto"/>
                <w:sz w:val="24"/>
                <w:highlight w:val="none"/>
              </w:rPr>
              <w:t>m</w:t>
            </w:r>
            <w:r>
              <w:rPr>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/d，</w:t>
            </w:r>
            <w:r>
              <w:rPr>
                <w:rFonts w:hint="eastAsia" w:cs="Times New Roman"/>
                <w:bCs/>
                <w:color w:val="auto"/>
                <w:sz w:val="24"/>
                <w:highlight w:val="none"/>
                <w:lang w:val="en-US" w:eastAsia="zh-CN"/>
              </w:rPr>
              <w:t>6120</w:t>
            </w:r>
            <w:r>
              <w:rPr>
                <w:bCs/>
                <w:color w:val="auto"/>
                <w:sz w:val="24"/>
                <w:highlight w:val="none"/>
              </w:rPr>
              <w:t>m</w:t>
            </w:r>
            <w:r>
              <w:rPr>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/a。因此，本项目地面清洁所需新鲜水用量为</w:t>
            </w:r>
            <w:r>
              <w:rPr>
                <w:rFonts w:hint="eastAsia" w:cs="Times New Roman"/>
                <w:bCs/>
                <w:color w:val="auto"/>
                <w:sz w:val="24"/>
                <w:highlight w:val="none"/>
                <w:lang w:val="en-US" w:eastAsia="zh-CN"/>
              </w:rPr>
              <w:t>21.59</w:t>
            </w:r>
            <w:r>
              <w:rPr>
                <w:bCs/>
                <w:color w:val="auto"/>
                <w:sz w:val="24"/>
                <w:highlight w:val="none"/>
              </w:rPr>
              <w:t>m</w:t>
            </w:r>
            <w:r>
              <w:rPr>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/d，</w:t>
            </w:r>
            <w:r>
              <w:rPr>
                <w:rFonts w:hint="eastAsia" w:cs="Times New Roman"/>
                <w:bCs/>
                <w:color w:val="auto"/>
                <w:sz w:val="24"/>
                <w:highlight w:val="none"/>
                <w:lang w:val="en-US" w:eastAsia="zh-CN"/>
              </w:rPr>
              <w:t>6477</w:t>
            </w:r>
            <w:r>
              <w:rPr>
                <w:bCs/>
                <w:color w:val="auto"/>
                <w:sz w:val="24"/>
                <w:highlight w:val="none"/>
              </w:rPr>
              <w:t>m</w:t>
            </w:r>
            <w:r>
              <w:rPr>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/a。</w:t>
            </w:r>
            <w:r>
              <w:rPr>
                <w:bCs/>
                <w:color w:val="auto"/>
                <w:sz w:val="24"/>
                <w:highlight w:val="none"/>
              </w:rPr>
              <w:t>本项目</w:t>
            </w:r>
            <w:r>
              <w:rPr>
                <w:rFonts w:hint="eastAsia"/>
                <w:color w:val="auto"/>
                <w:sz w:val="24"/>
                <w:highlight w:val="none"/>
              </w:rPr>
              <w:t>地面清洁</w:t>
            </w:r>
            <w:r>
              <w:rPr>
                <w:rFonts w:hint="eastAsia"/>
                <w:bCs/>
                <w:color w:val="auto"/>
                <w:sz w:val="24"/>
                <w:highlight w:val="none"/>
              </w:rPr>
              <w:t>废水</w:t>
            </w:r>
            <w:r>
              <w:rPr>
                <w:color w:val="auto"/>
                <w:sz w:val="24"/>
                <w:highlight w:val="none"/>
              </w:rPr>
              <w:t>排污系数</w:t>
            </w:r>
            <w:r>
              <w:rPr>
                <w:bCs/>
                <w:color w:val="auto"/>
                <w:sz w:val="24"/>
                <w:highlight w:val="none"/>
              </w:rPr>
              <w:t>取0.8</w:t>
            </w:r>
            <w:r>
              <w:rPr>
                <w:rFonts w:hint="eastAsia"/>
                <w:bCs/>
                <w:color w:val="auto"/>
                <w:sz w:val="24"/>
                <w:highlight w:val="none"/>
                <w:lang w:val="en-US" w:eastAsia="zh-CN"/>
              </w:rPr>
              <w:t>5</w:t>
            </w:r>
            <w:r>
              <w:rPr>
                <w:rFonts w:hint="eastAsia"/>
                <w:color w:val="auto"/>
                <w:sz w:val="24"/>
                <w:highlight w:val="none"/>
              </w:rPr>
              <w:t>，</w:t>
            </w:r>
            <w:r>
              <w:rPr>
                <w:bCs/>
                <w:color w:val="auto"/>
                <w:sz w:val="24"/>
                <w:highlight w:val="none"/>
              </w:rPr>
              <w:t>则项目</w:t>
            </w:r>
            <w:r>
              <w:rPr>
                <w:rFonts w:hint="eastAsia"/>
                <w:color w:val="auto"/>
                <w:sz w:val="24"/>
                <w:highlight w:val="none"/>
              </w:rPr>
              <w:t>地面清洁</w:t>
            </w:r>
            <w:r>
              <w:rPr>
                <w:rFonts w:hint="eastAsia"/>
                <w:bCs/>
                <w:color w:val="auto"/>
                <w:sz w:val="24"/>
                <w:highlight w:val="none"/>
              </w:rPr>
              <w:t>废水</w:t>
            </w:r>
            <w:r>
              <w:rPr>
                <w:rFonts w:hint="eastAsia"/>
                <w:bCs/>
                <w:color w:val="auto"/>
                <w:sz w:val="24"/>
                <w:highlight w:val="none"/>
                <w:lang w:val="en-US" w:eastAsia="zh-CN"/>
              </w:rPr>
              <w:t>排放</w:t>
            </w:r>
            <w:r>
              <w:rPr>
                <w:color w:val="auto"/>
                <w:sz w:val="24"/>
                <w:highlight w:val="none"/>
              </w:rPr>
              <w:t>量为</w:t>
            </w:r>
            <w:r>
              <w:rPr>
                <w:rFonts w:hint="eastAsia"/>
                <w:color w:val="auto"/>
                <w:sz w:val="24"/>
                <w:highlight w:val="none"/>
                <w:lang w:val="en-US" w:eastAsia="zh-CN"/>
              </w:rPr>
              <w:t>35.69</w:t>
            </w:r>
            <w:r>
              <w:rPr>
                <w:color w:val="auto"/>
                <w:sz w:val="24"/>
                <w:highlight w:val="none"/>
              </w:rPr>
              <w:t>m</w:t>
            </w:r>
            <w:r>
              <w:rPr>
                <w:color w:val="auto"/>
                <w:sz w:val="24"/>
                <w:highlight w:val="none"/>
                <w:vertAlign w:val="superscript"/>
              </w:rPr>
              <w:t>3</w:t>
            </w:r>
            <w:r>
              <w:rPr>
                <w:color w:val="auto"/>
                <w:sz w:val="24"/>
                <w:highlight w:val="none"/>
              </w:rPr>
              <w:t>/d</w:t>
            </w:r>
            <w:r>
              <w:rPr>
                <w:rFonts w:hint="eastAsia"/>
                <w:bCs/>
                <w:color w:val="auto"/>
                <w:sz w:val="24"/>
                <w:highlight w:val="none"/>
                <w:lang w:eastAsia="zh-CN"/>
              </w:rPr>
              <w:t>，</w:t>
            </w:r>
            <w:r>
              <w:rPr>
                <w:rFonts w:hint="eastAsia"/>
                <w:color w:val="auto"/>
                <w:sz w:val="24"/>
                <w:highlight w:val="none"/>
                <w:lang w:val="en-US" w:eastAsia="zh-CN"/>
              </w:rPr>
              <w:t>10707</w:t>
            </w:r>
            <w:r>
              <w:rPr>
                <w:color w:val="auto"/>
                <w:sz w:val="24"/>
                <w:highlight w:val="none"/>
              </w:rPr>
              <w:t>m</w:t>
            </w:r>
            <w:r>
              <w:rPr>
                <w:color w:val="auto"/>
                <w:sz w:val="24"/>
                <w:highlight w:val="none"/>
                <w:vertAlign w:val="superscript"/>
              </w:rPr>
              <w:t>3</w:t>
            </w:r>
            <w:r>
              <w:rPr>
                <w:color w:val="auto"/>
                <w:sz w:val="24"/>
                <w:highlight w:val="none"/>
              </w:rPr>
              <w:t>/a。</w:t>
            </w:r>
          </w:p>
          <w:p>
            <w:pPr>
              <w:spacing w:line="360" w:lineRule="auto"/>
              <w:ind w:firstLine="480" w:firstLineChars="200"/>
              <w:rPr>
                <w:rFonts w:hint="default"/>
                <w:bCs/>
                <w:color w:val="auto"/>
                <w:sz w:val="24"/>
                <w:highlight w:val="none"/>
                <w:lang w:val="en-US" w:eastAsia="zh-CN"/>
              </w:rPr>
            </w:pPr>
            <w:r>
              <w:rPr>
                <w:rFonts w:hint="eastAsia"/>
                <w:bCs/>
                <w:color w:val="auto"/>
                <w:sz w:val="24"/>
                <w:highlight w:val="none"/>
                <w:lang w:val="en-US" w:eastAsia="zh-CN"/>
              </w:rPr>
              <w:t>综上，本项目新增最大用水量124.32</w:t>
            </w:r>
            <w:r>
              <w:rPr>
                <w:color w:val="auto"/>
                <w:sz w:val="24"/>
                <w:highlight w:val="none"/>
              </w:rPr>
              <w:t>m</w:t>
            </w:r>
            <w:r>
              <w:rPr>
                <w:color w:val="auto"/>
                <w:sz w:val="24"/>
                <w:highlight w:val="none"/>
                <w:vertAlign w:val="superscript"/>
              </w:rPr>
              <w:t>3</w:t>
            </w:r>
            <w:r>
              <w:rPr>
                <w:color w:val="auto"/>
                <w:sz w:val="24"/>
                <w:highlight w:val="none"/>
              </w:rPr>
              <w:t>/d</w:t>
            </w:r>
            <w:r>
              <w:rPr>
                <w:rFonts w:hint="eastAsia"/>
                <w:bCs/>
                <w:color w:val="auto"/>
                <w:sz w:val="24"/>
                <w:highlight w:val="none"/>
                <w:lang w:eastAsia="zh-CN"/>
              </w:rPr>
              <w:t>，</w:t>
            </w:r>
            <w:r>
              <w:rPr>
                <w:rFonts w:hint="eastAsia"/>
                <w:color w:val="auto"/>
                <w:sz w:val="24"/>
                <w:highlight w:val="none"/>
                <w:lang w:val="en-US" w:eastAsia="zh-CN"/>
              </w:rPr>
              <w:t>35591.8</w:t>
            </w:r>
            <w:r>
              <w:rPr>
                <w:color w:val="auto"/>
                <w:sz w:val="24"/>
                <w:highlight w:val="none"/>
              </w:rPr>
              <w:t>m</w:t>
            </w:r>
            <w:r>
              <w:rPr>
                <w:color w:val="auto"/>
                <w:sz w:val="24"/>
                <w:highlight w:val="none"/>
                <w:vertAlign w:val="superscript"/>
              </w:rPr>
              <w:t>3</w:t>
            </w:r>
            <w:r>
              <w:rPr>
                <w:color w:val="auto"/>
                <w:sz w:val="24"/>
                <w:highlight w:val="none"/>
              </w:rPr>
              <w:t>/a</w:t>
            </w:r>
            <w:r>
              <w:rPr>
                <w:rFonts w:hint="eastAsia"/>
                <w:bCs/>
                <w:color w:val="auto"/>
                <w:sz w:val="24"/>
                <w:highlight w:val="none"/>
                <w:lang w:val="en-US" w:eastAsia="zh-CN"/>
              </w:rPr>
              <w:t>，新增最大废水量97.17</w:t>
            </w:r>
            <w:r>
              <w:rPr>
                <w:color w:val="auto"/>
                <w:sz w:val="24"/>
                <w:highlight w:val="none"/>
              </w:rPr>
              <w:t>m</w:t>
            </w:r>
            <w:r>
              <w:rPr>
                <w:color w:val="auto"/>
                <w:sz w:val="24"/>
                <w:highlight w:val="none"/>
                <w:vertAlign w:val="superscript"/>
              </w:rPr>
              <w:t>3</w:t>
            </w:r>
            <w:r>
              <w:rPr>
                <w:color w:val="auto"/>
                <w:sz w:val="24"/>
                <w:highlight w:val="none"/>
              </w:rPr>
              <w:t>/d</w:t>
            </w:r>
            <w:r>
              <w:rPr>
                <w:rFonts w:hint="eastAsia"/>
                <w:bCs/>
                <w:color w:val="auto"/>
                <w:sz w:val="24"/>
                <w:highlight w:val="none"/>
                <w:lang w:eastAsia="zh-CN"/>
              </w:rPr>
              <w:t>，</w:t>
            </w:r>
            <w:r>
              <w:rPr>
                <w:rFonts w:hint="eastAsia"/>
                <w:color w:val="auto"/>
                <w:sz w:val="24"/>
                <w:highlight w:val="none"/>
                <w:lang w:val="en-US" w:eastAsia="zh-CN"/>
              </w:rPr>
              <w:t>27722.3</w:t>
            </w:r>
            <w:r>
              <w:rPr>
                <w:color w:val="auto"/>
                <w:sz w:val="24"/>
                <w:highlight w:val="none"/>
              </w:rPr>
              <w:t>m</w:t>
            </w:r>
            <w:r>
              <w:rPr>
                <w:color w:val="auto"/>
                <w:sz w:val="24"/>
                <w:highlight w:val="none"/>
                <w:vertAlign w:val="superscript"/>
              </w:rPr>
              <w:t>3</w:t>
            </w:r>
            <w:r>
              <w:rPr>
                <w:color w:val="auto"/>
                <w:sz w:val="24"/>
                <w:highlight w:val="none"/>
              </w:rPr>
              <w:t>/a</w:t>
            </w:r>
            <w:r>
              <w:rPr>
                <w:rFonts w:hint="eastAsia"/>
                <w:bCs/>
                <w:color w:val="auto"/>
                <w:sz w:val="24"/>
                <w:highlight w:val="none"/>
                <w:lang w:val="en-US" w:eastAsia="zh-CN"/>
              </w:rPr>
              <w:t>。</w:t>
            </w:r>
          </w:p>
          <w:p>
            <w:pPr>
              <w:adjustRightInd w:val="0"/>
              <w:snapToGrid w:val="0"/>
              <w:spacing w:line="360" w:lineRule="auto"/>
              <w:jc w:val="center"/>
              <w:rPr>
                <w:b/>
                <w:bCs/>
                <w:color w:val="auto"/>
                <w:szCs w:val="21"/>
                <w:highlight w:val="none"/>
                <w:shd w:val="clear" w:color="auto" w:fill="FFFFFF"/>
              </w:rPr>
            </w:pPr>
            <w:r>
              <w:rPr>
                <w:b/>
                <w:bCs/>
                <w:color w:val="auto"/>
                <w:szCs w:val="21"/>
                <w:highlight w:val="none"/>
                <w:shd w:val="clear" w:color="auto" w:fill="FFFFFF"/>
              </w:rPr>
              <w:t>表</w:t>
            </w:r>
            <w:r>
              <w:rPr>
                <w:rFonts w:hint="eastAsia"/>
                <w:b/>
                <w:bCs/>
                <w:color w:val="auto"/>
                <w:szCs w:val="21"/>
                <w:highlight w:val="none"/>
                <w:shd w:val="clear" w:color="auto" w:fill="FFFFFF"/>
              </w:rPr>
              <w:t>2-</w:t>
            </w:r>
            <w:r>
              <w:rPr>
                <w:rFonts w:hint="eastAsia"/>
                <w:b/>
                <w:bCs/>
                <w:color w:val="auto"/>
                <w:szCs w:val="21"/>
                <w:highlight w:val="none"/>
                <w:shd w:val="clear" w:color="auto" w:fill="FFFFFF"/>
                <w:lang w:val="en-US" w:eastAsia="zh-CN"/>
              </w:rPr>
              <w:t>10</w:t>
            </w:r>
            <w:r>
              <w:rPr>
                <w:b/>
                <w:bCs/>
                <w:color w:val="auto"/>
                <w:szCs w:val="21"/>
                <w:highlight w:val="none"/>
                <w:shd w:val="clear" w:color="auto" w:fill="FFFFFF"/>
              </w:rPr>
              <w:t xml:space="preserve">  用水</w:t>
            </w:r>
            <w:r>
              <w:rPr>
                <w:rFonts w:hint="eastAsia"/>
                <w:b/>
                <w:bCs/>
                <w:color w:val="auto"/>
                <w:szCs w:val="21"/>
                <w:highlight w:val="none"/>
                <w:shd w:val="clear" w:color="auto" w:fill="FFFFFF"/>
              </w:rPr>
              <w:t>及排水</w:t>
            </w:r>
            <w:r>
              <w:rPr>
                <w:b/>
                <w:bCs/>
                <w:color w:val="auto"/>
                <w:szCs w:val="21"/>
                <w:highlight w:val="none"/>
                <w:shd w:val="clear" w:color="auto" w:fill="FFFFFF"/>
              </w:rPr>
              <w:t>情况</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82"/>
              <w:gridCol w:w="1356"/>
              <w:gridCol w:w="1126"/>
              <w:gridCol w:w="1157"/>
              <w:gridCol w:w="796"/>
              <w:gridCol w:w="903"/>
              <w:gridCol w:w="910"/>
              <w:gridCol w:w="772"/>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0" w:hRule="atLeast"/>
                <w:jc w:val="center"/>
              </w:trPr>
              <w:tc>
                <w:tcPr>
                  <w:tcW w:w="287" w:type="pct"/>
                  <w:vMerge w:val="restart"/>
                  <w:noWrap w:val="0"/>
                  <w:vAlign w:val="center"/>
                </w:tcPr>
                <w:p>
                  <w:pPr>
                    <w:pStyle w:val="3"/>
                    <w:jc w:val="center"/>
                    <w:outlineLvl w:val="1"/>
                    <w:rPr>
                      <w:rFonts w:eastAsia="宋体"/>
                      <w:color w:val="auto"/>
                      <w:sz w:val="21"/>
                      <w:szCs w:val="21"/>
                      <w:highlight w:val="none"/>
                    </w:rPr>
                  </w:pPr>
                  <w:r>
                    <w:rPr>
                      <w:rFonts w:eastAsia="宋体"/>
                      <w:color w:val="auto"/>
                      <w:sz w:val="21"/>
                      <w:szCs w:val="21"/>
                      <w:highlight w:val="none"/>
                    </w:rPr>
                    <w:t>序号</w:t>
                  </w:r>
                </w:p>
              </w:tc>
              <w:tc>
                <w:tcPr>
                  <w:tcW w:w="806" w:type="pct"/>
                  <w:vMerge w:val="restart"/>
                  <w:noWrap w:val="0"/>
                  <w:vAlign w:val="center"/>
                </w:tcPr>
                <w:p>
                  <w:pPr>
                    <w:pStyle w:val="3"/>
                    <w:jc w:val="center"/>
                    <w:outlineLvl w:val="1"/>
                    <w:rPr>
                      <w:rFonts w:eastAsia="宋体"/>
                      <w:color w:val="auto"/>
                      <w:sz w:val="21"/>
                      <w:szCs w:val="21"/>
                      <w:highlight w:val="none"/>
                    </w:rPr>
                  </w:pPr>
                  <w:r>
                    <w:rPr>
                      <w:rFonts w:eastAsia="宋体"/>
                      <w:color w:val="auto"/>
                      <w:sz w:val="21"/>
                      <w:szCs w:val="21"/>
                      <w:highlight w:val="none"/>
                    </w:rPr>
                    <w:t>用水对象</w:t>
                  </w:r>
                </w:p>
              </w:tc>
              <w:tc>
                <w:tcPr>
                  <w:tcW w:w="669" w:type="pct"/>
                  <w:vMerge w:val="restart"/>
                  <w:noWrap w:val="0"/>
                  <w:vAlign w:val="center"/>
                </w:tcPr>
                <w:p>
                  <w:pPr>
                    <w:pStyle w:val="3"/>
                    <w:jc w:val="center"/>
                    <w:outlineLvl w:val="1"/>
                    <w:rPr>
                      <w:rFonts w:eastAsia="宋体"/>
                      <w:color w:val="auto"/>
                      <w:sz w:val="21"/>
                      <w:szCs w:val="21"/>
                      <w:highlight w:val="none"/>
                    </w:rPr>
                  </w:pPr>
                  <w:r>
                    <w:rPr>
                      <w:rFonts w:eastAsia="宋体"/>
                      <w:color w:val="auto"/>
                      <w:sz w:val="21"/>
                      <w:szCs w:val="21"/>
                      <w:highlight w:val="none"/>
                    </w:rPr>
                    <w:t>规模</w:t>
                  </w:r>
                </w:p>
              </w:tc>
              <w:tc>
                <w:tcPr>
                  <w:tcW w:w="688" w:type="pct"/>
                  <w:vMerge w:val="restart"/>
                  <w:noWrap w:val="0"/>
                  <w:vAlign w:val="center"/>
                </w:tcPr>
                <w:p>
                  <w:pPr>
                    <w:pStyle w:val="3"/>
                    <w:jc w:val="center"/>
                    <w:outlineLvl w:val="1"/>
                    <w:rPr>
                      <w:rFonts w:eastAsia="宋体"/>
                      <w:color w:val="auto"/>
                      <w:sz w:val="21"/>
                      <w:szCs w:val="21"/>
                      <w:highlight w:val="none"/>
                    </w:rPr>
                  </w:pPr>
                  <w:r>
                    <w:rPr>
                      <w:rFonts w:eastAsia="宋体"/>
                      <w:color w:val="auto"/>
                      <w:sz w:val="21"/>
                      <w:szCs w:val="21"/>
                      <w:highlight w:val="none"/>
                    </w:rPr>
                    <w:t>用水标准</w:t>
                  </w:r>
                </w:p>
              </w:tc>
              <w:tc>
                <w:tcPr>
                  <w:tcW w:w="1010" w:type="pct"/>
                  <w:gridSpan w:val="2"/>
                  <w:noWrap w:val="0"/>
                  <w:vAlign w:val="center"/>
                </w:tcPr>
                <w:p>
                  <w:pPr>
                    <w:pStyle w:val="3"/>
                    <w:jc w:val="center"/>
                    <w:outlineLvl w:val="1"/>
                    <w:rPr>
                      <w:rFonts w:hint="eastAsia" w:eastAsia="宋体"/>
                      <w:color w:val="auto"/>
                      <w:sz w:val="21"/>
                      <w:szCs w:val="21"/>
                      <w:highlight w:val="none"/>
                    </w:rPr>
                  </w:pPr>
                  <w:r>
                    <w:rPr>
                      <w:rFonts w:hint="eastAsia" w:eastAsia="宋体"/>
                      <w:color w:val="auto"/>
                      <w:sz w:val="21"/>
                      <w:szCs w:val="21"/>
                      <w:highlight w:val="none"/>
                    </w:rPr>
                    <w:t>最大</w:t>
                  </w:r>
                  <w:r>
                    <w:rPr>
                      <w:rFonts w:eastAsia="宋体"/>
                      <w:color w:val="auto"/>
                      <w:sz w:val="21"/>
                      <w:szCs w:val="21"/>
                      <w:highlight w:val="none"/>
                    </w:rPr>
                    <w:t>用水量</w:t>
                  </w:r>
                </w:p>
              </w:tc>
              <w:tc>
                <w:tcPr>
                  <w:tcW w:w="541" w:type="pct"/>
                  <w:vMerge w:val="restart"/>
                  <w:noWrap w:val="0"/>
                  <w:vAlign w:val="center"/>
                </w:tcPr>
                <w:p>
                  <w:pPr>
                    <w:pStyle w:val="3"/>
                    <w:jc w:val="center"/>
                    <w:outlineLvl w:val="1"/>
                    <w:rPr>
                      <w:rFonts w:eastAsia="宋体"/>
                      <w:color w:val="auto"/>
                      <w:sz w:val="21"/>
                      <w:szCs w:val="21"/>
                      <w:highlight w:val="none"/>
                    </w:rPr>
                  </w:pPr>
                  <w:r>
                    <w:rPr>
                      <w:rFonts w:hint="eastAsia" w:eastAsia="宋体"/>
                      <w:color w:val="auto"/>
                      <w:sz w:val="21"/>
                      <w:szCs w:val="21"/>
                      <w:highlight w:val="none"/>
                    </w:rPr>
                    <w:t>产污系数</w:t>
                  </w:r>
                </w:p>
              </w:tc>
              <w:tc>
                <w:tcPr>
                  <w:tcW w:w="995" w:type="pct"/>
                  <w:gridSpan w:val="2"/>
                  <w:noWrap w:val="0"/>
                  <w:vAlign w:val="center"/>
                </w:tcPr>
                <w:p>
                  <w:pPr>
                    <w:pStyle w:val="3"/>
                    <w:jc w:val="center"/>
                    <w:outlineLvl w:val="1"/>
                    <w:rPr>
                      <w:rFonts w:eastAsia="宋体"/>
                      <w:color w:val="auto"/>
                      <w:sz w:val="21"/>
                      <w:szCs w:val="21"/>
                      <w:highlight w:val="none"/>
                    </w:rPr>
                  </w:pPr>
                  <w:r>
                    <w:rPr>
                      <w:rFonts w:hint="eastAsia" w:eastAsia="宋体"/>
                      <w:color w:val="auto"/>
                      <w:sz w:val="21"/>
                      <w:szCs w:val="21"/>
                      <w:highlight w:val="none"/>
                    </w:rPr>
                    <w:t>最大废水</w:t>
                  </w:r>
                  <w:r>
                    <w:rPr>
                      <w:rFonts w:eastAsia="宋体"/>
                      <w:color w:val="auto"/>
                      <w:sz w:val="21"/>
                      <w:szCs w:val="21"/>
                      <w:highlight w:val="none"/>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4" w:hRule="atLeast"/>
                <w:jc w:val="center"/>
              </w:trPr>
              <w:tc>
                <w:tcPr>
                  <w:tcW w:w="287" w:type="pct"/>
                  <w:vMerge w:val="continue"/>
                  <w:noWrap w:val="0"/>
                  <w:vAlign w:val="center"/>
                </w:tcPr>
                <w:p>
                  <w:pPr>
                    <w:pStyle w:val="3"/>
                    <w:jc w:val="center"/>
                    <w:outlineLvl w:val="1"/>
                    <w:rPr>
                      <w:rFonts w:eastAsia="宋体"/>
                      <w:color w:val="auto"/>
                      <w:sz w:val="21"/>
                      <w:szCs w:val="21"/>
                      <w:highlight w:val="none"/>
                    </w:rPr>
                  </w:pPr>
                </w:p>
              </w:tc>
              <w:tc>
                <w:tcPr>
                  <w:tcW w:w="806" w:type="pct"/>
                  <w:vMerge w:val="continue"/>
                  <w:noWrap w:val="0"/>
                  <w:vAlign w:val="center"/>
                </w:tcPr>
                <w:p>
                  <w:pPr>
                    <w:pStyle w:val="3"/>
                    <w:jc w:val="center"/>
                    <w:outlineLvl w:val="1"/>
                    <w:rPr>
                      <w:rFonts w:eastAsia="宋体"/>
                      <w:color w:val="auto"/>
                      <w:sz w:val="21"/>
                      <w:szCs w:val="21"/>
                      <w:highlight w:val="none"/>
                    </w:rPr>
                  </w:pPr>
                </w:p>
              </w:tc>
              <w:tc>
                <w:tcPr>
                  <w:tcW w:w="669" w:type="pct"/>
                  <w:vMerge w:val="continue"/>
                  <w:noWrap w:val="0"/>
                  <w:vAlign w:val="center"/>
                </w:tcPr>
                <w:p>
                  <w:pPr>
                    <w:pStyle w:val="3"/>
                    <w:jc w:val="center"/>
                    <w:outlineLvl w:val="1"/>
                    <w:rPr>
                      <w:rFonts w:eastAsia="宋体"/>
                      <w:color w:val="auto"/>
                      <w:sz w:val="21"/>
                      <w:szCs w:val="21"/>
                      <w:highlight w:val="none"/>
                    </w:rPr>
                  </w:pPr>
                </w:p>
              </w:tc>
              <w:tc>
                <w:tcPr>
                  <w:tcW w:w="688" w:type="pct"/>
                  <w:vMerge w:val="continue"/>
                  <w:noWrap w:val="0"/>
                  <w:vAlign w:val="center"/>
                </w:tcPr>
                <w:p>
                  <w:pPr>
                    <w:pStyle w:val="3"/>
                    <w:jc w:val="center"/>
                    <w:outlineLvl w:val="1"/>
                    <w:rPr>
                      <w:rFonts w:eastAsia="宋体"/>
                      <w:color w:val="auto"/>
                      <w:sz w:val="21"/>
                      <w:szCs w:val="21"/>
                      <w:highlight w:val="none"/>
                    </w:rPr>
                  </w:pPr>
                </w:p>
              </w:tc>
              <w:tc>
                <w:tcPr>
                  <w:tcW w:w="473" w:type="pct"/>
                  <w:noWrap w:val="0"/>
                  <w:vAlign w:val="center"/>
                </w:tcPr>
                <w:p>
                  <w:pPr>
                    <w:pStyle w:val="3"/>
                    <w:jc w:val="center"/>
                    <w:outlineLvl w:val="1"/>
                    <w:rPr>
                      <w:rFonts w:hint="eastAsia" w:eastAsia="宋体"/>
                      <w:color w:val="auto"/>
                      <w:sz w:val="21"/>
                      <w:szCs w:val="21"/>
                      <w:highlight w:val="none"/>
                    </w:rPr>
                  </w:pPr>
                  <w:r>
                    <w:rPr>
                      <w:rFonts w:eastAsia="宋体"/>
                      <w:bCs w:val="0"/>
                      <w:color w:val="auto"/>
                      <w:sz w:val="21"/>
                      <w:szCs w:val="21"/>
                      <w:highlight w:val="none"/>
                    </w:rPr>
                    <w:t>m</w:t>
                  </w:r>
                  <w:r>
                    <w:rPr>
                      <w:rFonts w:hint="eastAsia" w:eastAsia="宋体"/>
                      <w:bCs w:val="0"/>
                      <w:color w:val="auto"/>
                      <w:sz w:val="21"/>
                      <w:szCs w:val="21"/>
                      <w:highlight w:val="none"/>
                      <w:vertAlign w:val="superscript"/>
                    </w:rPr>
                    <w:t>3</w:t>
                  </w:r>
                  <w:r>
                    <w:rPr>
                      <w:rFonts w:eastAsia="宋体"/>
                      <w:bCs w:val="0"/>
                      <w:color w:val="auto"/>
                      <w:sz w:val="21"/>
                      <w:szCs w:val="21"/>
                      <w:highlight w:val="none"/>
                    </w:rPr>
                    <w:t>/</w:t>
                  </w:r>
                  <w:r>
                    <w:rPr>
                      <w:rFonts w:hint="eastAsia" w:eastAsia="宋体"/>
                      <w:bCs w:val="0"/>
                      <w:color w:val="auto"/>
                      <w:sz w:val="21"/>
                      <w:szCs w:val="21"/>
                      <w:highlight w:val="none"/>
                    </w:rPr>
                    <w:t>d</w:t>
                  </w:r>
                </w:p>
              </w:tc>
              <w:tc>
                <w:tcPr>
                  <w:tcW w:w="537" w:type="pct"/>
                  <w:noWrap w:val="0"/>
                  <w:vAlign w:val="center"/>
                </w:tcPr>
                <w:p>
                  <w:pPr>
                    <w:pStyle w:val="3"/>
                    <w:jc w:val="center"/>
                    <w:outlineLvl w:val="1"/>
                    <w:rPr>
                      <w:rFonts w:hint="eastAsia" w:eastAsia="宋体"/>
                      <w:color w:val="auto"/>
                      <w:sz w:val="21"/>
                      <w:szCs w:val="21"/>
                      <w:highlight w:val="none"/>
                      <w:lang w:val="en-US" w:eastAsia="zh-CN"/>
                    </w:rPr>
                  </w:pPr>
                  <w:r>
                    <w:rPr>
                      <w:rFonts w:eastAsia="宋体"/>
                      <w:bCs w:val="0"/>
                      <w:color w:val="auto"/>
                      <w:sz w:val="21"/>
                      <w:szCs w:val="21"/>
                      <w:highlight w:val="none"/>
                    </w:rPr>
                    <w:t>m</w:t>
                  </w:r>
                  <w:r>
                    <w:rPr>
                      <w:rFonts w:hint="eastAsia" w:eastAsia="宋体"/>
                      <w:bCs w:val="0"/>
                      <w:color w:val="auto"/>
                      <w:sz w:val="21"/>
                      <w:szCs w:val="21"/>
                      <w:highlight w:val="none"/>
                      <w:vertAlign w:val="superscript"/>
                    </w:rPr>
                    <w:t>3</w:t>
                  </w:r>
                  <w:r>
                    <w:rPr>
                      <w:rFonts w:eastAsia="宋体"/>
                      <w:bCs w:val="0"/>
                      <w:color w:val="auto"/>
                      <w:sz w:val="21"/>
                      <w:szCs w:val="21"/>
                      <w:highlight w:val="none"/>
                    </w:rPr>
                    <w:t>/</w:t>
                  </w:r>
                  <w:r>
                    <w:rPr>
                      <w:rFonts w:hint="eastAsia" w:eastAsia="宋体"/>
                      <w:bCs w:val="0"/>
                      <w:color w:val="auto"/>
                      <w:sz w:val="21"/>
                      <w:szCs w:val="21"/>
                      <w:highlight w:val="none"/>
                      <w:lang w:val="en-US" w:eastAsia="zh-CN"/>
                    </w:rPr>
                    <w:t>a</w:t>
                  </w:r>
                </w:p>
              </w:tc>
              <w:tc>
                <w:tcPr>
                  <w:tcW w:w="541" w:type="pct"/>
                  <w:vMerge w:val="continue"/>
                  <w:noWrap w:val="0"/>
                  <w:vAlign w:val="center"/>
                </w:tcPr>
                <w:p>
                  <w:pPr>
                    <w:pStyle w:val="3"/>
                    <w:jc w:val="center"/>
                    <w:outlineLvl w:val="1"/>
                    <w:rPr>
                      <w:rFonts w:hint="eastAsia" w:eastAsia="宋体"/>
                      <w:color w:val="auto"/>
                      <w:sz w:val="21"/>
                      <w:szCs w:val="21"/>
                      <w:highlight w:val="none"/>
                    </w:rPr>
                  </w:pPr>
                </w:p>
              </w:tc>
              <w:tc>
                <w:tcPr>
                  <w:tcW w:w="458" w:type="pct"/>
                  <w:noWrap w:val="0"/>
                  <w:vAlign w:val="center"/>
                </w:tcPr>
                <w:p>
                  <w:pPr>
                    <w:pStyle w:val="3"/>
                    <w:jc w:val="center"/>
                    <w:outlineLvl w:val="1"/>
                    <w:rPr>
                      <w:rFonts w:hint="eastAsia" w:ascii="Times New Roman" w:hAnsi="Times New Roman" w:eastAsia="宋体"/>
                      <w:b/>
                      <w:bCs/>
                      <w:color w:val="auto"/>
                      <w:kern w:val="2"/>
                      <w:sz w:val="21"/>
                      <w:szCs w:val="21"/>
                      <w:highlight w:val="none"/>
                      <w:lang w:val="en-US" w:eastAsia="zh-CN" w:bidi="ar-SA"/>
                    </w:rPr>
                  </w:pPr>
                  <w:r>
                    <w:rPr>
                      <w:rFonts w:eastAsia="宋体"/>
                      <w:bCs w:val="0"/>
                      <w:color w:val="auto"/>
                      <w:sz w:val="21"/>
                      <w:szCs w:val="21"/>
                      <w:highlight w:val="none"/>
                    </w:rPr>
                    <w:t>m</w:t>
                  </w:r>
                  <w:r>
                    <w:rPr>
                      <w:rFonts w:hint="eastAsia" w:eastAsia="宋体"/>
                      <w:bCs w:val="0"/>
                      <w:color w:val="auto"/>
                      <w:sz w:val="21"/>
                      <w:szCs w:val="21"/>
                      <w:highlight w:val="none"/>
                      <w:vertAlign w:val="superscript"/>
                    </w:rPr>
                    <w:t>3</w:t>
                  </w:r>
                  <w:r>
                    <w:rPr>
                      <w:rFonts w:eastAsia="宋体"/>
                      <w:bCs w:val="0"/>
                      <w:color w:val="auto"/>
                      <w:sz w:val="21"/>
                      <w:szCs w:val="21"/>
                      <w:highlight w:val="none"/>
                    </w:rPr>
                    <w:t>/</w:t>
                  </w:r>
                  <w:r>
                    <w:rPr>
                      <w:rFonts w:hint="eastAsia" w:eastAsia="宋体"/>
                      <w:bCs w:val="0"/>
                      <w:color w:val="auto"/>
                      <w:sz w:val="21"/>
                      <w:szCs w:val="21"/>
                      <w:highlight w:val="none"/>
                    </w:rPr>
                    <w:t>d</w:t>
                  </w:r>
                </w:p>
              </w:tc>
              <w:tc>
                <w:tcPr>
                  <w:tcW w:w="537" w:type="pct"/>
                  <w:noWrap w:val="0"/>
                  <w:vAlign w:val="center"/>
                </w:tcPr>
                <w:p>
                  <w:pPr>
                    <w:pStyle w:val="3"/>
                    <w:jc w:val="center"/>
                    <w:outlineLvl w:val="1"/>
                    <w:rPr>
                      <w:rFonts w:hint="eastAsia" w:ascii="Times New Roman" w:hAnsi="Times New Roman" w:eastAsia="宋体"/>
                      <w:b/>
                      <w:bCs/>
                      <w:color w:val="auto"/>
                      <w:kern w:val="2"/>
                      <w:sz w:val="21"/>
                      <w:szCs w:val="21"/>
                      <w:highlight w:val="none"/>
                      <w:lang w:val="en-US" w:eastAsia="zh-CN" w:bidi="ar-SA"/>
                    </w:rPr>
                  </w:pPr>
                  <w:r>
                    <w:rPr>
                      <w:rFonts w:eastAsia="宋体"/>
                      <w:bCs w:val="0"/>
                      <w:color w:val="auto"/>
                      <w:sz w:val="21"/>
                      <w:szCs w:val="21"/>
                      <w:highlight w:val="none"/>
                    </w:rPr>
                    <w:t>m</w:t>
                  </w:r>
                  <w:r>
                    <w:rPr>
                      <w:rFonts w:hint="eastAsia" w:eastAsia="宋体"/>
                      <w:bCs w:val="0"/>
                      <w:color w:val="auto"/>
                      <w:sz w:val="21"/>
                      <w:szCs w:val="21"/>
                      <w:highlight w:val="none"/>
                      <w:vertAlign w:val="superscript"/>
                    </w:rPr>
                    <w:t>3</w:t>
                  </w:r>
                  <w:r>
                    <w:rPr>
                      <w:rFonts w:eastAsia="宋体"/>
                      <w:bCs w:val="0"/>
                      <w:color w:val="auto"/>
                      <w:sz w:val="21"/>
                      <w:szCs w:val="21"/>
                      <w:highlight w:val="none"/>
                    </w:rPr>
                    <w:t>/</w:t>
                  </w:r>
                  <w:r>
                    <w:rPr>
                      <w:rFonts w:hint="eastAsia" w:eastAsia="宋体"/>
                      <w:bCs w:val="0"/>
                      <w:color w:val="auto"/>
                      <w:sz w:val="21"/>
                      <w:szCs w:val="21"/>
                      <w:highlight w:val="no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87" w:type="pct"/>
                  <w:noWrap w:val="0"/>
                  <w:vAlign w:val="center"/>
                </w:tcPr>
                <w:p>
                  <w:pPr>
                    <w:pStyle w:val="3"/>
                    <w:jc w:val="center"/>
                    <w:outlineLvl w:val="1"/>
                    <w:rPr>
                      <w:rFonts w:eastAsia="宋体"/>
                      <w:b w:val="0"/>
                      <w:bCs w:val="0"/>
                      <w:color w:val="auto"/>
                      <w:sz w:val="21"/>
                      <w:szCs w:val="21"/>
                      <w:highlight w:val="none"/>
                    </w:rPr>
                  </w:pPr>
                  <w:r>
                    <w:rPr>
                      <w:rFonts w:eastAsia="宋体"/>
                      <w:b w:val="0"/>
                      <w:bCs w:val="0"/>
                      <w:color w:val="auto"/>
                      <w:sz w:val="21"/>
                      <w:szCs w:val="21"/>
                      <w:highlight w:val="none"/>
                    </w:rPr>
                    <w:t>1</w:t>
                  </w:r>
                </w:p>
              </w:tc>
              <w:tc>
                <w:tcPr>
                  <w:tcW w:w="806" w:type="pct"/>
                  <w:noWrap w:val="0"/>
                  <w:vAlign w:val="center"/>
                </w:tcPr>
                <w:p>
                  <w:pPr>
                    <w:pStyle w:val="3"/>
                    <w:jc w:val="center"/>
                    <w:outlineLvl w:val="1"/>
                    <w:rPr>
                      <w:rFonts w:eastAsia="宋体"/>
                      <w:b w:val="0"/>
                      <w:bCs w:val="0"/>
                      <w:color w:val="auto"/>
                      <w:sz w:val="21"/>
                      <w:szCs w:val="21"/>
                      <w:highlight w:val="none"/>
                    </w:rPr>
                  </w:pPr>
                  <w:r>
                    <w:rPr>
                      <w:rFonts w:hint="eastAsia" w:eastAsia="宋体"/>
                      <w:b w:val="0"/>
                      <w:bCs w:val="0"/>
                      <w:color w:val="auto"/>
                      <w:sz w:val="21"/>
                      <w:szCs w:val="21"/>
                      <w:highlight w:val="none"/>
                    </w:rPr>
                    <w:t>生活用水</w:t>
                  </w:r>
                </w:p>
              </w:tc>
              <w:tc>
                <w:tcPr>
                  <w:tcW w:w="669" w:type="pct"/>
                  <w:noWrap w:val="0"/>
                  <w:vAlign w:val="center"/>
                </w:tcPr>
                <w:p>
                  <w:pPr>
                    <w:pStyle w:val="3"/>
                    <w:jc w:val="center"/>
                    <w:outlineLvl w:val="1"/>
                    <w:rPr>
                      <w:rFonts w:eastAsia="宋体"/>
                      <w:b w:val="0"/>
                      <w:bCs w:val="0"/>
                      <w:color w:val="auto"/>
                      <w:sz w:val="21"/>
                      <w:szCs w:val="21"/>
                      <w:highlight w:val="none"/>
                    </w:rPr>
                  </w:pPr>
                  <w:r>
                    <w:rPr>
                      <w:rFonts w:hint="eastAsia" w:eastAsia="宋体"/>
                      <w:b w:val="0"/>
                      <w:bCs w:val="0"/>
                      <w:color w:val="auto"/>
                      <w:sz w:val="21"/>
                      <w:szCs w:val="21"/>
                      <w:highlight w:val="none"/>
                      <w:lang w:val="en-US" w:eastAsia="zh-CN"/>
                    </w:rPr>
                    <w:t>80</w:t>
                  </w:r>
                  <w:r>
                    <w:rPr>
                      <w:rFonts w:hint="eastAsia" w:eastAsia="宋体"/>
                      <w:b w:val="0"/>
                      <w:bCs w:val="0"/>
                      <w:color w:val="auto"/>
                      <w:sz w:val="21"/>
                      <w:szCs w:val="21"/>
                      <w:highlight w:val="none"/>
                    </w:rPr>
                    <w:t>人</w:t>
                  </w:r>
                </w:p>
              </w:tc>
              <w:tc>
                <w:tcPr>
                  <w:tcW w:w="688" w:type="pct"/>
                  <w:noWrap w:val="0"/>
                  <w:vAlign w:val="center"/>
                </w:tcPr>
                <w:p>
                  <w:pPr>
                    <w:pStyle w:val="3"/>
                    <w:jc w:val="center"/>
                    <w:outlineLvl w:val="1"/>
                    <w:rPr>
                      <w:rFonts w:eastAsia="宋体"/>
                      <w:b w:val="0"/>
                      <w:bCs w:val="0"/>
                      <w:color w:val="auto"/>
                      <w:sz w:val="21"/>
                      <w:szCs w:val="21"/>
                      <w:highlight w:val="none"/>
                    </w:rPr>
                  </w:pPr>
                  <w:r>
                    <w:rPr>
                      <w:rFonts w:hint="eastAsia" w:eastAsia="宋体"/>
                      <w:b w:val="0"/>
                      <w:bCs w:val="0"/>
                      <w:color w:val="auto"/>
                      <w:sz w:val="21"/>
                      <w:szCs w:val="21"/>
                      <w:highlight w:val="none"/>
                    </w:rPr>
                    <w:t>100L/人·d</w:t>
                  </w:r>
                </w:p>
              </w:tc>
              <w:tc>
                <w:tcPr>
                  <w:tcW w:w="473" w:type="pct"/>
                  <w:noWrap w:val="0"/>
                  <w:vAlign w:val="center"/>
                </w:tcPr>
                <w:p>
                  <w:pPr>
                    <w:pStyle w:val="3"/>
                    <w:jc w:val="center"/>
                    <w:outlineLvl w:val="1"/>
                    <w:rPr>
                      <w:rFonts w:hint="eastAsia" w:eastAsia="宋体"/>
                      <w:b w:val="0"/>
                      <w:bCs w:val="0"/>
                      <w:color w:val="auto"/>
                      <w:sz w:val="21"/>
                      <w:szCs w:val="21"/>
                      <w:highlight w:val="none"/>
                      <w:lang w:eastAsia="zh-CN"/>
                    </w:rPr>
                  </w:pPr>
                  <w:r>
                    <w:rPr>
                      <w:rFonts w:hint="eastAsia" w:eastAsia="宋体"/>
                      <w:b w:val="0"/>
                      <w:bCs w:val="0"/>
                      <w:color w:val="auto"/>
                      <w:sz w:val="21"/>
                      <w:szCs w:val="21"/>
                      <w:highlight w:val="none"/>
                      <w:lang w:val="en-US" w:eastAsia="zh-CN"/>
                    </w:rPr>
                    <w:t>8</w:t>
                  </w:r>
                </w:p>
              </w:tc>
              <w:tc>
                <w:tcPr>
                  <w:tcW w:w="537"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2400</w:t>
                  </w:r>
                </w:p>
              </w:tc>
              <w:tc>
                <w:tcPr>
                  <w:tcW w:w="541" w:type="pct"/>
                  <w:noWrap w:val="0"/>
                  <w:vAlign w:val="center"/>
                </w:tcPr>
                <w:p>
                  <w:pPr>
                    <w:pStyle w:val="3"/>
                    <w:jc w:val="center"/>
                    <w:outlineLvl w:val="1"/>
                    <w:rPr>
                      <w:rFonts w:hint="eastAsia" w:eastAsia="宋体"/>
                      <w:b w:val="0"/>
                      <w:bCs w:val="0"/>
                      <w:color w:val="auto"/>
                      <w:sz w:val="21"/>
                      <w:szCs w:val="21"/>
                      <w:highlight w:val="none"/>
                      <w:lang w:val="en-US" w:eastAsia="zh-CN"/>
                    </w:rPr>
                  </w:pPr>
                  <w:r>
                    <w:rPr>
                      <w:rFonts w:hint="eastAsia" w:eastAsia="宋体"/>
                      <w:b w:val="0"/>
                      <w:bCs w:val="0"/>
                      <w:color w:val="auto"/>
                      <w:sz w:val="21"/>
                      <w:szCs w:val="21"/>
                      <w:highlight w:val="none"/>
                    </w:rPr>
                    <w:t>0.8</w:t>
                  </w:r>
                  <w:r>
                    <w:rPr>
                      <w:rFonts w:hint="eastAsia" w:eastAsia="宋体"/>
                      <w:b w:val="0"/>
                      <w:bCs w:val="0"/>
                      <w:color w:val="auto"/>
                      <w:sz w:val="21"/>
                      <w:szCs w:val="21"/>
                      <w:highlight w:val="none"/>
                      <w:lang w:val="en-US" w:eastAsia="zh-CN"/>
                    </w:rPr>
                    <w:t>5</w:t>
                  </w:r>
                </w:p>
              </w:tc>
              <w:tc>
                <w:tcPr>
                  <w:tcW w:w="458"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6.8</w:t>
                  </w:r>
                </w:p>
              </w:tc>
              <w:tc>
                <w:tcPr>
                  <w:tcW w:w="537"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87" w:type="pct"/>
                  <w:noWrap w:val="0"/>
                  <w:vAlign w:val="center"/>
                </w:tcPr>
                <w:p>
                  <w:pPr>
                    <w:pStyle w:val="3"/>
                    <w:jc w:val="center"/>
                    <w:outlineLvl w:val="1"/>
                    <w:rPr>
                      <w:rFonts w:hint="eastAsia" w:eastAsia="宋体"/>
                      <w:b w:val="0"/>
                      <w:bCs w:val="0"/>
                      <w:color w:val="auto"/>
                      <w:sz w:val="21"/>
                      <w:szCs w:val="21"/>
                      <w:highlight w:val="none"/>
                    </w:rPr>
                  </w:pPr>
                  <w:r>
                    <w:rPr>
                      <w:rFonts w:hint="eastAsia" w:eastAsia="宋体"/>
                      <w:b w:val="0"/>
                      <w:bCs w:val="0"/>
                      <w:color w:val="auto"/>
                      <w:sz w:val="21"/>
                      <w:szCs w:val="21"/>
                      <w:highlight w:val="none"/>
                    </w:rPr>
                    <w:t>2</w:t>
                  </w:r>
                </w:p>
              </w:tc>
              <w:tc>
                <w:tcPr>
                  <w:tcW w:w="806"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食堂用水</w:t>
                  </w:r>
                </w:p>
              </w:tc>
              <w:tc>
                <w:tcPr>
                  <w:tcW w:w="669"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80人</w:t>
                  </w:r>
                </w:p>
              </w:tc>
              <w:tc>
                <w:tcPr>
                  <w:tcW w:w="688" w:type="pct"/>
                  <w:noWrap w:val="0"/>
                  <w:vAlign w:val="center"/>
                </w:tcPr>
                <w:p>
                  <w:pPr>
                    <w:pStyle w:val="3"/>
                    <w:jc w:val="center"/>
                    <w:outlineLvl w:val="1"/>
                    <w:rPr>
                      <w:rFonts w:hint="eastAsia"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2</w:t>
                  </w:r>
                  <w:r>
                    <w:rPr>
                      <w:rFonts w:hint="eastAsia" w:eastAsia="宋体"/>
                      <w:b w:val="0"/>
                      <w:bCs w:val="0"/>
                      <w:color w:val="auto"/>
                      <w:sz w:val="21"/>
                      <w:szCs w:val="21"/>
                      <w:highlight w:val="none"/>
                    </w:rPr>
                    <w:t>0L/人·d</w:t>
                  </w:r>
                </w:p>
              </w:tc>
              <w:tc>
                <w:tcPr>
                  <w:tcW w:w="473"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1.6</w:t>
                  </w:r>
                </w:p>
              </w:tc>
              <w:tc>
                <w:tcPr>
                  <w:tcW w:w="537"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480</w:t>
                  </w:r>
                </w:p>
              </w:tc>
              <w:tc>
                <w:tcPr>
                  <w:tcW w:w="541"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0.85</w:t>
                  </w:r>
                </w:p>
              </w:tc>
              <w:tc>
                <w:tcPr>
                  <w:tcW w:w="458"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1.36</w:t>
                  </w:r>
                </w:p>
              </w:tc>
              <w:tc>
                <w:tcPr>
                  <w:tcW w:w="537"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87" w:type="pct"/>
                  <w:noWrap w:val="0"/>
                  <w:vAlign w:val="center"/>
                </w:tcPr>
                <w:p>
                  <w:pPr>
                    <w:pStyle w:val="3"/>
                    <w:jc w:val="center"/>
                    <w:outlineLvl w:val="1"/>
                    <w:rPr>
                      <w:rFonts w:hint="eastAsia" w:ascii="Times New Roman" w:hAnsi="Times New Roman" w:eastAsia="宋体"/>
                      <w:b w:val="0"/>
                      <w:bCs w:val="0"/>
                      <w:color w:val="auto"/>
                      <w:kern w:val="2"/>
                      <w:sz w:val="21"/>
                      <w:szCs w:val="21"/>
                      <w:highlight w:val="none"/>
                      <w:lang w:val="en-US" w:eastAsia="zh-CN" w:bidi="ar-SA"/>
                    </w:rPr>
                  </w:pPr>
                  <w:r>
                    <w:rPr>
                      <w:rFonts w:hint="eastAsia" w:eastAsia="宋体"/>
                      <w:b w:val="0"/>
                      <w:bCs w:val="0"/>
                      <w:color w:val="auto"/>
                      <w:sz w:val="21"/>
                      <w:szCs w:val="21"/>
                      <w:highlight w:val="none"/>
                    </w:rPr>
                    <w:t>3</w:t>
                  </w:r>
                </w:p>
              </w:tc>
              <w:tc>
                <w:tcPr>
                  <w:tcW w:w="806" w:type="pct"/>
                  <w:noWrap w:val="0"/>
                  <w:vAlign w:val="center"/>
                </w:tcPr>
                <w:p>
                  <w:pPr>
                    <w:pStyle w:val="3"/>
                    <w:jc w:val="center"/>
                    <w:outlineLvl w:val="1"/>
                    <w:rPr>
                      <w:rFonts w:hint="eastAsia" w:ascii="Times New Roman" w:hAnsi="Times New Roman" w:eastAsia="宋体"/>
                      <w:b w:val="0"/>
                      <w:bCs w:val="0"/>
                      <w:color w:val="auto"/>
                      <w:kern w:val="2"/>
                      <w:sz w:val="21"/>
                      <w:szCs w:val="21"/>
                      <w:highlight w:val="none"/>
                      <w:lang w:val="en-US" w:eastAsia="zh-CN" w:bidi="ar-SA"/>
                    </w:rPr>
                  </w:pPr>
                  <w:r>
                    <w:rPr>
                      <w:rFonts w:hint="eastAsia" w:eastAsia="宋体"/>
                      <w:b w:val="0"/>
                      <w:bCs w:val="0"/>
                      <w:color w:val="auto"/>
                      <w:sz w:val="21"/>
                      <w:szCs w:val="21"/>
                      <w:highlight w:val="none"/>
                      <w:lang w:val="en-US" w:eastAsia="zh-CN"/>
                    </w:rPr>
                    <w:t>斩拌用水</w:t>
                  </w:r>
                </w:p>
              </w:tc>
              <w:tc>
                <w:tcPr>
                  <w:tcW w:w="669" w:type="pct"/>
                  <w:noWrap w:val="0"/>
                  <w:vAlign w:val="center"/>
                </w:tcPr>
                <w:p>
                  <w:pPr>
                    <w:pStyle w:val="3"/>
                    <w:jc w:val="center"/>
                    <w:outlineLvl w:val="1"/>
                    <w:rPr>
                      <w:rFonts w:hint="eastAsia" w:ascii="Times New Roman" w:hAnsi="Times New Roman" w:eastAsia="宋体"/>
                      <w:b w:val="0"/>
                      <w:bCs w:val="0"/>
                      <w:color w:val="auto"/>
                      <w:kern w:val="2"/>
                      <w:sz w:val="21"/>
                      <w:szCs w:val="21"/>
                      <w:highlight w:val="none"/>
                      <w:lang w:val="en-US" w:eastAsia="zh-CN" w:bidi="ar-SA"/>
                    </w:rPr>
                  </w:pPr>
                  <w:r>
                    <w:rPr>
                      <w:rFonts w:hint="eastAsia" w:eastAsia="宋体"/>
                      <w:b w:val="0"/>
                      <w:bCs w:val="0"/>
                      <w:color w:val="auto"/>
                      <w:sz w:val="21"/>
                      <w:szCs w:val="21"/>
                      <w:highlight w:val="none"/>
                      <w:lang w:val="en-US" w:eastAsia="zh-CN"/>
                    </w:rPr>
                    <w:t>大豆分离蛋白粉用量300t/a</w:t>
                  </w:r>
                </w:p>
              </w:tc>
              <w:tc>
                <w:tcPr>
                  <w:tcW w:w="688" w:type="pct"/>
                  <w:noWrap w:val="0"/>
                  <w:vAlign w:val="center"/>
                </w:tcPr>
                <w:p>
                  <w:pPr>
                    <w:pStyle w:val="3"/>
                    <w:jc w:val="center"/>
                    <w:outlineLvl w:val="1"/>
                    <w:rPr>
                      <w:rFonts w:hint="eastAsia" w:ascii="Times New Roman" w:hAnsi="Times New Roman" w:eastAsia="宋体"/>
                      <w:b w:val="0"/>
                      <w:bCs w:val="0"/>
                      <w:color w:val="auto"/>
                      <w:kern w:val="2"/>
                      <w:sz w:val="21"/>
                      <w:szCs w:val="21"/>
                      <w:highlight w:val="none"/>
                      <w:lang w:val="en-US" w:eastAsia="zh-CN" w:bidi="ar-SA"/>
                    </w:rPr>
                  </w:pPr>
                  <w:r>
                    <w:rPr>
                      <w:rFonts w:hint="eastAsia" w:eastAsia="宋体"/>
                      <w:b w:val="0"/>
                      <w:bCs w:val="0"/>
                      <w:color w:val="auto"/>
                      <w:sz w:val="21"/>
                      <w:szCs w:val="21"/>
                      <w:highlight w:val="none"/>
                      <w:lang w:val="en-US" w:eastAsia="zh-CN"/>
                    </w:rPr>
                    <w:t>水：大豆分离蛋白粉=10:1</w:t>
                  </w:r>
                </w:p>
              </w:tc>
              <w:tc>
                <w:tcPr>
                  <w:tcW w:w="473" w:type="pct"/>
                  <w:noWrap w:val="0"/>
                  <w:vAlign w:val="center"/>
                </w:tcPr>
                <w:p>
                  <w:pPr>
                    <w:pStyle w:val="3"/>
                    <w:jc w:val="center"/>
                    <w:outlineLvl w:val="1"/>
                    <w:rPr>
                      <w:rFonts w:hint="eastAsia" w:ascii="Times New Roman" w:hAnsi="Times New Roman" w:eastAsia="宋体"/>
                      <w:b w:val="0"/>
                      <w:bCs w:val="0"/>
                      <w:color w:val="auto"/>
                      <w:kern w:val="2"/>
                      <w:sz w:val="21"/>
                      <w:szCs w:val="21"/>
                      <w:highlight w:val="none"/>
                      <w:lang w:val="en-US" w:eastAsia="zh-CN" w:bidi="ar-SA"/>
                    </w:rPr>
                  </w:pPr>
                  <w:r>
                    <w:rPr>
                      <w:rFonts w:hint="eastAsia" w:eastAsia="宋体"/>
                      <w:b w:val="0"/>
                      <w:bCs w:val="0"/>
                      <w:color w:val="auto"/>
                      <w:sz w:val="21"/>
                      <w:szCs w:val="21"/>
                      <w:highlight w:val="none"/>
                      <w:lang w:val="en-US" w:eastAsia="zh-CN"/>
                    </w:rPr>
                    <w:t>10</w:t>
                  </w:r>
                </w:p>
              </w:tc>
              <w:tc>
                <w:tcPr>
                  <w:tcW w:w="537" w:type="pct"/>
                  <w:noWrap w:val="0"/>
                  <w:vAlign w:val="center"/>
                </w:tcPr>
                <w:p>
                  <w:pPr>
                    <w:pStyle w:val="3"/>
                    <w:jc w:val="center"/>
                    <w:outlineLvl w:val="1"/>
                    <w:rPr>
                      <w:rFonts w:hint="eastAsia" w:ascii="Times New Roman" w:hAnsi="Times New Roman" w:eastAsia="宋体"/>
                      <w:b w:val="0"/>
                      <w:bCs w:val="0"/>
                      <w:color w:val="auto"/>
                      <w:kern w:val="2"/>
                      <w:sz w:val="21"/>
                      <w:szCs w:val="21"/>
                      <w:highlight w:val="none"/>
                      <w:lang w:val="en-US" w:eastAsia="zh-CN" w:bidi="ar-SA"/>
                    </w:rPr>
                  </w:pPr>
                  <w:r>
                    <w:rPr>
                      <w:rFonts w:hint="eastAsia" w:eastAsia="宋体"/>
                      <w:b w:val="0"/>
                      <w:bCs w:val="0"/>
                      <w:color w:val="auto"/>
                      <w:sz w:val="21"/>
                      <w:szCs w:val="21"/>
                      <w:highlight w:val="none"/>
                      <w:lang w:val="en-US" w:eastAsia="zh-CN"/>
                    </w:rPr>
                    <w:t>3000</w:t>
                  </w:r>
                </w:p>
              </w:tc>
              <w:tc>
                <w:tcPr>
                  <w:tcW w:w="541" w:type="pct"/>
                  <w:noWrap w:val="0"/>
                  <w:vAlign w:val="center"/>
                </w:tcPr>
                <w:p>
                  <w:pPr>
                    <w:pStyle w:val="3"/>
                    <w:jc w:val="center"/>
                    <w:outlineLvl w:val="1"/>
                    <w:rPr>
                      <w:rFonts w:hint="eastAsia" w:ascii="Times New Roman" w:hAnsi="Times New Roman" w:eastAsia="宋体"/>
                      <w:b w:val="0"/>
                      <w:bCs w:val="0"/>
                      <w:color w:val="auto"/>
                      <w:kern w:val="2"/>
                      <w:sz w:val="21"/>
                      <w:szCs w:val="21"/>
                      <w:highlight w:val="none"/>
                      <w:lang w:val="en-US" w:eastAsia="zh-CN" w:bidi="ar-SA"/>
                    </w:rPr>
                  </w:pPr>
                  <w:r>
                    <w:rPr>
                      <w:rFonts w:hint="eastAsia" w:eastAsia="宋体"/>
                      <w:b w:val="0"/>
                      <w:bCs w:val="0"/>
                      <w:color w:val="auto"/>
                      <w:sz w:val="21"/>
                      <w:szCs w:val="21"/>
                      <w:highlight w:val="none"/>
                      <w:lang w:val="en-US" w:eastAsia="zh-CN"/>
                    </w:rPr>
                    <w:t>0.2</w:t>
                  </w:r>
                </w:p>
              </w:tc>
              <w:tc>
                <w:tcPr>
                  <w:tcW w:w="458" w:type="pct"/>
                  <w:noWrap w:val="0"/>
                  <w:vAlign w:val="center"/>
                </w:tcPr>
                <w:p>
                  <w:pPr>
                    <w:pStyle w:val="3"/>
                    <w:jc w:val="center"/>
                    <w:outlineLvl w:val="1"/>
                    <w:rPr>
                      <w:rFonts w:hint="eastAsia" w:ascii="Times New Roman" w:hAnsi="Times New Roman" w:eastAsia="宋体"/>
                      <w:b w:val="0"/>
                      <w:bCs w:val="0"/>
                      <w:color w:val="auto"/>
                      <w:kern w:val="2"/>
                      <w:sz w:val="21"/>
                      <w:szCs w:val="21"/>
                      <w:highlight w:val="none"/>
                      <w:lang w:val="en-US" w:eastAsia="zh-CN" w:bidi="ar-SA"/>
                    </w:rPr>
                  </w:pPr>
                  <w:r>
                    <w:rPr>
                      <w:rFonts w:hint="eastAsia" w:eastAsia="宋体"/>
                      <w:b w:val="0"/>
                      <w:bCs w:val="0"/>
                      <w:color w:val="auto"/>
                      <w:sz w:val="21"/>
                      <w:szCs w:val="21"/>
                      <w:highlight w:val="none"/>
                      <w:lang w:val="en-US" w:eastAsia="zh-CN"/>
                    </w:rPr>
                    <w:t>2</w:t>
                  </w:r>
                </w:p>
              </w:tc>
              <w:tc>
                <w:tcPr>
                  <w:tcW w:w="537" w:type="pct"/>
                  <w:noWrap w:val="0"/>
                  <w:vAlign w:val="center"/>
                </w:tcPr>
                <w:p>
                  <w:pPr>
                    <w:pStyle w:val="3"/>
                    <w:jc w:val="center"/>
                    <w:outlineLvl w:val="1"/>
                    <w:rPr>
                      <w:rFonts w:hint="eastAsia" w:ascii="Times New Roman" w:hAnsi="Times New Roman" w:eastAsia="宋体"/>
                      <w:b w:val="0"/>
                      <w:bCs w:val="0"/>
                      <w:color w:val="auto"/>
                      <w:kern w:val="2"/>
                      <w:sz w:val="21"/>
                      <w:szCs w:val="21"/>
                      <w:highlight w:val="none"/>
                      <w:lang w:val="en-US" w:eastAsia="zh-CN" w:bidi="ar-SA"/>
                    </w:rPr>
                  </w:pPr>
                  <w:r>
                    <w:rPr>
                      <w:rFonts w:hint="eastAsia" w:eastAsia="宋体"/>
                      <w:b w:val="0"/>
                      <w:bCs w:val="0"/>
                      <w:color w:val="auto"/>
                      <w:sz w:val="21"/>
                      <w:szCs w:val="21"/>
                      <w:highlight w:val="none"/>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87" w:type="pct"/>
                  <w:noWrap w:val="0"/>
                  <w:vAlign w:val="center"/>
                </w:tcPr>
                <w:p>
                  <w:pPr>
                    <w:pStyle w:val="3"/>
                    <w:jc w:val="center"/>
                    <w:outlineLvl w:val="1"/>
                    <w:rPr>
                      <w:rFonts w:hint="eastAsia" w:ascii="Times New Roman" w:hAnsi="Times New Roman" w:eastAsia="宋体"/>
                      <w:b w:val="0"/>
                      <w:bCs w:val="0"/>
                      <w:color w:val="auto"/>
                      <w:kern w:val="2"/>
                      <w:sz w:val="21"/>
                      <w:szCs w:val="21"/>
                      <w:highlight w:val="none"/>
                      <w:lang w:val="en-US" w:eastAsia="zh-CN" w:bidi="ar-SA"/>
                    </w:rPr>
                  </w:pPr>
                  <w:r>
                    <w:rPr>
                      <w:rFonts w:hint="eastAsia" w:eastAsia="宋体"/>
                      <w:b w:val="0"/>
                      <w:bCs w:val="0"/>
                      <w:color w:val="auto"/>
                      <w:sz w:val="21"/>
                      <w:szCs w:val="21"/>
                      <w:highlight w:val="none"/>
                      <w:lang w:val="en-US" w:eastAsia="zh-CN"/>
                    </w:rPr>
                    <w:t>4</w:t>
                  </w:r>
                </w:p>
              </w:tc>
              <w:tc>
                <w:tcPr>
                  <w:tcW w:w="806" w:type="pct"/>
                  <w:noWrap w:val="0"/>
                  <w:vAlign w:val="center"/>
                </w:tcPr>
                <w:p>
                  <w:pPr>
                    <w:pStyle w:val="3"/>
                    <w:jc w:val="center"/>
                    <w:outlineLvl w:val="1"/>
                    <w:rPr>
                      <w:rFonts w:eastAsia="宋体"/>
                      <w:b w:val="0"/>
                      <w:bCs w:val="0"/>
                      <w:color w:val="auto"/>
                      <w:sz w:val="21"/>
                      <w:szCs w:val="21"/>
                      <w:highlight w:val="none"/>
                    </w:rPr>
                  </w:pPr>
                  <w:r>
                    <w:rPr>
                      <w:rFonts w:hint="eastAsia" w:eastAsia="宋体"/>
                      <w:b w:val="0"/>
                      <w:bCs w:val="0"/>
                      <w:color w:val="auto"/>
                      <w:sz w:val="21"/>
                      <w:szCs w:val="21"/>
                      <w:highlight w:val="none"/>
                      <w:lang w:val="en-US" w:eastAsia="zh-CN"/>
                    </w:rPr>
                    <w:t>浸泡用水</w:t>
                  </w:r>
                </w:p>
              </w:tc>
              <w:tc>
                <w:tcPr>
                  <w:tcW w:w="669"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大豆拉丝蛋白用量300t/a</w:t>
                  </w:r>
                </w:p>
              </w:tc>
              <w:tc>
                <w:tcPr>
                  <w:tcW w:w="688"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水：大豆拉丝蛋白=8:1</w:t>
                  </w:r>
                </w:p>
              </w:tc>
              <w:tc>
                <w:tcPr>
                  <w:tcW w:w="473"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8</w:t>
                  </w:r>
                </w:p>
              </w:tc>
              <w:tc>
                <w:tcPr>
                  <w:tcW w:w="537"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2400</w:t>
                  </w:r>
                </w:p>
              </w:tc>
              <w:tc>
                <w:tcPr>
                  <w:tcW w:w="541"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0.95</w:t>
                  </w:r>
                </w:p>
              </w:tc>
              <w:tc>
                <w:tcPr>
                  <w:tcW w:w="458"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7.6</w:t>
                  </w:r>
                </w:p>
              </w:tc>
              <w:tc>
                <w:tcPr>
                  <w:tcW w:w="537"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2280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87" w:type="pct"/>
                  <w:noWrap w:val="0"/>
                  <w:vAlign w:val="center"/>
                </w:tcPr>
                <w:p>
                  <w:pPr>
                    <w:pStyle w:val="3"/>
                    <w:jc w:val="center"/>
                    <w:outlineLvl w:val="1"/>
                    <w:rPr>
                      <w:rFonts w:hint="eastAsia" w:ascii="Times New Roman" w:hAnsi="Times New Roman" w:eastAsia="宋体"/>
                      <w:b w:val="0"/>
                      <w:bCs w:val="0"/>
                      <w:color w:val="auto"/>
                      <w:kern w:val="2"/>
                      <w:sz w:val="21"/>
                      <w:szCs w:val="21"/>
                      <w:highlight w:val="none"/>
                      <w:lang w:val="en-US" w:eastAsia="zh-CN" w:bidi="ar-SA"/>
                    </w:rPr>
                  </w:pPr>
                  <w:r>
                    <w:rPr>
                      <w:rFonts w:hint="eastAsia" w:eastAsia="宋体"/>
                      <w:b w:val="0"/>
                      <w:bCs w:val="0"/>
                      <w:color w:val="auto"/>
                      <w:sz w:val="21"/>
                      <w:szCs w:val="21"/>
                      <w:highlight w:val="none"/>
                      <w:lang w:val="en-US" w:eastAsia="zh-CN"/>
                    </w:rPr>
                    <w:t>5</w:t>
                  </w:r>
                </w:p>
              </w:tc>
              <w:tc>
                <w:tcPr>
                  <w:tcW w:w="806"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卤制用水</w:t>
                  </w:r>
                </w:p>
              </w:tc>
              <w:tc>
                <w:tcPr>
                  <w:tcW w:w="669" w:type="pct"/>
                  <w:noWrap w:val="0"/>
                  <w:vAlign w:val="center"/>
                </w:tcPr>
                <w:p>
                  <w:pPr>
                    <w:pStyle w:val="3"/>
                    <w:jc w:val="center"/>
                    <w:outlineLvl w:val="1"/>
                    <w:rPr>
                      <w:rFonts w:hint="eastAsia"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w:t>
                  </w:r>
                </w:p>
              </w:tc>
              <w:tc>
                <w:tcPr>
                  <w:tcW w:w="688" w:type="pct"/>
                  <w:noWrap w:val="0"/>
                  <w:vAlign w:val="center"/>
                </w:tcPr>
                <w:p>
                  <w:pPr>
                    <w:pStyle w:val="3"/>
                    <w:jc w:val="center"/>
                    <w:outlineLvl w:val="1"/>
                    <w:rPr>
                      <w:rFonts w:hint="eastAsia"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w:t>
                  </w:r>
                </w:p>
              </w:tc>
              <w:tc>
                <w:tcPr>
                  <w:tcW w:w="473"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0.25m</w:t>
                  </w:r>
                  <w:r>
                    <w:rPr>
                      <w:rFonts w:hint="eastAsia" w:eastAsia="宋体"/>
                      <w:b w:val="0"/>
                      <w:bCs w:val="0"/>
                      <w:color w:val="auto"/>
                      <w:sz w:val="21"/>
                      <w:szCs w:val="21"/>
                      <w:highlight w:val="none"/>
                      <w:vertAlign w:val="superscript"/>
                      <w:lang w:val="en-US" w:eastAsia="zh-CN"/>
                    </w:rPr>
                    <w:t>3</w:t>
                  </w:r>
                  <w:r>
                    <w:rPr>
                      <w:rFonts w:hint="eastAsia" w:eastAsia="宋体"/>
                      <w:b w:val="0"/>
                      <w:bCs w:val="0"/>
                      <w:color w:val="auto"/>
                      <w:sz w:val="21"/>
                      <w:szCs w:val="21"/>
                      <w:highlight w:val="none"/>
                      <w:lang w:val="en-US" w:eastAsia="zh-CN"/>
                    </w:rPr>
                    <w:t>/周</w:t>
                  </w:r>
                </w:p>
              </w:tc>
              <w:tc>
                <w:tcPr>
                  <w:tcW w:w="537"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12.8</w:t>
                  </w:r>
                </w:p>
              </w:tc>
              <w:tc>
                <w:tcPr>
                  <w:tcW w:w="541"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0.5</w:t>
                  </w:r>
                </w:p>
              </w:tc>
              <w:tc>
                <w:tcPr>
                  <w:tcW w:w="458"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0.13m</w:t>
                  </w:r>
                  <w:r>
                    <w:rPr>
                      <w:rFonts w:hint="eastAsia" w:eastAsia="宋体"/>
                      <w:b w:val="0"/>
                      <w:bCs w:val="0"/>
                      <w:color w:val="auto"/>
                      <w:sz w:val="21"/>
                      <w:szCs w:val="21"/>
                      <w:highlight w:val="none"/>
                      <w:vertAlign w:val="superscript"/>
                      <w:lang w:val="en-US" w:eastAsia="zh-CN"/>
                    </w:rPr>
                    <w:t>3</w:t>
                  </w:r>
                  <w:r>
                    <w:rPr>
                      <w:rFonts w:hint="eastAsia" w:eastAsia="宋体"/>
                      <w:b w:val="0"/>
                      <w:bCs w:val="0"/>
                      <w:color w:val="auto"/>
                      <w:sz w:val="21"/>
                      <w:szCs w:val="21"/>
                      <w:highlight w:val="none"/>
                      <w:lang w:val="en-US" w:eastAsia="zh-CN"/>
                    </w:rPr>
                    <w:t>/周</w:t>
                  </w:r>
                </w:p>
              </w:tc>
              <w:tc>
                <w:tcPr>
                  <w:tcW w:w="537"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9" w:hRule="atLeast"/>
                <w:jc w:val="center"/>
              </w:trPr>
              <w:tc>
                <w:tcPr>
                  <w:tcW w:w="287" w:type="pct"/>
                  <w:noWrap w:val="0"/>
                  <w:vAlign w:val="center"/>
                </w:tcPr>
                <w:p>
                  <w:pPr>
                    <w:pStyle w:val="3"/>
                    <w:jc w:val="center"/>
                    <w:outlineLvl w:val="1"/>
                    <w:rPr>
                      <w:rFonts w:hint="eastAsia" w:ascii="Times New Roman" w:hAnsi="Times New Roman" w:eastAsia="宋体"/>
                      <w:b w:val="0"/>
                      <w:bCs w:val="0"/>
                      <w:color w:val="auto"/>
                      <w:kern w:val="2"/>
                      <w:sz w:val="21"/>
                      <w:szCs w:val="21"/>
                      <w:highlight w:val="none"/>
                      <w:lang w:val="en-US" w:eastAsia="zh-CN" w:bidi="ar-SA"/>
                    </w:rPr>
                  </w:pPr>
                  <w:r>
                    <w:rPr>
                      <w:rFonts w:hint="eastAsia" w:eastAsia="宋体"/>
                      <w:b w:val="0"/>
                      <w:bCs w:val="0"/>
                      <w:color w:val="auto"/>
                      <w:sz w:val="21"/>
                      <w:szCs w:val="21"/>
                      <w:highlight w:val="none"/>
                      <w:lang w:val="en-US" w:eastAsia="zh-CN"/>
                    </w:rPr>
                    <w:t>6</w:t>
                  </w:r>
                </w:p>
              </w:tc>
              <w:tc>
                <w:tcPr>
                  <w:tcW w:w="806"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产品清洗用水</w:t>
                  </w:r>
                </w:p>
              </w:tc>
              <w:tc>
                <w:tcPr>
                  <w:tcW w:w="669"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2条线</w:t>
                  </w:r>
                </w:p>
              </w:tc>
              <w:tc>
                <w:tcPr>
                  <w:tcW w:w="688" w:type="pct"/>
                  <w:noWrap w:val="0"/>
                  <w:vAlign w:val="center"/>
                </w:tcPr>
                <w:p>
                  <w:pPr>
                    <w:pStyle w:val="3"/>
                    <w:jc w:val="center"/>
                    <w:outlineLvl w:val="1"/>
                    <w:rPr>
                      <w:rFonts w:hint="eastAsia"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每条1m</w:t>
                  </w:r>
                  <w:r>
                    <w:rPr>
                      <w:rFonts w:hint="eastAsia" w:eastAsia="宋体"/>
                      <w:b w:val="0"/>
                      <w:bCs w:val="0"/>
                      <w:color w:val="auto"/>
                      <w:sz w:val="21"/>
                      <w:szCs w:val="21"/>
                      <w:highlight w:val="none"/>
                      <w:vertAlign w:val="superscript"/>
                      <w:lang w:val="en-US" w:eastAsia="zh-CN"/>
                    </w:rPr>
                    <w:t>3</w:t>
                  </w:r>
                  <w:r>
                    <w:rPr>
                      <w:rFonts w:hint="eastAsia" w:eastAsia="宋体"/>
                      <w:b w:val="0"/>
                      <w:bCs w:val="0"/>
                      <w:color w:val="auto"/>
                      <w:sz w:val="21"/>
                      <w:szCs w:val="21"/>
                      <w:highlight w:val="none"/>
                      <w:lang w:val="en-US" w:eastAsia="zh-CN"/>
                    </w:rPr>
                    <w:t>/d</w:t>
                  </w:r>
                </w:p>
              </w:tc>
              <w:tc>
                <w:tcPr>
                  <w:tcW w:w="473"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32</w:t>
                  </w:r>
                </w:p>
              </w:tc>
              <w:tc>
                <w:tcPr>
                  <w:tcW w:w="537"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9600</w:t>
                  </w:r>
                </w:p>
              </w:tc>
              <w:tc>
                <w:tcPr>
                  <w:tcW w:w="541"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0.85</w:t>
                  </w:r>
                </w:p>
              </w:tc>
              <w:tc>
                <w:tcPr>
                  <w:tcW w:w="458"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27.2</w:t>
                  </w:r>
                </w:p>
              </w:tc>
              <w:tc>
                <w:tcPr>
                  <w:tcW w:w="537"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8160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87" w:type="pct"/>
                  <w:noWrap w:val="0"/>
                  <w:vAlign w:val="center"/>
                </w:tcPr>
                <w:p>
                  <w:pPr>
                    <w:pStyle w:val="3"/>
                    <w:jc w:val="center"/>
                    <w:outlineLvl w:val="1"/>
                    <w:rPr>
                      <w:rFonts w:hint="eastAsia" w:ascii="Times New Roman" w:hAnsi="Times New Roman" w:eastAsia="宋体"/>
                      <w:b w:val="0"/>
                      <w:bCs w:val="0"/>
                      <w:color w:val="auto"/>
                      <w:kern w:val="2"/>
                      <w:sz w:val="21"/>
                      <w:szCs w:val="21"/>
                      <w:highlight w:val="none"/>
                      <w:lang w:val="en-US" w:eastAsia="zh-CN" w:bidi="ar-SA"/>
                    </w:rPr>
                  </w:pPr>
                  <w:r>
                    <w:rPr>
                      <w:rFonts w:hint="eastAsia" w:eastAsia="宋体"/>
                      <w:b w:val="0"/>
                      <w:bCs w:val="0"/>
                      <w:color w:val="auto"/>
                      <w:sz w:val="21"/>
                      <w:szCs w:val="21"/>
                      <w:highlight w:val="none"/>
                      <w:lang w:val="en-US" w:eastAsia="zh-CN"/>
                    </w:rPr>
                    <w:t>7</w:t>
                  </w:r>
                </w:p>
              </w:tc>
              <w:tc>
                <w:tcPr>
                  <w:tcW w:w="806"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灭菌用水</w:t>
                  </w:r>
                </w:p>
              </w:tc>
              <w:tc>
                <w:tcPr>
                  <w:tcW w:w="669" w:type="pct"/>
                  <w:noWrap w:val="0"/>
                  <w:vAlign w:val="center"/>
                </w:tcPr>
                <w:p>
                  <w:pPr>
                    <w:pStyle w:val="3"/>
                    <w:jc w:val="center"/>
                    <w:outlineLvl w:val="1"/>
                    <w:rPr>
                      <w:rFonts w:hint="eastAsia"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w:t>
                  </w:r>
                </w:p>
              </w:tc>
              <w:tc>
                <w:tcPr>
                  <w:tcW w:w="688" w:type="pct"/>
                  <w:noWrap w:val="0"/>
                  <w:vAlign w:val="center"/>
                </w:tcPr>
                <w:p>
                  <w:pPr>
                    <w:pStyle w:val="3"/>
                    <w:jc w:val="center"/>
                    <w:outlineLvl w:val="1"/>
                    <w:rPr>
                      <w:rFonts w:hint="eastAsia"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w:t>
                  </w:r>
                </w:p>
              </w:tc>
              <w:tc>
                <w:tcPr>
                  <w:tcW w:w="473" w:type="pct"/>
                  <w:noWrap w:val="0"/>
                  <w:vAlign w:val="center"/>
                </w:tcPr>
                <w:p>
                  <w:pPr>
                    <w:pStyle w:val="3"/>
                    <w:jc w:val="center"/>
                    <w:outlineLvl w:val="1"/>
                    <w:rPr>
                      <w:rFonts w:hint="eastAsia"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6.62m</w:t>
                  </w:r>
                  <w:r>
                    <w:rPr>
                      <w:rFonts w:hint="eastAsia" w:eastAsia="宋体"/>
                      <w:b w:val="0"/>
                      <w:bCs w:val="0"/>
                      <w:color w:val="auto"/>
                      <w:sz w:val="21"/>
                      <w:szCs w:val="21"/>
                      <w:highlight w:val="none"/>
                      <w:vertAlign w:val="superscript"/>
                      <w:lang w:val="en-US" w:eastAsia="zh-CN"/>
                    </w:rPr>
                    <w:t>3</w:t>
                  </w:r>
                  <w:r>
                    <w:rPr>
                      <w:rFonts w:hint="eastAsia" w:eastAsia="宋体"/>
                      <w:b w:val="0"/>
                      <w:bCs w:val="0"/>
                      <w:color w:val="auto"/>
                      <w:sz w:val="21"/>
                      <w:szCs w:val="21"/>
                      <w:highlight w:val="none"/>
                      <w:lang w:val="en-US" w:eastAsia="zh-CN"/>
                    </w:rPr>
                    <w:t>/周</w:t>
                  </w:r>
                </w:p>
              </w:tc>
              <w:tc>
                <w:tcPr>
                  <w:tcW w:w="537"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344</w:t>
                  </w:r>
                </w:p>
              </w:tc>
              <w:tc>
                <w:tcPr>
                  <w:tcW w:w="541"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0.85</w:t>
                  </w:r>
                </w:p>
              </w:tc>
              <w:tc>
                <w:tcPr>
                  <w:tcW w:w="458"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5.63</w:t>
                  </w:r>
                  <w:r>
                    <w:rPr>
                      <w:rFonts w:hint="default" w:eastAsia="宋体"/>
                      <w:b w:val="0"/>
                      <w:bCs w:val="0"/>
                      <w:color w:val="auto"/>
                      <w:sz w:val="21"/>
                      <w:szCs w:val="21"/>
                      <w:highlight w:val="none"/>
                      <w:lang w:val="en-US" w:eastAsia="zh-CN"/>
                    </w:rPr>
                    <w:t>m</w:t>
                  </w:r>
                  <w:r>
                    <w:rPr>
                      <w:rFonts w:hint="default" w:eastAsia="宋体"/>
                      <w:b w:val="0"/>
                      <w:bCs w:val="0"/>
                      <w:color w:val="auto"/>
                      <w:sz w:val="21"/>
                      <w:szCs w:val="21"/>
                      <w:highlight w:val="none"/>
                      <w:vertAlign w:val="superscript"/>
                      <w:lang w:val="en-US" w:eastAsia="zh-CN"/>
                    </w:rPr>
                    <w:t>3</w:t>
                  </w:r>
                  <w:r>
                    <w:rPr>
                      <w:rFonts w:hint="default" w:eastAsia="宋体"/>
                      <w:b w:val="0"/>
                      <w:bCs w:val="0"/>
                      <w:color w:val="auto"/>
                      <w:sz w:val="21"/>
                      <w:szCs w:val="21"/>
                      <w:highlight w:val="none"/>
                      <w:lang w:val="en-US" w:eastAsia="zh-CN"/>
                    </w:rPr>
                    <w:t>/周</w:t>
                  </w:r>
                </w:p>
              </w:tc>
              <w:tc>
                <w:tcPr>
                  <w:tcW w:w="537"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292.4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87" w:type="pct"/>
                  <w:noWrap w:val="0"/>
                  <w:vAlign w:val="center"/>
                </w:tcPr>
                <w:p>
                  <w:pPr>
                    <w:pStyle w:val="3"/>
                    <w:jc w:val="center"/>
                    <w:outlineLvl w:val="1"/>
                    <w:rPr>
                      <w:rFonts w:hint="eastAsia"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8</w:t>
                  </w:r>
                </w:p>
              </w:tc>
              <w:tc>
                <w:tcPr>
                  <w:tcW w:w="806"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锅炉用水</w:t>
                  </w:r>
                </w:p>
              </w:tc>
              <w:tc>
                <w:tcPr>
                  <w:tcW w:w="669" w:type="pct"/>
                  <w:noWrap w:val="0"/>
                  <w:vAlign w:val="center"/>
                </w:tcPr>
                <w:p>
                  <w:pPr>
                    <w:pStyle w:val="3"/>
                    <w:jc w:val="center"/>
                    <w:outlineLvl w:val="1"/>
                    <w:rPr>
                      <w:rFonts w:hint="eastAsia"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w:t>
                  </w:r>
                </w:p>
              </w:tc>
              <w:tc>
                <w:tcPr>
                  <w:tcW w:w="688" w:type="pct"/>
                  <w:noWrap w:val="0"/>
                  <w:vAlign w:val="center"/>
                </w:tcPr>
                <w:p>
                  <w:pPr>
                    <w:pStyle w:val="3"/>
                    <w:jc w:val="center"/>
                    <w:outlineLvl w:val="1"/>
                    <w:rPr>
                      <w:rFonts w:hint="eastAsia"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w:t>
                  </w:r>
                </w:p>
              </w:tc>
              <w:tc>
                <w:tcPr>
                  <w:tcW w:w="473"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26.26</w:t>
                  </w:r>
                </w:p>
              </w:tc>
              <w:tc>
                <w:tcPr>
                  <w:tcW w:w="537"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7878</w:t>
                  </w:r>
                </w:p>
              </w:tc>
              <w:tc>
                <w:tcPr>
                  <w:tcW w:w="541"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w:t>
                  </w:r>
                </w:p>
              </w:tc>
              <w:tc>
                <w:tcPr>
                  <w:tcW w:w="458"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2.26</w:t>
                  </w:r>
                </w:p>
              </w:tc>
              <w:tc>
                <w:tcPr>
                  <w:tcW w:w="537"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87"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9</w:t>
                  </w:r>
                </w:p>
              </w:tc>
              <w:tc>
                <w:tcPr>
                  <w:tcW w:w="806"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设备清洗用水</w:t>
                  </w:r>
                </w:p>
              </w:tc>
              <w:tc>
                <w:tcPr>
                  <w:tcW w:w="669" w:type="pct"/>
                  <w:noWrap w:val="0"/>
                  <w:vAlign w:val="center"/>
                </w:tcPr>
                <w:p>
                  <w:pPr>
                    <w:pStyle w:val="3"/>
                    <w:jc w:val="center"/>
                    <w:outlineLvl w:val="1"/>
                    <w:rPr>
                      <w:rFonts w:hint="eastAsia"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w:t>
                  </w:r>
                </w:p>
              </w:tc>
              <w:tc>
                <w:tcPr>
                  <w:tcW w:w="688" w:type="pct"/>
                  <w:noWrap w:val="0"/>
                  <w:vAlign w:val="center"/>
                </w:tcPr>
                <w:p>
                  <w:pPr>
                    <w:pStyle w:val="3"/>
                    <w:jc w:val="center"/>
                    <w:outlineLvl w:val="1"/>
                    <w:rPr>
                      <w:rFonts w:eastAsia="宋体"/>
                      <w:b w:val="0"/>
                      <w:bCs w:val="0"/>
                      <w:color w:val="auto"/>
                      <w:sz w:val="21"/>
                      <w:szCs w:val="21"/>
                      <w:highlight w:val="none"/>
                    </w:rPr>
                  </w:pPr>
                  <w:r>
                    <w:rPr>
                      <w:rFonts w:hint="eastAsia" w:eastAsia="宋体"/>
                      <w:b w:val="0"/>
                      <w:bCs w:val="0"/>
                      <w:color w:val="auto"/>
                      <w:sz w:val="21"/>
                      <w:szCs w:val="21"/>
                      <w:highlight w:val="none"/>
                      <w:lang w:val="en-US" w:eastAsia="zh-CN"/>
                    </w:rPr>
                    <w:t>5m</w:t>
                  </w:r>
                  <w:r>
                    <w:rPr>
                      <w:rFonts w:hint="eastAsia" w:eastAsia="宋体"/>
                      <w:b w:val="0"/>
                      <w:bCs w:val="0"/>
                      <w:color w:val="auto"/>
                      <w:sz w:val="21"/>
                      <w:szCs w:val="21"/>
                      <w:highlight w:val="none"/>
                      <w:vertAlign w:val="superscript"/>
                      <w:lang w:val="en-US" w:eastAsia="zh-CN"/>
                    </w:rPr>
                    <w:t>3</w:t>
                  </w:r>
                  <w:r>
                    <w:rPr>
                      <w:rFonts w:hint="eastAsia" w:eastAsia="宋体"/>
                      <w:b w:val="0"/>
                      <w:bCs w:val="0"/>
                      <w:color w:val="auto"/>
                      <w:sz w:val="21"/>
                      <w:szCs w:val="21"/>
                      <w:highlight w:val="none"/>
                      <w:lang w:val="en-US" w:eastAsia="zh-CN"/>
                    </w:rPr>
                    <w:t>/d</w:t>
                  </w:r>
                </w:p>
              </w:tc>
              <w:tc>
                <w:tcPr>
                  <w:tcW w:w="473"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10</w:t>
                  </w:r>
                </w:p>
              </w:tc>
              <w:tc>
                <w:tcPr>
                  <w:tcW w:w="537"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3000</w:t>
                  </w:r>
                </w:p>
              </w:tc>
              <w:tc>
                <w:tcPr>
                  <w:tcW w:w="541"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0.85</w:t>
                  </w:r>
                </w:p>
              </w:tc>
              <w:tc>
                <w:tcPr>
                  <w:tcW w:w="458"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8.5</w:t>
                  </w:r>
                </w:p>
              </w:tc>
              <w:tc>
                <w:tcPr>
                  <w:tcW w:w="537"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87"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10</w:t>
                  </w:r>
                </w:p>
              </w:tc>
              <w:tc>
                <w:tcPr>
                  <w:tcW w:w="806"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地面清洁用水</w:t>
                  </w:r>
                </w:p>
              </w:tc>
              <w:tc>
                <w:tcPr>
                  <w:tcW w:w="669" w:type="pct"/>
                  <w:noWrap w:val="0"/>
                  <w:vAlign w:val="center"/>
                </w:tcPr>
                <w:p>
                  <w:pPr>
                    <w:pStyle w:val="3"/>
                    <w:jc w:val="center"/>
                    <w:outlineLvl w:val="1"/>
                    <w:rPr>
                      <w:rFonts w:hint="default" w:eastAsia="宋体"/>
                      <w:b w:val="0"/>
                      <w:bCs w:val="0"/>
                      <w:color w:val="auto"/>
                      <w:sz w:val="21"/>
                      <w:szCs w:val="21"/>
                      <w:highlight w:val="none"/>
                      <w:vertAlign w:val="superscript"/>
                      <w:lang w:val="en-US" w:eastAsia="zh-CN"/>
                    </w:rPr>
                  </w:pPr>
                  <w:r>
                    <w:rPr>
                      <w:rFonts w:hint="eastAsia" w:eastAsia="宋体"/>
                      <w:b w:val="0"/>
                      <w:bCs w:val="0"/>
                      <w:color w:val="auto"/>
                      <w:sz w:val="21"/>
                      <w:szCs w:val="21"/>
                      <w:highlight w:val="none"/>
                      <w:lang w:val="en-US" w:eastAsia="zh-CN"/>
                    </w:rPr>
                    <w:t>13997.7m</w:t>
                  </w:r>
                  <w:r>
                    <w:rPr>
                      <w:rFonts w:hint="eastAsia" w:eastAsia="宋体"/>
                      <w:b w:val="0"/>
                      <w:bCs w:val="0"/>
                      <w:color w:val="auto"/>
                      <w:sz w:val="21"/>
                      <w:szCs w:val="21"/>
                      <w:highlight w:val="none"/>
                      <w:vertAlign w:val="superscript"/>
                      <w:lang w:val="en-US" w:eastAsia="zh-CN"/>
                    </w:rPr>
                    <w:t>2</w:t>
                  </w:r>
                </w:p>
              </w:tc>
              <w:tc>
                <w:tcPr>
                  <w:tcW w:w="688" w:type="pct"/>
                  <w:noWrap w:val="0"/>
                  <w:vAlign w:val="center"/>
                </w:tcPr>
                <w:p>
                  <w:pPr>
                    <w:pStyle w:val="3"/>
                    <w:jc w:val="center"/>
                    <w:outlineLvl w:val="1"/>
                    <w:rPr>
                      <w:rFonts w:eastAsia="宋体"/>
                      <w:b w:val="0"/>
                      <w:bCs w:val="0"/>
                      <w:color w:val="auto"/>
                      <w:sz w:val="21"/>
                      <w:szCs w:val="21"/>
                      <w:highlight w:val="none"/>
                    </w:rPr>
                  </w:pPr>
                  <w:r>
                    <w:rPr>
                      <w:rFonts w:hint="eastAsia" w:eastAsia="宋体"/>
                      <w:b w:val="0"/>
                      <w:bCs w:val="0"/>
                      <w:color w:val="auto"/>
                      <w:sz w:val="21"/>
                      <w:szCs w:val="21"/>
                      <w:highlight w:val="none"/>
                      <w:lang w:val="en-US" w:eastAsia="zh-CN"/>
                    </w:rPr>
                    <w:t>3L</w:t>
                  </w:r>
                  <w:r>
                    <w:rPr>
                      <w:rFonts w:hint="eastAsia" w:eastAsia="宋体"/>
                      <w:b w:val="0"/>
                      <w:bCs w:val="0"/>
                      <w:color w:val="auto"/>
                      <w:sz w:val="21"/>
                      <w:szCs w:val="21"/>
                      <w:highlight w:val="none"/>
                    </w:rPr>
                    <w:t>/m</w:t>
                  </w:r>
                  <w:r>
                    <w:rPr>
                      <w:rFonts w:hint="eastAsia" w:eastAsia="宋体"/>
                      <w:b w:val="0"/>
                      <w:bCs w:val="0"/>
                      <w:color w:val="auto"/>
                      <w:sz w:val="21"/>
                      <w:szCs w:val="21"/>
                      <w:highlight w:val="none"/>
                      <w:vertAlign w:val="superscript"/>
                    </w:rPr>
                    <w:t>2</w:t>
                  </w:r>
                  <w:r>
                    <w:rPr>
                      <w:rFonts w:hint="eastAsia" w:eastAsia="宋体"/>
                      <w:b w:val="0"/>
                      <w:bCs w:val="0"/>
                      <w:color w:val="auto"/>
                      <w:sz w:val="21"/>
                      <w:szCs w:val="21"/>
                      <w:highlight w:val="none"/>
                    </w:rPr>
                    <w:t>·d</w:t>
                  </w:r>
                </w:p>
              </w:tc>
              <w:tc>
                <w:tcPr>
                  <w:tcW w:w="473"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21.59（蒸汽冷凝水20.4）</w:t>
                  </w:r>
                </w:p>
              </w:tc>
              <w:tc>
                <w:tcPr>
                  <w:tcW w:w="537"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6477（蒸汽冷凝水6120）</w:t>
                  </w:r>
                </w:p>
              </w:tc>
              <w:tc>
                <w:tcPr>
                  <w:tcW w:w="541"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0.85</w:t>
                  </w:r>
                </w:p>
              </w:tc>
              <w:tc>
                <w:tcPr>
                  <w:tcW w:w="458"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35.69</w:t>
                  </w:r>
                </w:p>
              </w:tc>
              <w:tc>
                <w:tcPr>
                  <w:tcW w:w="537"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10707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87"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合计</w:t>
                  </w:r>
                </w:p>
              </w:tc>
              <w:tc>
                <w:tcPr>
                  <w:tcW w:w="806"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w:t>
                  </w:r>
                </w:p>
              </w:tc>
              <w:tc>
                <w:tcPr>
                  <w:tcW w:w="669"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w:t>
                  </w:r>
                </w:p>
              </w:tc>
              <w:tc>
                <w:tcPr>
                  <w:tcW w:w="688" w:type="pct"/>
                  <w:noWrap w:val="0"/>
                  <w:vAlign w:val="center"/>
                </w:tcPr>
                <w:p>
                  <w:pPr>
                    <w:pStyle w:val="3"/>
                    <w:jc w:val="center"/>
                    <w:outlineLvl w:val="1"/>
                    <w:rPr>
                      <w:rFonts w:hint="default"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w:t>
                  </w:r>
                </w:p>
              </w:tc>
              <w:tc>
                <w:tcPr>
                  <w:tcW w:w="797" w:type="dxa"/>
                  <w:noWrap w:val="0"/>
                  <w:vAlign w:val="center"/>
                </w:tcPr>
                <w:p>
                  <w:pPr>
                    <w:pStyle w:val="3"/>
                    <w:jc w:val="center"/>
                    <w:outlineLvl w:val="1"/>
                    <w:rPr>
                      <w:rFonts w:hint="eastAsia" w:eastAsia="宋体"/>
                      <w:b w:val="0"/>
                      <w:bCs w:val="0"/>
                      <w:color w:val="auto"/>
                      <w:sz w:val="21"/>
                      <w:szCs w:val="21"/>
                      <w:highlight w:val="none"/>
                      <w:lang w:val="en-US" w:eastAsia="zh-CN"/>
                    </w:rPr>
                  </w:pPr>
                  <w:r>
                    <w:rPr>
                      <w:rFonts w:hint="default" w:eastAsia="宋体"/>
                      <w:b w:val="0"/>
                      <w:bCs w:val="0"/>
                      <w:color w:val="auto"/>
                      <w:sz w:val="21"/>
                      <w:szCs w:val="21"/>
                      <w:highlight w:val="none"/>
                      <w:lang w:val="en-US" w:eastAsia="zh-CN"/>
                    </w:rPr>
                    <w:t>124.32</w:t>
                  </w:r>
                </w:p>
              </w:tc>
              <w:tc>
                <w:tcPr>
                  <w:tcW w:w="904" w:type="dxa"/>
                  <w:noWrap w:val="0"/>
                  <w:vAlign w:val="center"/>
                </w:tcPr>
                <w:p>
                  <w:pPr>
                    <w:pStyle w:val="3"/>
                    <w:jc w:val="center"/>
                    <w:outlineLvl w:val="1"/>
                    <w:rPr>
                      <w:rFonts w:hint="eastAsia" w:eastAsia="宋体"/>
                      <w:b w:val="0"/>
                      <w:bCs w:val="0"/>
                      <w:color w:val="auto"/>
                      <w:sz w:val="21"/>
                      <w:szCs w:val="21"/>
                      <w:highlight w:val="none"/>
                      <w:lang w:val="en-US" w:eastAsia="zh-CN"/>
                    </w:rPr>
                  </w:pPr>
                  <w:r>
                    <w:rPr>
                      <w:rFonts w:hint="default" w:eastAsia="宋体"/>
                      <w:b w:val="0"/>
                      <w:bCs w:val="0"/>
                      <w:color w:val="auto"/>
                      <w:sz w:val="21"/>
                      <w:szCs w:val="21"/>
                      <w:highlight w:val="none"/>
                      <w:lang w:val="en-US" w:eastAsia="zh-CN"/>
                    </w:rPr>
                    <w:t>35591.8</w:t>
                  </w:r>
                </w:p>
              </w:tc>
              <w:tc>
                <w:tcPr>
                  <w:tcW w:w="911" w:type="dxa"/>
                  <w:noWrap w:val="0"/>
                  <w:vAlign w:val="center"/>
                </w:tcPr>
                <w:p>
                  <w:pPr>
                    <w:pStyle w:val="3"/>
                    <w:jc w:val="center"/>
                    <w:outlineLvl w:val="1"/>
                    <w:rPr>
                      <w:rFonts w:hint="default" w:eastAsia="宋体"/>
                      <w:b w:val="0"/>
                      <w:bCs w:val="0"/>
                      <w:color w:val="auto"/>
                      <w:sz w:val="21"/>
                      <w:szCs w:val="21"/>
                      <w:highlight w:val="none"/>
                      <w:lang w:val="en-US" w:eastAsia="zh-CN"/>
                    </w:rPr>
                  </w:pPr>
                  <w:r>
                    <w:rPr>
                      <w:rFonts w:hint="default" w:eastAsia="宋体"/>
                      <w:b w:val="0"/>
                      <w:bCs w:val="0"/>
                      <w:color w:val="auto"/>
                      <w:sz w:val="21"/>
                      <w:szCs w:val="21"/>
                      <w:highlight w:val="none"/>
                      <w:lang w:val="en-US" w:eastAsia="zh-CN"/>
                    </w:rPr>
                    <w:t>/</w:t>
                  </w:r>
                </w:p>
              </w:tc>
              <w:tc>
                <w:tcPr>
                  <w:tcW w:w="772" w:type="dxa"/>
                  <w:noWrap w:val="0"/>
                  <w:vAlign w:val="center"/>
                </w:tcPr>
                <w:p>
                  <w:pPr>
                    <w:pStyle w:val="3"/>
                    <w:jc w:val="center"/>
                    <w:outlineLvl w:val="1"/>
                    <w:rPr>
                      <w:rFonts w:hint="eastAsia" w:eastAsia="宋体"/>
                      <w:b w:val="0"/>
                      <w:bCs w:val="0"/>
                      <w:color w:val="auto"/>
                      <w:sz w:val="21"/>
                      <w:szCs w:val="21"/>
                      <w:highlight w:val="none"/>
                      <w:lang w:val="en-US" w:eastAsia="zh-CN"/>
                    </w:rPr>
                  </w:pPr>
                  <w:r>
                    <w:rPr>
                      <w:rFonts w:hint="default" w:eastAsia="宋体"/>
                      <w:b w:val="0"/>
                      <w:bCs w:val="0"/>
                      <w:color w:val="auto"/>
                      <w:sz w:val="21"/>
                      <w:szCs w:val="21"/>
                      <w:highlight w:val="none"/>
                      <w:lang w:val="en-US" w:eastAsia="zh-CN"/>
                    </w:rPr>
                    <w:t>97.17</w:t>
                  </w:r>
                </w:p>
              </w:tc>
              <w:tc>
                <w:tcPr>
                  <w:tcW w:w="904" w:type="dxa"/>
                  <w:noWrap w:val="0"/>
                  <w:vAlign w:val="center"/>
                </w:tcPr>
                <w:p>
                  <w:pPr>
                    <w:pStyle w:val="3"/>
                    <w:jc w:val="center"/>
                    <w:outlineLvl w:val="1"/>
                    <w:rPr>
                      <w:rFonts w:hint="eastAsia" w:eastAsia="宋体"/>
                      <w:b w:val="0"/>
                      <w:bCs w:val="0"/>
                      <w:color w:val="auto"/>
                      <w:sz w:val="21"/>
                      <w:szCs w:val="21"/>
                      <w:highlight w:val="none"/>
                      <w:lang w:val="en-US" w:eastAsia="zh-CN"/>
                    </w:rPr>
                  </w:pPr>
                  <w:r>
                    <w:rPr>
                      <w:rFonts w:hint="default" w:eastAsia="宋体"/>
                      <w:b w:val="0"/>
                      <w:bCs w:val="0"/>
                      <w:color w:val="auto"/>
                      <w:sz w:val="21"/>
                      <w:szCs w:val="21"/>
                      <w:highlight w:val="none"/>
                      <w:lang w:val="en-US" w:eastAsia="zh-CN"/>
                    </w:rPr>
                    <w:t>27722.3</w:t>
                  </w:r>
                </w:p>
              </w:tc>
            </w:tr>
          </w:tbl>
          <w:p>
            <w:pPr>
              <w:spacing w:line="360" w:lineRule="auto"/>
              <w:ind w:firstLine="480" w:firstLineChars="200"/>
              <w:rPr>
                <w:rFonts w:hint="eastAsia"/>
                <w:bCs/>
                <w:color w:val="auto"/>
                <w:sz w:val="24"/>
                <w:highlight w:val="none"/>
                <w:lang w:val="en-US" w:eastAsia="zh-CN"/>
              </w:rPr>
            </w:pPr>
            <w:r>
              <w:rPr>
                <w:rFonts w:hint="eastAsia"/>
                <w:bCs/>
                <w:color w:val="auto"/>
                <w:sz w:val="24"/>
                <w:highlight w:val="none"/>
                <w:lang w:val="en-US" w:eastAsia="zh-CN"/>
              </w:rPr>
              <w:t>本项目雨污分流。</w:t>
            </w:r>
            <w:r>
              <w:rPr>
                <w:bCs/>
                <w:color w:val="auto"/>
                <w:sz w:val="24"/>
                <w:highlight w:val="none"/>
              </w:rPr>
              <w:t>雨水排入市政雨水管</w:t>
            </w:r>
            <w:r>
              <w:rPr>
                <w:rFonts w:hint="eastAsia"/>
                <w:bCs/>
                <w:color w:val="auto"/>
                <w:sz w:val="24"/>
                <w:highlight w:val="none"/>
                <w:lang w:val="en-US" w:eastAsia="zh-CN"/>
              </w:rPr>
              <w:t>网</w:t>
            </w:r>
            <w:r>
              <w:rPr>
                <w:rFonts w:hint="eastAsia"/>
                <w:bCs/>
                <w:color w:val="auto"/>
                <w:sz w:val="24"/>
                <w:highlight w:val="none"/>
                <w:lang w:eastAsia="zh-CN"/>
              </w:rPr>
              <w:t>。食堂废水</w:t>
            </w:r>
            <w:r>
              <w:rPr>
                <w:rFonts w:hint="eastAsia"/>
                <w:bCs/>
                <w:color w:val="auto"/>
                <w:sz w:val="24"/>
                <w:highlight w:val="none"/>
                <w:lang w:val="en-US" w:eastAsia="zh-CN"/>
              </w:rPr>
              <w:t>先</w:t>
            </w:r>
            <w:r>
              <w:rPr>
                <w:bCs/>
                <w:color w:val="auto"/>
                <w:sz w:val="24"/>
                <w:highlight w:val="none"/>
              </w:rPr>
              <w:t>经</w:t>
            </w:r>
            <w:r>
              <w:rPr>
                <w:rFonts w:hint="eastAsia"/>
                <w:bCs/>
                <w:color w:val="auto"/>
                <w:sz w:val="24"/>
                <w:highlight w:val="none"/>
                <w:lang w:val="en-US" w:eastAsia="zh-CN"/>
              </w:rPr>
              <w:t>食堂</w:t>
            </w:r>
            <w:r>
              <w:rPr>
                <w:bCs/>
                <w:color w:val="auto"/>
                <w:sz w:val="24"/>
                <w:highlight w:val="none"/>
              </w:rPr>
              <w:t>隔油池处理</w:t>
            </w:r>
            <w:r>
              <w:rPr>
                <w:rFonts w:hint="eastAsia"/>
                <w:bCs/>
                <w:color w:val="auto"/>
                <w:sz w:val="24"/>
                <w:highlight w:val="none"/>
                <w:lang w:eastAsia="zh-CN"/>
              </w:rPr>
              <w:t>，</w:t>
            </w:r>
            <w:r>
              <w:rPr>
                <w:bCs/>
                <w:color w:val="auto"/>
                <w:sz w:val="24"/>
                <w:highlight w:val="none"/>
              </w:rPr>
              <w:t>生活污水</w:t>
            </w:r>
            <w:r>
              <w:rPr>
                <w:rFonts w:hint="eastAsia"/>
                <w:bCs/>
                <w:color w:val="auto"/>
                <w:sz w:val="24"/>
                <w:highlight w:val="none"/>
                <w:lang w:val="en-US" w:eastAsia="zh-CN"/>
              </w:rPr>
              <w:t>先经预处理池处理</w:t>
            </w:r>
            <w:r>
              <w:rPr>
                <w:rFonts w:hint="eastAsia"/>
                <w:bCs/>
                <w:color w:val="auto"/>
                <w:sz w:val="24"/>
                <w:highlight w:val="none"/>
                <w:lang w:eastAsia="zh-CN"/>
              </w:rPr>
              <w:t>，</w:t>
            </w:r>
            <w:r>
              <w:rPr>
                <w:rFonts w:hint="eastAsia"/>
                <w:bCs/>
                <w:color w:val="auto"/>
                <w:sz w:val="24"/>
                <w:highlight w:val="none"/>
                <w:lang w:val="en-US" w:eastAsia="zh-CN"/>
              </w:rPr>
              <w:t>再汇同生产废水</w:t>
            </w:r>
            <w:r>
              <w:rPr>
                <w:color w:val="auto"/>
                <w:sz w:val="24"/>
                <w:highlight w:val="none"/>
              </w:rPr>
              <w:t>经</w:t>
            </w:r>
            <w:r>
              <w:rPr>
                <w:rFonts w:hint="eastAsia"/>
                <w:color w:val="auto"/>
                <w:sz w:val="24"/>
                <w:highlight w:val="none"/>
                <w:lang w:val="en-US" w:eastAsia="zh-CN"/>
              </w:rPr>
              <w:t>污水处理站</w:t>
            </w:r>
            <w:r>
              <w:rPr>
                <w:color w:val="auto"/>
                <w:sz w:val="24"/>
                <w:highlight w:val="none"/>
              </w:rPr>
              <w:t>处理</w:t>
            </w:r>
            <w:r>
              <w:rPr>
                <w:rFonts w:hint="eastAsia"/>
                <w:color w:val="auto"/>
                <w:sz w:val="24"/>
                <w:highlight w:val="none"/>
                <w:lang w:val="en-US" w:eastAsia="zh-CN"/>
              </w:rPr>
              <w:t>后排入园区污水处理厂，处理达标后排入大坝河。</w:t>
            </w:r>
          </w:p>
          <w:p>
            <w:pPr>
              <w:spacing w:line="360" w:lineRule="auto"/>
              <w:ind w:firstLine="480" w:firstLineChars="200"/>
              <w:rPr>
                <w:bCs/>
                <w:color w:val="auto"/>
                <w:sz w:val="24"/>
                <w:highlight w:val="none"/>
              </w:rPr>
            </w:pPr>
            <w:r>
              <w:rPr>
                <w:rFonts w:hint="eastAsia"/>
                <w:bCs/>
                <w:color w:val="auto"/>
                <w:sz w:val="24"/>
                <w:highlight w:val="none"/>
                <w:lang w:val="en-US" w:eastAsia="zh-CN"/>
              </w:rPr>
              <w:t>本</w:t>
            </w:r>
            <w:r>
              <w:rPr>
                <w:bCs/>
                <w:color w:val="auto"/>
                <w:sz w:val="24"/>
                <w:highlight w:val="none"/>
              </w:rPr>
              <w:t>项目水平衡关系见图2-</w:t>
            </w:r>
            <w:r>
              <w:rPr>
                <w:rFonts w:hint="eastAsia"/>
                <w:bCs/>
                <w:color w:val="auto"/>
                <w:sz w:val="24"/>
                <w:highlight w:val="none"/>
                <w:lang w:val="en-US" w:eastAsia="zh-CN"/>
              </w:rPr>
              <w:t>1</w:t>
            </w:r>
            <w:r>
              <w:rPr>
                <w:rFonts w:hint="eastAsia"/>
                <w:bCs/>
                <w:color w:val="auto"/>
                <w:sz w:val="24"/>
                <w:highlight w:val="none"/>
              </w:rPr>
              <w:t>。</w:t>
            </w:r>
          </w:p>
          <w:p>
            <w:pPr>
              <w:adjustRightInd w:val="0"/>
              <w:snapToGrid w:val="0"/>
              <w:spacing w:line="360" w:lineRule="auto"/>
              <w:jc w:val="center"/>
              <w:rPr>
                <w:rFonts w:hint="default"/>
                <w:bCs/>
                <w:color w:val="auto"/>
                <w:sz w:val="24"/>
                <w:highlight w:val="none"/>
                <w:lang w:val="en-US" w:eastAsia="zh-CN"/>
              </w:rPr>
            </w:pPr>
            <w:r>
              <w:rPr>
                <w:rFonts w:hint="default"/>
                <w:bCs/>
                <w:color w:val="auto"/>
                <w:sz w:val="24"/>
                <w:highlight w:val="none"/>
                <w:lang w:val="en-US" w:eastAsia="zh-CN"/>
              </w:rPr>
              <w:object>
                <v:shape id="_x0000_i1027" o:spt="75" type="#_x0000_t75" style="height:353.65pt;width:409.5pt;" o:ole="t" filled="f" o:preferrelative="t" stroked="f" coordsize="21600,21600">
                  <v:path/>
                  <v:fill on="f" focussize="0,0"/>
                  <v:stroke on="f"/>
                  <v:imagedata r:id="rId15" o:title=""/>
                  <o:lock v:ext="edit" aspectratio="t"/>
                  <w10:wrap type="none"/>
                  <w10:anchorlock/>
                </v:shape>
                <o:OLEObject Type="Embed" ProgID="Visio.Drawing.15" ShapeID="_x0000_i1027" DrawAspect="Content" ObjectID="_1468075727" r:id="rId14">
                  <o:LockedField>false</o:LockedField>
                </o:OLEObject>
              </w:object>
            </w:r>
          </w:p>
          <w:p>
            <w:pPr>
              <w:adjustRightInd w:val="0"/>
              <w:snapToGrid w:val="0"/>
              <w:spacing w:line="360" w:lineRule="auto"/>
              <w:jc w:val="center"/>
              <w:rPr>
                <w:rFonts w:hint="eastAsia"/>
                <w:b/>
                <w:bCs/>
                <w:color w:val="auto"/>
                <w:szCs w:val="21"/>
                <w:highlight w:val="none"/>
                <w:shd w:val="clear" w:color="auto" w:fill="FFFFFF"/>
              </w:rPr>
            </w:pPr>
            <w:r>
              <w:rPr>
                <w:b/>
                <w:bCs/>
                <w:color w:val="auto"/>
                <w:szCs w:val="21"/>
                <w:highlight w:val="none"/>
                <w:shd w:val="clear" w:color="auto" w:fill="FFFFFF"/>
              </w:rPr>
              <w:t>图2-</w:t>
            </w:r>
            <w:r>
              <w:rPr>
                <w:rFonts w:hint="eastAsia"/>
                <w:b/>
                <w:bCs/>
                <w:color w:val="auto"/>
                <w:szCs w:val="21"/>
                <w:highlight w:val="none"/>
                <w:shd w:val="clear" w:color="auto" w:fill="FFFFFF"/>
                <w:lang w:val="en-US" w:eastAsia="zh-CN"/>
              </w:rPr>
              <w:t>1</w:t>
            </w:r>
            <w:r>
              <w:rPr>
                <w:rFonts w:hint="eastAsia"/>
                <w:b/>
                <w:bCs/>
                <w:color w:val="auto"/>
                <w:szCs w:val="21"/>
                <w:highlight w:val="none"/>
                <w:shd w:val="clear" w:color="auto" w:fill="FFFFFF"/>
              </w:rPr>
              <w:t xml:space="preserve">  </w:t>
            </w:r>
            <w:r>
              <w:rPr>
                <w:rFonts w:hint="eastAsia"/>
                <w:b/>
                <w:bCs/>
                <w:color w:val="auto"/>
                <w:szCs w:val="21"/>
                <w:highlight w:val="none"/>
                <w:shd w:val="clear" w:color="auto" w:fill="FFFFFF"/>
                <w:lang w:val="en-US" w:eastAsia="zh-CN"/>
              </w:rPr>
              <w:t>本</w:t>
            </w:r>
            <w:r>
              <w:rPr>
                <w:b/>
                <w:bCs/>
                <w:color w:val="auto"/>
                <w:szCs w:val="21"/>
                <w:highlight w:val="none"/>
                <w:shd w:val="clear" w:color="auto" w:fill="FFFFFF"/>
              </w:rPr>
              <w:t xml:space="preserve">项目水平衡图  </w:t>
            </w:r>
            <w:r>
              <w:rPr>
                <w:rFonts w:hint="eastAsia"/>
                <w:b/>
                <w:bCs/>
                <w:color w:val="auto"/>
                <w:szCs w:val="21"/>
                <w:highlight w:val="none"/>
                <w:shd w:val="clear" w:color="auto" w:fill="FFFFFF"/>
              </w:rPr>
              <w:t xml:space="preserve">  </w:t>
            </w:r>
            <w:r>
              <w:rPr>
                <w:b/>
                <w:bCs/>
                <w:color w:val="auto"/>
                <w:szCs w:val="21"/>
                <w:highlight w:val="none"/>
                <w:shd w:val="clear" w:color="auto" w:fill="FFFFFF"/>
              </w:rPr>
              <w:t>单位</w:t>
            </w:r>
            <w:r>
              <w:rPr>
                <w:rFonts w:hint="eastAsia"/>
                <w:b/>
                <w:bCs/>
                <w:color w:val="auto"/>
                <w:szCs w:val="21"/>
                <w:highlight w:val="none"/>
                <w:shd w:val="clear" w:color="auto" w:fill="FFFFFF"/>
              </w:rPr>
              <w:t>：</w:t>
            </w:r>
            <w:r>
              <w:rPr>
                <w:b/>
                <w:bCs/>
                <w:color w:val="auto"/>
                <w:szCs w:val="21"/>
                <w:highlight w:val="none"/>
                <w:shd w:val="clear" w:color="auto" w:fill="FFFFFF"/>
              </w:rPr>
              <w:t>m</w:t>
            </w:r>
            <w:r>
              <w:rPr>
                <w:b/>
                <w:bCs/>
                <w:color w:val="auto"/>
                <w:szCs w:val="21"/>
                <w:highlight w:val="none"/>
                <w:shd w:val="clear" w:color="auto" w:fill="FFFFFF"/>
                <w:vertAlign w:val="superscript"/>
              </w:rPr>
              <w:t>3</w:t>
            </w:r>
            <w:r>
              <w:rPr>
                <w:b/>
                <w:bCs/>
                <w:color w:val="auto"/>
                <w:szCs w:val="21"/>
                <w:highlight w:val="none"/>
                <w:shd w:val="clear" w:color="auto" w:fill="FFFFFF"/>
              </w:rPr>
              <w:t>/</w:t>
            </w:r>
            <w:r>
              <w:rPr>
                <w:rFonts w:hint="eastAsia"/>
                <w:b/>
                <w:bCs/>
                <w:color w:val="auto"/>
                <w:szCs w:val="21"/>
                <w:highlight w:val="none"/>
                <w:shd w:val="clear" w:color="auto" w:fill="FFFFFF"/>
              </w:rPr>
              <w:t>d</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b w:val="0"/>
                <w:bCs/>
                <w:color w:val="auto"/>
                <w:sz w:val="24"/>
                <w:highlight w:val="none"/>
                <w:lang w:val="en-US" w:eastAsia="zh-CN"/>
              </w:rPr>
            </w:pPr>
            <w:r>
              <w:rPr>
                <w:rFonts w:hint="eastAsia" w:ascii="Times New Roman" w:hAnsi="Times New Roman"/>
                <w:b/>
                <w:color w:val="auto"/>
                <w:kern w:val="0"/>
                <w:sz w:val="24"/>
                <w:szCs w:val="24"/>
                <w:highlight w:val="none"/>
                <w:lang w:val="en-US" w:eastAsia="zh-CN" w:bidi="ar"/>
              </w:rPr>
              <w:t>9</w:t>
            </w:r>
            <w:r>
              <w:rPr>
                <w:rFonts w:hint="eastAsia" w:ascii="Times New Roman" w:hAnsi="Times New Roman"/>
                <w:b/>
                <w:color w:val="auto"/>
                <w:kern w:val="0"/>
                <w:sz w:val="24"/>
                <w:szCs w:val="24"/>
                <w:highlight w:val="none"/>
                <w:lang w:bidi="ar"/>
              </w:rPr>
              <w:t>、劳动定员及工作制度</w:t>
            </w:r>
          </w:p>
          <w:p>
            <w:pPr>
              <w:spacing w:line="360" w:lineRule="auto"/>
              <w:ind w:firstLine="480" w:firstLineChars="200"/>
              <w:rPr>
                <w:bCs/>
                <w:color w:val="auto"/>
                <w:sz w:val="24"/>
                <w:highlight w:val="none"/>
              </w:rPr>
            </w:pPr>
            <w:r>
              <w:rPr>
                <w:bCs/>
                <w:color w:val="auto"/>
                <w:sz w:val="24"/>
                <w:highlight w:val="none"/>
              </w:rPr>
              <w:t>劳动定员：项目</w:t>
            </w:r>
            <w:r>
              <w:rPr>
                <w:rFonts w:hint="eastAsia"/>
                <w:bCs/>
                <w:color w:val="auto"/>
                <w:sz w:val="24"/>
                <w:highlight w:val="none"/>
                <w:lang w:val="en-US" w:eastAsia="zh-CN"/>
              </w:rPr>
              <w:t>新增</w:t>
            </w:r>
            <w:r>
              <w:rPr>
                <w:bCs/>
                <w:color w:val="auto"/>
                <w:sz w:val="24"/>
                <w:highlight w:val="none"/>
              </w:rPr>
              <w:t>劳动定员</w:t>
            </w:r>
            <w:r>
              <w:rPr>
                <w:rFonts w:hint="eastAsia"/>
                <w:bCs/>
                <w:color w:val="auto"/>
                <w:sz w:val="24"/>
                <w:highlight w:val="none"/>
                <w:lang w:val="en-US" w:eastAsia="zh-CN"/>
              </w:rPr>
              <w:t>8</w:t>
            </w:r>
            <w:r>
              <w:rPr>
                <w:bCs/>
                <w:color w:val="auto"/>
                <w:sz w:val="24"/>
                <w:highlight w:val="none"/>
              </w:rPr>
              <w:t>0人，厂区内提供</w:t>
            </w:r>
            <w:r>
              <w:rPr>
                <w:rFonts w:hint="eastAsia"/>
                <w:bCs/>
                <w:color w:val="auto"/>
                <w:sz w:val="24"/>
                <w:highlight w:val="none"/>
                <w:lang w:val="en-US" w:eastAsia="zh-CN"/>
              </w:rPr>
              <w:t>住宿，依托已建食堂</w:t>
            </w:r>
            <w:r>
              <w:rPr>
                <w:bCs/>
                <w:color w:val="auto"/>
                <w:sz w:val="24"/>
                <w:highlight w:val="none"/>
              </w:rPr>
              <w:t>。</w:t>
            </w:r>
          </w:p>
          <w:p>
            <w:pPr>
              <w:spacing w:line="360" w:lineRule="auto"/>
              <w:ind w:firstLine="480" w:firstLineChars="200"/>
              <w:rPr>
                <w:bCs/>
                <w:color w:val="auto"/>
                <w:sz w:val="24"/>
                <w:highlight w:val="none"/>
              </w:rPr>
            </w:pPr>
            <w:r>
              <w:rPr>
                <w:bCs/>
                <w:color w:val="auto"/>
                <w:sz w:val="24"/>
                <w:highlight w:val="none"/>
              </w:rPr>
              <w:t>工作制度：全年生产300天，实行</w:t>
            </w:r>
            <w:r>
              <w:rPr>
                <w:rFonts w:hint="eastAsia"/>
                <w:bCs/>
                <w:color w:val="auto"/>
                <w:sz w:val="24"/>
                <w:highlight w:val="none"/>
                <w:lang w:val="en-US" w:eastAsia="zh-CN"/>
              </w:rPr>
              <w:t>两</w:t>
            </w:r>
            <w:r>
              <w:rPr>
                <w:bCs/>
                <w:color w:val="auto"/>
                <w:sz w:val="24"/>
                <w:highlight w:val="none"/>
              </w:rPr>
              <w:t>班</w:t>
            </w:r>
            <w:r>
              <w:rPr>
                <w:rFonts w:hint="eastAsia"/>
                <w:bCs/>
                <w:color w:val="auto"/>
                <w:sz w:val="24"/>
                <w:highlight w:val="none"/>
                <w:lang w:val="en-US" w:eastAsia="zh-CN"/>
              </w:rPr>
              <w:t>制度，每日</w:t>
            </w:r>
            <w:r>
              <w:rPr>
                <w:bCs/>
                <w:color w:val="auto"/>
                <w:sz w:val="24"/>
                <w:highlight w:val="none"/>
              </w:rPr>
              <w:t>工作</w:t>
            </w:r>
            <w:r>
              <w:rPr>
                <w:rFonts w:hint="eastAsia"/>
                <w:bCs/>
                <w:color w:val="auto"/>
                <w:sz w:val="24"/>
                <w:highlight w:val="none"/>
                <w:lang w:val="en-US" w:eastAsia="zh-CN"/>
              </w:rPr>
              <w:t>12</w:t>
            </w:r>
            <w:r>
              <w:rPr>
                <w:bCs/>
                <w:color w:val="auto"/>
                <w:sz w:val="24"/>
                <w:highlight w:val="none"/>
              </w:rPr>
              <w:t>h</w:t>
            </w:r>
            <w:r>
              <w:rPr>
                <w:rFonts w:hint="eastAsia"/>
                <w:bCs/>
                <w:color w:val="auto"/>
                <w:sz w:val="24"/>
                <w:highlight w:val="none"/>
                <w:lang w:eastAsia="zh-CN"/>
              </w:rPr>
              <w:t>，</w:t>
            </w:r>
            <w:r>
              <w:rPr>
                <w:rFonts w:hint="eastAsia"/>
                <w:bCs/>
                <w:color w:val="auto"/>
                <w:sz w:val="24"/>
                <w:highlight w:val="none"/>
                <w:lang w:val="en-US" w:eastAsia="zh-CN"/>
              </w:rPr>
              <w:t>夜间不生产</w:t>
            </w:r>
            <w:r>
              <w:rPr>
                <w:bCs/>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b w:val="0"/>
                <w:bCs/>
                <w:color w:val="auto"/>
                <w:sz w:val="24"/>
                <w:highlight w:val="none"/>
                <w:lang w:val="en-US" w:eastAsia="zh-CN"/>
              </w:rPr>
            </w:pPr>
            <w:r>
              <w:rPr>
                <w:rFonts w:hint="eastAsia"/>
                <w:b/>
                <w:bCs/>
                <w:color w:val="auto"/>
                <w:sz w:val="24"/>
                <w:highlight w:val="none"/>
                <w:shd w:val="clear" w:color="auto" w:fill="FFFFFF"/>
                <w:lang w:val="en-US" w:eastAsia="zh-CN"/>
              </w:rPr>
              <w:t>10、厂区平面布置合理性分析</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bCs/>
                <w:color w:val="auto"/>
                <w:sz w:val="24"/>
                <w:highlight w:val="none"/>
              </w:rPr>
              <w:t>项目生活办公区与生产区域分开，生产</w:t>
            </w:r>
            <w:r>
              <w:rPr>
                <w:rFonts w:hint="eastAsia"/>
                <w:bCs/>
                <w:color w:val="auto"/>
                <w:sz w:val="24"/>
                <w:highlight w:val="none"/>
                <w:lang w:val="en-US" w:eastAsia="zh-CN"/>
              </w:rPr>
              <w:t>车间为1号车间，</w:t>
            </w:r>
            <w:r>
              <w:rPr>
                <w:bCs/>
                <w:color w:val="auto"/>
                <w:sz w:val="24"/>
                <w:highlight w:val="none"/>
              </w:rPr>
              <w:t>设置于厂区</w:t>
            </w:r>
            <w:r>
              <w:rPr>
                <w:rFonts w:hint="eastAsia"/>
                <w:bCs/>
                <w:color w:val="auto"/>
                <w:sz w:val="24"/>
                <w:highlight w:val="none"/>
                <w:lang w:val="en-US" w:eastAsia="zh-CN"/>
              </w:rPr>
              <w:t>北</w:t>
            </w:r>
            <w:r>
              <w:rPr>
                <w:bCs/>
                <w:color w:val="auto"/>
                <w:sz w:val="24"/>
                <w:highlight w:val="none"/>
              </w:rPr>
              <w:t>侧</w:t>
            </w:r>
            <w:r>
              <w:rPr>
                <w:rFonts w:hint="eastAsia"/>
                <w:bCs/>
                <w:color w:val="auto"/>
                <w:sz w:val="24"/>
                <w:highlight w:val="none"/>
                <w:lang w:val="en-US" w:eastAsia="zh-CN"/>
              </w:rPr>
              <w:t>和中部</w:t>
            </w:r>
            <w:r>
              <w:rPr>
                <w:bCs/>
                <w:color w:val="auto"/>
                <w:sz w:val="24"/>
                <w:highlight w:val="none"/>
              </w:rPr>
              <w:t>，生活办公区设置于厂区的</w:t>
            </w:r>
            <w:r>
              <w:rPr>
                <w:rFonts w:hint="eastAsia"/>
                <w:bCs/>
                <w:color w:val="auto"/>
                <w:sz w:val="24"/>
                <w:highlight w:val="none"/>
                <w:lang w:val="en-US" w:eastAsia="zh-CN"/>
              </w:rPr>
              <w:t>南</w:t>
            </w:r>
            <w:r>
              <w:rPr>
                <w:bCs/>
                <w:color w:val="auto"/>
                <w:sz w:val="24"/>
                <w:highlight w:val="none"/>
              </w:rPr>
              <w:t>侧，且生活办公区位于项目区域主导风向的</w:t>
            </w:r>
            <w:r>
              <w:rPr>
                <w:rFonts w:hint="eastAsia"/>
                <w:bCs/>
                <w:color w:val="auto"/>
                <w:sz w:val="24"/>
                <w:highlight w:val="none"/>
                <w:lang w:eastAsia="zh-CN"/>
              </w:rPr>
              <w:t>侧</w:t>
            </w:r>
            <w:r>
              <w:rPr>
                <w:bCs/>
                <w:color w:val="auto"/>
                <w:sz w:val="24"/>
                <w:highlight w:val="none"/>
              </w:rPr>
              <w:t>风向，生产废气对办公人员的影响</w:t>
            </w:r>
            <w:r>
              <w:rPr>
                <w:rFonts w:hint="eastAsia"/>
                <w:bCs/>
                <w:color w:val="auto"/>
                <w:sz w:val="24"/>
                <w:highlight w:val="none"/>
                <w:lang w:eastAsia="zh-CN"/>
              </w:rPr>
              <w:t>较小</w:t>
            </w:r>
            <w:r>
              <w:rPr>
                <w:bCs/>
                <w:color w:val="auto"/>
                <w:sz w:val="24"/>
                <w:highlight w:val="none"/>
              </w:rPr>
              <w:t>。</w:t>
            </w:r>
            <w:r>
              <w:rPr>
                <w:rFonts w:hint="eastAsia"/>
                <w:bCs/>
                <w:color w:val="auto"/>
                <w:sz w:val="24"/>
                <w:highlight w:val="none"/>
                <w:lang w:val="en-US" w:eastAsia="zh-CN"/>
              </w:rPr>
              <w:t>2号车间作为成品仓库，原料仓库位于1号车间的南侧，且紧邻进出口。本项目1号车间与现有项目之间设置物料输送廊桥，</w:t>
            </w:r>
            <w:r>
              <w:rPr>
                <w:bCs/>
                <w:color w:val="auto"/>
                <w:sz w:val="24"/>
                <w:highlight w:val="none"/>
              </w:rPr>
              <w:t>项目在设备与功能布局上均按照项目生产工艺流程进行布局，尽量减少物料的二次搬运</w:t>
            </w:r>
            <w:r>
              <w:rPr>
                <w:rFonts w:hint="eastAsia"/>
                <w:bCs/>
                <w:color w:val="auto"/>
                <w:sz w:val="24"/>
                <w:highlight w:val="none"/>
                <w:lang w:eastAsia="zh-CN"/>
              </w:rPr>
              <w:t>，</w:t>
            </w:r>
            <w:r>
              <w:rPr>
                <w:bCs/>
                <w:color w:val="auto"/>
                <w:sz w:val="24"/>
                <w:highlight w:val="none"/>
              </w:rPr>
              <w:t>做到工艺顺畅。本项目厂区出入口</w:t>
            </w:r>
            <w:r>
              <w:rPr>
                <w:rFonts w:hint="eastAsia"/>
                <w:bCs/>
                <w:color w:val="auto"/>
                <w:sz w:val="24"/>
                <w:highlight w:val="none"/>
                <w:lang w:val="en-US" w:eastAsia="zh-CN"/>
              </w:rPr>
              <w:t>紧邻马路</w:t>
            </w:r>
            <w:r>
              <w:rPr>
                <w:bCs/>
                <w:color w:val="auto"/>
                <w:sz w:val="24"/>
                <w:highlight w:val="none"/>
              </w:rPr>
              <w:t>，方便原料和成品的运输，节约成本和时间。</w:t>
            </w:r>
          </w:p>
          <w:p>
            <w:pPr>
              <w:spacing w:line="360" w:lineRule="auto"/>
              <w:ind w:firstLine="482" w:firstLineChars="200"/>
              <w:rPr>
                <w:rFonts w:ascii="宋体" w:hAnsi="宋体" w:cs="宋体"/>
                <w:bCs/>
                <w:color w:val="auto"/>
                <w:szCs w:val="21"/>
                <w:highlight w:val="none"/>
              </w:rPr>
            </w:pPr>
            <w:r>
              <w:rPr>
                <w:b/>
                <w:bCs w:val="0"/>
                <w:color w:val="auto"/>
                <w:sz w:val="24"/>
                <w:highlight w:val="none"/>
              </w:rPr>
              <w:t>综上所述，本项目厂区工艺流程顺畅，总平面布局合理。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4" w:type="dxa"/>
            <w:noWrap w:val="0"/>
            <w:vAlign w:val="center"/>
          </w:tcPr>
          <w:p>
            <w:pPr>
              <w:pStyle w:val="19"/>
              <w:adjustRightInd w:val="0"/>
              <w:snapToGrid w:val="0"/>
              <w:spacing w:before="0" w:beforeAutospacing="0" w:after="0" w:afterAutospacing="0"/>
              <w:jc w:val="center"/>
              <w:rPr>
                <w:rFonts w:cs="宋体"/>
                <w:color w:val="auto"/>
                <w:sz w:val="21"/>
                <w:szCs w:val="21"/>
                <w:highlight w:val="none"/>
              </w:rPr>
            </w:pPr>
            <w:r>
              <w:rPr>
                <w:rFonts w:hint="eastAsia" w:cs="宋体"/>
                <w:color w:val="auto"/>
                <w:sz w:val="21"/>
                <w:szCs w:val="21"/>
                <w:highlight w:val="none"/>
              </w:rPr>
              <w:t>工艺流程和产排污环节</w:t>
            </w:r>
          </w:p>
        </w:tc>
        <w:tc>
          <w:tcPr>
            <w:tcW w:w="8636" w:type="dxa"/>
            <w:noWrap w:val="0"/>
            <w:vAlign w:val="top"/>
          </w:tcPr>
          <w:p>
            <w:pPr>
              <w:widowControl/>
              <w:bidi w:val="0"/>
              <w:snapToGrid w:val="0"/>
              <w:spacing w:line="360" w:lineRule="auto"/>
              <w:ind w:right="0"/>
              <w:jc w:val="both"/>
              <w:rPr>
                <w:rFonts w:hint="eastAsia" w:ascii="Times New Roman" w:hAnsi="Times New Roman" w:eastAsia="宋体" w:cs="Times New Roman"/>
                <w:b/>
                <w:bCs/>
                <w:color w:val="auto"/>
                <w:kern w:val="0"/>
                <w:sz w:val="24"/>
                <w:szCs w:val="24"/>
                <w:highlight w:val="none"/>
                <w:lang w:val="en-US" w:eastAsia="zh-CN" w:bidi="ar-SA"/>
              </w:rPr>
            </w:pPr>
            <w:r>
              <w:rPr>
                <w:rFonts w:hint="eastAsia" w:ascii="Times New Roman" w:hAnsi="Times New Roman" w:eastAsia="宋体" w:cs="Times New Roman"/>
                <w:b/>
                <w:bCs/>
                <w:color w:val="auto"/>
                <w:kern w:val="0"/>
                <w:sz w:val="24"/>
                <w:szCs w:val="24"/>
                <w:highlight w:val="none"/>
                <w:lang w:val="en-US" w:eastAsia="zh-CN" w:bidi="ar-SA"/>
              </w:rPr>
              <w:t>1、施工期工艺流程和产排污分析</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项目的建设包括基础工程施工、主体工程施工、设备安装调试以及</w:t>
            </w:r>
            <w:r>
              <w:rPr>
                <w:rFonts w:hint="eastAsia"/>
                <w:color w:val="auto"/>
                <w:sz w:val="24"/>
                <w:highlight w:val="none"/>
                <w:lang w:val="en-US" w:eastAsia="zh-CN"/>
              </w:rPr>
              <w:t>工程验收</w:t>
            </w:r>
            <w:r>
              <w:rPr>
                <w:rFonts w:hint="eastAsia"/>
                <w:color w:val="auto"/>
                <w:sz w:val="24"/>
                <w:highlight w:val="none"/>
              </w:rPr>
              <w:t>等阶段。施工过程产生的污染因素主要为建筑原材料的运输车辆噪声、扬尘、车辆尾气、建筑废弃料和施工人员产生的生活污水和生活垃圾等。施工期的工艺流程及产污位置如下图所示。</w:t>
            </w:r>
          </w:p>
          <w:p>
            <w:pPr>
              <w:pStyle w:val="4"/>
              <w:numPr>
                <w:ilvl w:val="2"/>
                <w:numId w:val="0"/>
              </w:numPr>
              <w:tabs>
                <w:tab w:val="left" w:pos="352"/>
              </w:tabs>
              <w:jc w:val="center"/>
              <w:rPr>
                <w:rFonts w:eastAsia="宋体"/>
                <w:bCs/>
                <w:color w:val="auto"/>
                <w:szCs w:val="21"/>
                <w:highlight w:val="none"/>
                <w:shd w:val="clear" w:color="auto" w:fill="FFFFFF"/>
              </w:rPr>
            </w:pPr>
            <w:r>
              <w:rPr>
                <w:rFonts w:eastAsia="宋体"/>
                <w:bCs/>
                <w:color w:val="auto"/>
                <w:szCs w:val="21"/>
                <w:highlight w:val="none"/>
                <w:shd w:val="clear" w:color="auto" w:fill="FFFFFF"/>
              </w:rPr>
              <w:object>
                <v:shape id="_x0000_i1028" o:spt="75" type="#_x0000_t75" style="height:181.8pt;width:410.9pt;" o:ole="t" filled="f" o:preferrelative="t" stroked="f" coordsize="21600,21600">
                  <v:path/>
                  <v:fill on="f" focussize="0,0"/>
                  <v:stroke on="f"/>
                  <v:imagedata r:id="rId17" o:title=""/>
                  <o:lock v:ext="edit" aspectratio="f"/>
                  <w10:wrap type="none"/>
                  <w10:anchorlock/>
                </v:shape>
                <o:OLEObject Type="Embed" ProgID="Visio.Drawing.15" ShapeID="_x0000_i1028" DrawAspect="Content" ObjectID="_1468075728" r:id="rId16">
                  <o:LockedField>false</o:LockedField>
                </o:OLEObject>
              </w:object>
            </w:r>
          </w:p>
          <w:p>
            <w:pPr>
              <w:pStyle w:val="41"/>
              <w:bidi w:val="0"/>
              <w:rPr>
                <w:rFonts w:ascii="Times New Roman" w:hAnsi="Times New Roman" w:eastAsia="宋体" w:cs="Times New Roman"/>
                <w:b/>
                <w:bCs/>
                <w:color w:val="auto"/>
                <w:szCs w:val="21"/>
                <w:highlight w:val="none"/>
                <w:shd w:val="clear" w:color="auto" w:fill="FFFFFF"/>
              </w:rPr>
            </w:pPr>
            <w:r>
              <w:rPr>
                <w:rFonts w:ascii="Times New Roman" w:hAnsi="Times New Roman" w:eastAsia="宋体" w:cs="Times New Roman"/>
                <w:b/>
                <w:bCs/>
                <w:color w:val="auto"/>
                <w:szCs w:val="21"/>
                <w:highlight w:val="none"/>
                <w:shd w:val="clear" w:color="auto" w:fill="FFFFFF"/>
              </w:rPr>
              <w:t>图2-</w:t>
            </w:r>
            <w:r>
              <w:rPr>
                <w:rFonts w:hint="eastAsia" w:eastAsia="宋体" w:cs="Times New Roman"/>
                <w:b/>
                <w:bCs/>
                <w:color w:val="auto"/>
                <w:szCs w:val="21"/>
                <w:highlight w:val="none"/>
                <w:shd w:val="clear" w:color="auto" w:fill="FFFFFF"/>
                <w:lang w:val="en-US" w:eastAsia="zh-CN"/>
              </w:rPr>
              <w:t>2</w:t>
            </w:r>
            <w:r>
              <w:rPr>
                <w:rFonts w:hint="eastAsia" w:ascii="Times New Roman" w:hAnsi="Times New Roman" w:eastAsia="宋体" w:cs="Times New Roman"/>
                <w:b/>
                <w:bCs/>
                <w:color w:val="auto"/>
                <w:szCs w:val="21"/>
                <w:highlight w:val="none"/>
                <w:shd w:val="clear" w:color="auto" w:fill="FFFFFF"/>
              </w:rPr>
              <w:t xml:space="preserve">  </w:t>
            </w:r>
            <w:r>
              <w:rPr>
                <w:rFonts w:ascii="Times New Roman" w:hAnsi="Times New Roman" w:eastAsia="宋体" w:cs="Times New Roman"/>
                <w:b/>
                <w:bCs/>
                <w:color w:val="auto"/>
                <w:szCs w:val="21"/>
                <w:highlight w:val="none"/>
                <w:shd w:val="clear" w:color="auto" w:fill="FFFFFF"/>
              </w:rPr>
              <w:t>施工期工艺流程</w:t>
            </w:r>
            <w:r>
              <w:rPr>
                <w:rFonts w:hint="eastAsia" w:ascii="Times New Roman" w:hAnsi="Times New Roman" w:eastAsia="宋体" w:cs="Times New Roman"/>
                <w:b/>
                <w:bCs/>
                <w:color w:val="auto"/>
                <w:szCs w:val="21"/>
                <w:highlight w:val="none"/>
                <w:shd w:val="clear" w:color="auto" w:fill="FFFFFF"/>
                <w:lang w:val="en-US" w:eastAsia="zh-CN"/>
              </w:rPr>
              <w:t>及产排污节点</w:t>
            </w:r>
            <w:r>
              <w:rPr>
                <w:rFonts w:ascii="Times New Roman" w:hAnsi="Times New Roman" w:eastAsia="宋体" w:cs="Times New Roman"/>
                <w:b/>
                <w:bCs/>
                <w:color w:val="auto"/>
                <w:szCs w:val="21"/>
                <w:highlight w:val="none"/>
                <w:shd w:val="clear" w:color="auto" w:fill="FFFFFF"/>
              </w:rPr>
              <w:t>图</w:t>
            </w:r>
          </w:p>
          <w:p>
            <w:pPr>
              <w:adjustRightInd w:val="0"/>
              <w:snapToGrid w:val="0"/>
              <w:spacing w:line="360" w:lineRule="auto"/>
              <w:ind w:firstLine="482" w:firstLineChars="200"/>
              <w:rPr>
                <w:rFonts w:hint="eastAsia"/>
                <w:b/>
                <w:color w:val="auto"/>
                <w:sz w:val="24"/>
                <w:highlight w:val="none"/>
              </w:rPr>
            </w:pPr>
            <w:r>
              <w:rPr>
                <w:rFonts w:hint="eastAsia"/>
                <w:b/>
                <w:color w:val="auto"/>
                <w:sz w:val="24"/>
                <w:highlight w:val="none"/>
              </w:rPr>
              <w:t>工艺流程简述：</w:t>
            </w:r>
          </w:p>
          <w:p>
            <w:pPr>
              <w:adjustRightInd w:val="0"/>
              <w:snapToGrid w:val="0"/>
              <w:spacing w:line="360" w:lineRule="auto"/>
              <w:ind w:firstLine="482" w:firstLineChars="200"/>
              <w:rPr>
                <w:b/>
                <w:bCs/>
                <w:color w:val="auto"/>
                <w:sz w:val="24"/>
                <w:highlight w:val="none"/>
              </w:rPr>
            </w:pPr>
            <w:r>
              <w:rPr>
                <w:rFonts w:hint="eastAsia"/>
                <w:b/>
                <w:bCs/>
                <w:color w:val="auto"/>
                <w:sz w:val="24"/>
                <w:highlight w:val="none"/>
              </w:rPr>
              <w:t>（1）</w:t>
            </w:r>
            <w:r>
              <w:rPr>
                <w:b/>
                <w:bCs/>
                <w:color w:val="auto"/>
                <w:sz w:val="24"/>
                <w:highlight w:val="none"/>
              </w:rPr>
              <w:t>基础工程施工</w:t>
            </w:r>
          </w:p>
          <w:p>
            <w:pPr>
              <w:adjustRightInd w:val="0"/>
              <w:snapToGrid w:val="0"/>
              <w:spacing w:line="360" w:lineRule="auto"/>
              <w:ind w:firstLine="480" w:firstLineChars="200"/>
              <w:rPr>
                <w:color w:val="auto"/>
                <w:sz w:val="24"/>
                <w:highlight w:val="none"/>
              </w:rPr>
            </w:pPr>
            <w:r>
              <w:rPr>
                <w:iCs/>
                <w:color w:val="auto"/>
                <w:sz w:val="24"/>
                <w:highlight w:val="none"/>
              </w:rPr>
              <w:t>在</w:t>
            </w:r>
            <w:r>
              <w:rPr>
                <w:color w:val="auto"/>
                <w:sz w:val="24"/>
                <w:highlight w:val="none"/>
              </w:rPr>
              <w:t>基础开挖、地基处理（岩土工程）与基础施工时，由于挖土机、运土卡车等施工机械的运行，将产生一定的噪声；同时产生扬尘，不同条件下，扬尘对环境的影响不同。主要污染因子为：噪声、扬尘、汽车尾气</w:t>
            </w:r>
            <w:r>
              <w:rPr>
                <w:rFonts w:hint="eastAsia"/>
                <w:color w:val="auto"/>
                <w:sz w:val="24"/>
                <w:highlight w:val="none"/>
                <w:lang w:val="en-US" w:eastAsia="zh-CN"/>
              </w:rPr>
              <w:t>等</w:t>
            </w:r>
            <w:r>
              <w:rPr>
                <w:color w:val="auto"/>
                <w:sz w:val="24"/>
                <w:highlight w:val="none"/>
              </w:rPr>
              <w:t>。</w:t>
            </w:r>
          </w:p>
          <w:p>
            <w:pPr>
              <w:adjustRightInd w:val="0"/>
              <w:snapToGrid w:val="0"/>
              <w:spacing w:line="360" w:lineRule="auto"/>
              <w:ind w:firstLine="482" w:firstLineChars="200"/>
              <w:rPr>
                <w:b/>
                <w:bCs/>
                <w:color w:val="auto"/>
                <w:sz w:val="24"/>
                <w:highlight w:val="none"/>
              </w:rPr>
            </w:pPr>
            <w:r>
              <w:rPr>
                <w:rFonts w:hint="eastAsia"/>
                <w:b/>
                <w:color w:val="auto"/>
                <w:sz w:val="24"/>
                <w:highlight w:val="none"/>
                <w:lang w:eastAsia="zh-CN"/>
              </w:rPr>
              <w:t>（</w:t>
            </w:r>
            <w:r>
              <w:rPr>
                <w:rFonts w:hint="eastAsia"/>
                <w:b/>
                <w:color w:val="auto"/>
                <w:sz w:val="24"/>
                <w:highlight w:val="none"/>
                <w:lang w:val="en-US" w:eastAsia="zh-CN"/>
              </w:rPr>
              <w:t>2</w:t>
            </w:r>
            <w:r>
              <w:rPr>
                <w:rFonts w:hint="eastAsia"/>
                <w:b/>
                <w:color w:val="auto"/>
                <w:sz w:val="24"/>
                <w:highlight w:val="none"/>
                <w:lang w:eastAsia="zh-CN"/>
              </w:rPr>
              <w:t>）</w:t>
            </w:r>
            <w:r>
              <w:rPr>
                <w:b/>
                <w:bCs/>
                <w:color w:val="auto"/>
                <w:sz w:val="24"/>
                <w:highlight w:val="none"/>
              </w:rPr>
              <w:t>主体工程及附属工程施工</w:t>
            </w:r>
          </w:p>
          <w:p>
            <w:pPr>
              <w:adjustRightInd w:val="0"/>
              <w:snapToGrid w:val="0"/>
              <w:spacing w:line="360" w:lineRule="auto"/>
              <w:ind w:firstLine="480" w:firstLineChars="200"/>
              <w:rPr>
                <w:color w:val="auto"/>
                <w:sz w:val="24"/>
                <w:highlight w:val="none"/>
              </w:rPr>
            </w:pPr>
            <w:r>
              <w:rPr>
                <w:color w:val="auto"/>
                <w:sz w:val="24"/>
                <w:highlight w:val="none"/>
              </w:rPr>
              <w:t>挖掘机、打夯机、装载汽车等运行时将主要产生噪声，同时产生扬尘。此外，还有一些原材料废弃料以及生产和生活</w:t>
            </w:r>
            <w:r>
              <w:rPr>
                <w:rFonts w:hint="eastAsia"/>
                <w:color w:val="auto"/>
                <w:sz w:val="24"/>
                <w:highlight w:val="none"/>
                <w:lang w:val="en-US" w:eastAsia="zh-CN"/>
              </w:rPr>
              <w:t>废</w:t>
            </w:r>
            <w:r>
              <w:rPr>
                <w:color w:val="auto"/>
                <w:sz w:val="24"/>
                <w:highlight w:val="none"/>
              </w:rPr>
              <w:t>水。主要污染因子为：噪声、扬尘、汽车尾气、COD、BOD</w:t>
            </w:r>
            <w:r>
              <w:rPr>
                <w:color w:val="auto"/>
                <w:sz w:val="24"/>
                <w:highlight w:val="none"/>
                <w:vertAlign w:val="subscript"/>
              </w:rPr>
              <w:t>5</w:t>
            </w:r>
            <w:r>
              <w:rPr>
                <w:color w:val="auto"/>
                <w:sz w:val="24"/>
                <w:highlight w:val="none"/>
              </w:rPr>
              <w:t>、NH</w:t>
            </w:r>
            <w:r>
              <w:rPr>
                <w:color w:val="auto"/>
                <w:sz w:val="24"/>
                <w:highlight w:val="none"/>
                <w:vertAlign w:val="subscript"/>
              </w:rPr>
              <w:t>3</w:t>
            </w:r>
            <w:r>
              <w:rPr>
                <w:color w:val="auto"/>
                <w:sz w:val="24"/>
                <w:highlight w:val="none"/>
              </w:rPr>
              <w:t>-N</w:t>
            </w:r>
            <w:r>
              <w:rPr>
                <w:rFonts w:hint="eastAsia"/>
                <w:color w:val="auto"/>
                <w:sz w:val="24"/>
                <w:highlight w:val="none"/>
                <w:lang w:val="en-US" w:eastAsia="zh-CN"/>
              </w:rPr>
              <w:t>等</w:t>
            </w:r>
            <w:r>
              <w:rPr>
                <w:color w:val="auto"/>
                <w:sz w:val="24"/>
                <w:highlight w:val="none"/>
              </w:rPr>
              <w:t>。</w:t>
            </w:r>
          </w:p>
          <w:p>
            <w:pPr>
              <w:adjustRightInd w:val="0"/>
              <w:snapToGrid w:val="0"/>
              <w:spacing w:line="360" w:lineRule="auto"/>
              <w:ind w:firstLine="482" w:firstLineChars="200"/>
              <w:rPr>
                <w:rFonts w:hint="eastAsia" w:ascii="Times New Roman" w:hAnsi="Times New Roman" w:eastAsia="宋体" w:cs="Times New Roman"/>
                <w:b/>
                <w:color w:val="auto"/>
                <w:sz w:val="24"/>
                <w:highlight w:val="none"/>
                <w:lang w:eastAsia="zh-CN"/>
              </w:rPr>
            </w:pPr>
            <w:r>
              <w:rPr>
                <w:rFonts w:hint="eastAsia" w:ascii="Times New Roman" w:hAnsi="Times New Roman" w:eastAsia="宋体" w:cs="Times New Roman"/>
                <w:b/>
                <w:color w:val="auto"/>
                <w:sz w:val="24"/>
                <w:highlight w:val="none"/>
                <w:lang w:eastAsia="zh-CN"/>
              </w:rPr>
              <w:t>（</w:t>
            </w:r>
            <w:r>
              <w:rPr>
                <w:rFonts w:hint="eastAsia" w:ascii="Times New Roman" w:hAnsi="Times New Roman" w:eastAsia="宋体" w:cs="Times New Roman"/>
                <w:b/>
                <w:color w:val="auto"/>
                <w:sz w:val="24"/>
                <w:highlight w:val="none"/>
                <w:lang w:val="en-US" w:eastAsia="zh-CN"/>
              </w:rPr>
              <w:t>3</w:t>
            </w:r>
            <w:r>
              <w:rPr>
                <w:rFonts w:hint="eastAsia" w:ascii="Times New Roman" w:hAnsi="Times New Roman" w:eastAsia="宋体" w:cs="Times New Roman"/>
                <w:b/>
                <w:color w:val="auto"/>
                <w:sz w:val="24"/>
                <w:highlight w:val="none"/>
                <w:lang w:eastAsia="zh-CN"/>
              </w:rPr>
              <w:t>）装饰工程施工</w:t>
            </w:r>
          </w:p>
          <w:p>
            <w:pPr>
              <w:adjustRightInd w:val="0"/>
              <w:snapToGrid w:val="0"/>
              <w:spacing w:line="360" w:lineRule="auto"/>
              <w:ind w:firstLine="480" w:firstLineChars="200"/>
              <w:rPr>
                <w:color w:val="auto"/>
                <w:sz w:val="24"/>
                <w:highlight w:val="none"/>
              </w:rPr>
            </w:pPr>
            <w:r>
              <w:rPr>
                <w:color w:val="auto"/>
                <w:sz w:val="24"/>
                <w:highlight w:val="none"/>
              </w:rPr>
              <w:t>在对构筑物室内进行装修时（如表面粉刷、油漆喷涂、裱糊、镶贴装饰等），钻机、电锤、切割机等产生噪声，油漆喷涂、建筑及装饰材料等产生废气、</w:t>
            </w:r>
            <w:r>
              <w:rPr>
                <w:rFonts w:hint="eastAsia"/>
                <w:color w:val="auto"/>
                <w:sz w:val="24"/>
                <w:highlight w:val="none"/>
                <w:lang w:val="en-US" w:eastAsia="zh-CN"/>
              </w:rPr>
              <w:t>固废</w:t>
            </w:r>
            <w:r>
              <w:rPr>
                <w:color w:val="auto"/>
                <w:sz w:val="24"/>
                <w:highlight w:val="none"/>
              </w:rPr>
              <w:t>及污水。主要污染因子为：噪声、粉尘、VOCs、COD、BOD</w:t>
            </w:r>
            <w:r>
              <w:rPr>
                <w:color w:val="auto"/>
                <w:sz w:val="24"/>
                <w:highlight w:val="none"/>
                <w:vertAlign w:val="subscript"/>
              </w:rPr>
              <w:t>5</w:t>
            </w:r>
            <w:r>
              <w:rPr>
                <w:color w:val="auto"/>
                <w:sz w:val="24"/>
                <w:highlight w:val="none"/>
              </w:rPr>
              <w:t>、NH</w:t>
            </w:r>
            <w:r>
              <w:rPr>
                <w:color w:val="auto"/>
                <w:sz w:val="24"/>
                <w:highlight w:val="none"/>
                <w:vertAlign w:val="subscript"/>
              </w:rPr>
              <w:t>3</w:t>
            </w:r>
            <w:r>
              <w:rPr>
                <w:color w:val="auto"/>
                <w:sz w:val="24"/>
                <w:highlight w:val="none"/>
              </w:rPr>
              <w:t>-N等。</w:t>
            </w:r>
          </w:p>
          <w:p>
            <w:pPr>
              <w:adjustRightInd w:val="0"/>
              <w:snapToGrid w:val="0"/>
              <w:spacing w:line="360" w:lineRule="auto"/>
              <w:ind w:firstLine="480" w:firstLineChars="200"/>
              <w:rPr>
                <w:color w:val="auto"/>
                <w:sz w:val="24"/>
                <w:highlight w:val="none"/>
              </w:rPr>
            </w:pPr>
            <w:r>
              <w:rPr>
                <w:color w:val="auto"/>
                <w:sz w:val="24"/>
                <w:highlight w:val="none"/>
              </w:rPr>
              <w:t>综上所述，项目在施工期以施工噪声、施工扬尘、废弃物料（废渣）和废水为主要污染物，但这些污染将随着施工的结束而结束。</w:t>
            </w:r>
          </w:p>
          <w:p>
            <w:pPr>
              <w:widowControl/>
              <w:spacing w:line="360" w:lineRule="auto"/>
              <w:jc w:val="left"/>
              <w:rPr>
                <w:rFonts w:hint="eastAsia" w:ascii="Times New Roman" w:hAnsi="Times New Roman"/>
                <w:b/>
                <w:color w:val="auto"/>
                <w:kern w:val="0"/>
                <w:sz w:val="24"/>
                <w:szCs w:val="24"/>
                <w:highlight w:val="none"/>
                <w:lang w:bidi="ar"/>
              </w:rPr>
            </w:pPr>
            <w:r>
              <w:rPr>
                <w:rFonts w:ascii="Times New Roman" w:hAnsi="Times New Roman"/>
                <w:b/>
                <w:color w:val="auto"/>
                <w:kern w:val="0"/>
                <w:sz w:val="24"/>
                <w:szCs w:val="24"/>
                <w:highlight w:val="none"/>
                <w:lang w:bidi="ar"/>
              </w:rPr>
              <w:t>2、</w:t>
            </w:r>
            <w:r>
              <w:rPr>
                <w:rFonts w:hint="eastAsia" w:ascii="Times New Roman" w:hAnsi="Times New Roman"/>
                <w:b/>
                <w:color w:val="auto"/>
                <w:kern w:val="0"/>
                <w:sz w:val="24"/>
                <w:szCs w:val="24"/>
                <w:highlight w:val="none"/>
                <w:lang w:bidi="ar"/>
              </w:rPr>
              <w:t>运营期工艺流程和产排污分析</w:t>
            </w:r>
          </w:p>
          <w:p>
            <w:pPr>
              <w:adjustRightInd w:val="0"/>
              <w:snapToGrid w:val="0"/>
              <w:spacing w:line="360" w:lineRule="auto"/>
              <w:ind w:firstLine="482" w:firstLineChars="200"/>
              <w:rPr>
                <w:rFonts w:hint="eastAsia" w:ascii="Times New Roman" w:hAnsi="Times New Roman" w:eastAsia="宋体" w:cs="Times New Roman"/>
                <w:b/>
                <w:color w:val="auto"/>
                <w:sz w:val="24"/>
                <w:highlight w:val="none"/>
                <w:lang w:eastAsia="zh-CN"/>
              </w:rPr>
            </w:pP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散装称量豆干</w:t>
            </w:r>
            <w:r>
              <w:rPr>
                <w:rFonts w:hint="eastAsia" w:ascii="Times New Roman" w:hAnsi="Times New Roman" w:eastAsia="宋体" w:cs="Times New Roman"/>
                <w:b/>
                <w:color w:val="auto"/>
                <w:sz w:val="24"/>
                <w:highlight w:val="none"/>
                <w:lang w:eastAsia="zh-CN"/>
              </w:rPr>
              <w:t>工艺流程和产排污分析</w:t>
            </w:r>
          </w:p>
          <w:p>
            <w:pPr>
              <w:pStyle w:val="41"/>
              <w:bidi w:val="0"/>
              <w:rPr>
                <w:rFonts w:ascii="Times New Roman" w:hAnsi="Times New Roman" w:eastAsia="宋体" w:cs="Times New Roman"/>
                <w:b/>
                <w:bCs/>
                <w:color w:val="auto"/>
                <w:szCs w:val="21"/>
                <w:highlight w:val="none"/>
                <w:shd w:val="clear" w:color="auto" w:fill="FFFFFF"/>
              </w:rPr>
            </w:pPr>
          </w:p>
          <w:p>
            <w:pPr>
              <w:pStyle w:val="41"/>
              <w:bidi w:val="0"/>
              <w:rPr>
                <w:rFonts w:hint="default" w:ascii="Times New Roman" w:hAnsi="Times New Roman" w:eastAsia="宋体" w:cs="Times New Roman"/>
                <w:b/>
                <w:bCs/>
                <w:color w:val="auto"/>
                <w:szCs w:val="21"/>
                <w:highlight w:val="none"/>
                <w:shd w:val="clear" w:color="auto" w:fill="FFFFFF"/>
                <w:lang w:val="en-US" w:eastAsia="zh-CN"/>
              </w:rPr>
            </w:pPr>
            <w:r>
              <w:rPr>
                <w:rFonts w:ascii="Times New Roman" w:hAnsi="Times New Roman" w:eastAsia="宋体" w:cs="Times New Roman"/>
                <w:b/>
                <w:bCs/>
                <w:color w:val="auto"/>
                <w:szCs w:val="21"/>
                <w:highlight w:val="none"/>
                <w:shd w:val="clear" w:color="auto" w:fill="FFFFFF"/>
              </w:rPr>
              <w:object>
                <v:shape id="_x0000_i1029" o:spt="75" type="#_x0000_t75" style="height:583pt;width:407.55pt;" o:ole="t" filled="f" o:preferrelative="t" stroked="f" coordsize="21600,21600">
                  <v:path/>
                  <v:fill on="f" focussize="0,0"/>
                  <v:stroke on="f"/>
                  <v:imagedata r:id="rId19" o:title=""/>
                  <o:lock v:ext="edit" aspectratio="t"/>
                  <w10:wrap type="none"/>
                  <w10:anchorlock/>
                </v:shape>
                <o:OLEObject Type="Embed" ProgID="Visio.Drawing.15" ShapeID="_x0000_i1029" DrawAspect="Content" ObjectID="_1468075729" r:id="rId18">
                  <o:LockedField>false</o:LockedField>
                </o:OLEObject>
              </w:object>
            </w:r>
            <w:r>
              <w:rPr>
                <w:rFonts w:ascii="Times New Roman" w:hAnsi="Times New Roman" w:eastAsia="宋体" w:cs="Times New Roman"/>
                <w:b/>
                <w:bCs/>
                <w:color w:val="auto"/>
                <w:szCs w:val="21"/>
                <w:highlight w:val="none"/>
                <w:shd w:val="clear" w:color="auto" w:fill="FFFFFF"/>
              </w:rPr>
              <w:t>图2-</w:t>
            </w:r>
            <w:r>
              <w:rPr>
                <w:rFonts w:hint="eastAsia" w:ascii="Times New Roman" w:hAnsi="Times New Roman" w:eastAsia="宋体" w:cs="Times New Roman"/>
                <w:b/>
                <w:bCs/>
                <w:color w:val="auto"/>
                <w:szCs w:val="21"/>
                <w:highlight w:val="none"/>
                <w:shd w:val="clear" w:color="auto" w:fill="FFFFFF"/>
                <w:lang w:val="en-US" w:eastAsia="zh-CN"/>
              </w:rPr>
              <w:t>3</w:t>
            </w:r>
            <w:r>
              <w:rPr>
                <w:rFonts w:hint="eastAsia" w:ascii="Times New Roman" w:hAnsi="Times New Roman" w:eastAsia="宋体" w:cs="Times New Roman"/>
                <w:b/>
                <w:bCs/>
                <w:color w:val="auto"/>
                <w:szCs w:val="21"/>
                <w:highlight w:val="none"/>
                <w:shd w:val="clear" w:color="auto" w:fill="FFFFFF"/>
              </w:rPr>
              <w:t xml:space="preserve">  </w:t>
            </w:r>
            <w:r>
              <w:rPr>
                <w:rFonts w:hint="eastAsia" w:ascii="Times New Roman" w:hAnsi="Times New Roman" w:eastAsia="宋体" w:cs="Times New Roman"/>
                <w:b/>
                <w:bCs/>
                <w:color w:val="auto"/>
                <w:szCs w:val="21"/>
                <w:highlight w:val="none"/>
                <w:shd w:val="clear" w:color="auto" w:fill="FFFFFF"/>
                <w:lang w:val="en-US" w:eastAsia="zh-CN"/>
              </w:rPr>
              <w:t>散装称量豆干</w:t>
            </w:r>
            <w:r>
              <w:rPr>
                <w:rFonts w:ascii="Times New Roman" w:hAnsi="Times New Roman" w:eastAsia="宋体" w:cs="Times New Roman"/>
                <w:b/>
                <w:bCs/>
                <w:color w:val="auto"/>
                <w:szCs w:val="21"/>
                <w:highlight w:val="none"/>
                <w:shd w:val="clear" w:color="auto" w:fill="FFFFFF"/>
              </w:rPr>
              <w:t>工艺流程</w:t>
            </w:r>
            <w:r>
              <w:rPr>
                <w:rFonts w:hint="eastAsia" w:ascii="Times New Roman" w:hAnsi="Times New Roman" w:eastAsia="宋体" w:cs="Times New Roman"/>
                <w:b/>
                <w:bCs/>
                <w:color w:val="auto"/>
                <w:szCs w:val="21"/>
                <w:highlight w:val="none"/>
                <w:shd w:val="clear" w:color="auto" w:fill="FFFFFF"/>
                <w:lang w:val="en-US" w:eastAsia="zh-CN"/>
              </w:rPr>
              <w:t>及产排污节点</w:t>
            </w:r>
            <w:r>
              <w:rPr>
                <w:rFonts w:ascii="Times New Roman" w:hAnsi="Times New Roman" w:eastAsia="宋体" w:cs="Times New Roman"/>
                <w:b/>
                <w:bCs/>
                <w:color w:val="auto"/>
                <w:szCs w:val="21"/>
                <w:highlight w:val="none"/>
                <w:shd w:val="clear" w:color="auto" w:fill="FFFFFF"/>
              </w:rPr>
              <w:t>图</w:t>
            </w:r>
          </w:p>
          <w:p>
            <w:pPr>
              <w:widowControl/>
              <w:snapToGrid w:val="0"/>
              <w:spacing w:line="360" w:lineRule="auto"/>
              <w:ind w:firstLine="482" w:firstLineChars="200"/>
              <w:rPr>
                <w:b/>
                <w:bCs/>
                <w:color w:val="auto"/>
                <w:kern w:val="0"/>
                <w:sz w:val="24"/>
                <w:highlight w:val="none"/>
              </w:rPr>
            </w:pPr>
            <w:r>
              <w:rPr>
                <w:rFonts w:hint="eastAsia"/>
                <w:b/>
                <w:bCs/>
                <w:color w:val="auto"/>
                <w:kern w:val="0"/>
                <w:sz w:val="24"/>
                <w:highlight w:val="none"/>
              </w:rPr>
              <w:t>工艺流程简介：</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①称量配料</w:t>
            </w:r>
          </w:p>
          <w:p>
            <w:pPr>
              <w:adjustRightInd w:val="0"/>
              <w:snapToGrid w:val="0"/>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eastAsia="zh-CN"/>
              </w:rPr>
              <w:t>根据配方进行准确称量</w:t>
            </w:r>
            <w:r>
              <w:rPr>
                <w:rFonts w:hint="eastAsia" w:ascii="Times New Roman" w:hAnsi="Times New Roman" w:eastAsia="宋体" w:cs="Times New Roman"/>
                <w:b w:val="0"/>
                <w:bCs w:val="0"/>
                <w:color w:val="auto"/>
                <w:sz w:val="24"/>
                <w:highlight w:val="none"/>
                <w:lang w:val="en-US" w:eastAsia="zh-CN"/>
              </w:rPr>
              <w:t>物料，并对物料进行检验，肉眼观察形态、色泽、气味、有无杂质等。</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配料粉尘、废包装材料、不合格品。</w:t>
            </w:r>
          </w:p>
          <w:p>
            <w:pPr>
              <w:adjustRightInd w:val="0"/>
              <w:snapToGrid w:val="0"/>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②斩拌</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将称量好的物料推入斩拌间降温备用。在-15℃下降温制冰，使用R22作为制冷剂。</w:t>
            </w:r>
            <w:r>
              <w:rPr>
                <w:rFonts w:hint="default" w:ascii="Times New Roman" w:hAnsi="Times New Roman" w:eastAsia="宋体" w:cs="Times New Roman"/>
                <w:b w:val="0"/>
                <w:bCs w:val="0"/>
                <w:color w:val="auto"/>
                <w:sz w:val="24"/>
                <w:highlight w:val="none"/>
                <w:lang w:val="en-US" w:eastAsia="zh-CN"/>
              </w:rPr>
              <w:t>将称好的冰水倒入斩拌机，加入</w:t>
            </w:r>
            <w:r>
              <w:rPr>
                <w:rFonts w:hint="eastAsia" w:ascii="Times New Roman" w:hAnsi="Times New Roman" w:eastAsia="宋体" w:cs="Times New Roman"/>
                <w:b w:val="0"/>
                <w:bCs w:val="0"/>
                <w:color w:val="auto"/>
                <w:sz w:val="24"/>
                <w:highlight w:val="none"/>
                <w:lang w:val="en-US" w:eastAsia="zh-CN"/>
              </w:rPr>
              <w:t>大豆</w:t>
            </w:r>
            <w:r>
              <w:rPr>
                <w:rFonts w:hint="default" w:ascii="Times New Roman" w:hAnsi="Times New Roman" w:eastAsia="宋体" w:cs="Times New Roman"/>
                <w:b w:val="0"/>
                <w:bCs w:val="0"/>
                <w:color w:val="auto"/>
                <w:sz w:val="24"/>
                <w:highlight w:val="none"/>
                <w:lang w:val="en-US" w:eastAsia="zh-CN"/>
              </w:rPr>
              <w:t>分离蛋白粉，放下噪音盖</w:t>
            </w:r>
            <w:r>
              <w:rPr>
                <w:rFonts w:hint="eastAsia" w:ascii="Times New Roman" w:hAnsi="Times New Roman" w:eastAsia="宋体" w:cs="Times New Roman"/>
                <w:b w:val="0"/>
                <w:bCs w:val="0"/>
                <w:color w:val="auto"/>
                <w:sz w:val="24"/>
                <w:highlight w:val="none"/>
                <w:lang w:val="en-US" w:eastAsia="zh-CN"/>
              </w:rPr>
              <w:t>，进行</w:t>
            </w:r>
            <w:r>
              <w:rPr>
                <w:rFonts w:hint="default" w:ascii="Times New Roman" w:hAnsi="Times New Roman" w:eastAsia="宋体" w:cs="Times New Roman"/>
                <w:b w:val="0"/>
                <w:bCs w:val="0"/>
                <w:color w:val="auto"/>
                <w:sz w:val="24"/>
                <w:highlight w:val="none"/>
                <w:lang w:val="en-US" w:eastAsia="zh-CN"/>
              </w:rPr>
              <w:t>斩拌</w:t>
            </w:r>
            <w:r>
              <w:rPr>
                <w:rFonts w:hint="eastAsia" w:ascii="Times New Roman" w:hAnsi="Times New Roman" w:eastAsia="宋体" w:cs="Times New Roman"/>
                <w:b w:val="0"/>
                <w:bCs w:val="0"/>
                <w:color w:val="auto"/>
                <w:sz w:val="24"/>
                <w:highlight w:val="none"/>
                <w:lang w:val="en-US" w:eastAsia="zh-CN"/>
              </w:rPr>
              <w:t>，使</w:t>
            </w:r>
            <w:r>
              <w:rPr>
                <w:rFonts w:hint="default" w:ascii="Times New Roman" w:hAnsi="Times New Roman" w:eastAsia="宋体" w:cs="Times New Roman"/>
                <w:b w:val="0"/>
                <w:bCs w:val="0"/>
                <w:color w:val="auto"/>
                <w:sz w:val="24"/>
                <w:highlight w:val="none"/>
                <w:lang w:val="en-US" w:eastAsia="zh-CN"/>
              </w:rPr>
              <w:t>冰水和</w:t>
            </w:r>
            <w:r>
              <w:rPr>
                <w:rFonts w:hint="eastAsia" w:ascii="Times New Roman" w:hAnsi="Times New Roman" w:eastAsia="宋体" w:cs="Times New Roman"/>
                <w:b w:val="0"/>
                <w:bCs w:val="0"/>
                <w:color w:val="auto"/>
                <w:sz w:val="24"/>
                <w:highlight w:val="none"/>
                <w:lang w:val="en-US" w:eastAsia="zh-CN"/>
              </w:rPr>
              <w:t>大豆</w:t>
            </w:r>
            <w:r>
              <w:rPr>
                <w:rFonts w:hint="default" w:ascii="Times New Roman" w:hAnsi="Times New Roman" w:eastAsia="宋体" w:cs="Times New Roman"/>
                <w:b w:val="0"/>
                <w:bCs w:val="0"/>
                <w:color w:val="auto"/>
                <w:sz w:val="24"/>
                <w:highlight w:val="none"/>
                <w:lang w:val="en-US" w:eastAsia="zh-CN"/>
              </w:rPr>
              <w:t>分离蛋白粉搅拌均匀</w:t>
            </w:r>
            <w:r>
              <w:rPr>
                <w:rFonts w:hint="eastAsia" w:ascii="Times New Roman" w:hAnsi="Times New Roman" w:eastAsia="宋体" w:cs="Times New Roman"/>
                <w:b w:val="0"/>
                <w:bCs w:val="0"/>
                <w:color w:val="auto"/>
                <w:sz w:val="24"/>
                <w:highlight w:val="none"/>
                <w:lang w:val="en-US" w:eastAsia="zh-CN"/>
              </w:rPr>
              <w:t>。然后缓慢倒入冰水稀释的青酶，斩拌约1分钟，待水与料搅拌均匀。锅中的胚料搅拌好后，通过出料盘将料抽入去泡机去泡，将冰盘铺上油纸并涂抹均匀植物油，去泡后将料放入对应的冰盘内用刮板将料刮平。</w:t>
            </w:r>
          </w:p>
          <w:p>
            <w:pPr>
              <w:adjustRightInd w:val="0"/>
              <w:snapToGrid w:val="0"/>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color w:val="auto"/>
                <w:sz w:val="24"/>
                <w:highlight w:val="none"/>
                <w:u w:val="single"/>
              </w:rPr>
              <w:t>此工序产生</w:t>
            </w:r>
            <w:r>
              <w:rPr>
                <w:rFonts w:hint="eastAsia" w:ascii="Times New Roman" w:hAnsi="Times New Roman" w:eastAsia="宋体" w:cs="Times New Roman"/>
                <w:b w:val="0"/>
                <w:bCs w:val="0"/>
                <w:color w:val="auto"/>
                <w:sz w:val="24"/>
                <w:highlight w:val="none"/>
                <w:u w:val="single"/>
                <w:lang w:val="en-US" w:eastAsia="zh-CN"/>
              </w:rPr>
              <w:t>斩拌粉尘、废油纸、</w:t>
            </w:r>
            <w:r>
              <w:rPr>
                <w:rFonts w:hint="eastAsia"/>
                <w:color w:val="auto"/>
                <w:sz w:val="24"/>
                <w:highlight w:val="none"/>
                <w:u w:val="single"/>
                <w:lang w:val="en-US" w:eastAsia="zh-CN"/>
              </w:rPr>
              <w:t>噪声。</w:t>
            </w:r>
          </w:p>
          <w:p>
            <w:pPr>
              <w:adjustRightInd w:val="0"/>
              <w:snapToGrid w:val="0"/>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③保压</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将冰盘推入保压锅中关闭锅门，保压成型</w:t>
            </w:r>
            <w:r>
              <w:rPr>
                <w:rFonts w:hint="eastAsia" w:cs="Times New Roman"/>
                <w:b w:val="0"/>
                <w:bCs w:val="0"/>
                <w:color w:val="auto"/>
                <w:sz w:val="24"/>
                <w:highlight w:val="none"/>
                <w:lang w:val="en-US" w:eastAsia="zh-CN"/>
              </w:rPr>
              <w:t>，保压时锅内保持常温常压，保压2小时</w:t>
            </w:r>
            <w:r>
              <w:rPr>
                <w:rFonts w:hint="eastAsia" w:ascii="Times New Roman" w:hAnsi="Times New Roman" w:eastAsia="宋体" w:cs="Times New Roman"/>
                <w:b w:val="0"/>
                <w:bCs w:val="0"/>
                <w:color w:val="auto"/>
                <w:sz w:val="24"/>
                <w:highlight w:val="none"/>
                <w:lang w:val="en-US" w:eastAsia="zh-CN"/>
              </w:rPr>
              <w:t>。</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④活化</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将保压后凝固成型的胚料按照斩拌时间的先后放入恒温库中，在8℃的环境中活化4</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6小时</w:t>
            </w:r>
            <w:r>
              <w:rPr>
                <w:rFonts w:hint="eastAsia" w:ascii="Times New Roman" w:hAnsi="Times New Roman" w:eastAsia="宋体" w:cs="Times New Roman"/>
                <w:b w:val="0"/>
                <w:bCs w:val="0"/>
                <w:color w:val="auto"/>
                <w:sz w:val="24"/>
                <w:highlight w:val="none"/>
                <w:lang w:val="en-US" w:eastAsia="zh-CN"/>
              </w:rPr>
              <w:t>。</w:t>
            </w:r>
          </w:p>
          <w:p>
            <w:pPr>
              <w:adjustRightInd w:val="0"/>
              <w:snapToGrid w:val="0"/>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⑤切片</w:t>
            </w:r>
          </w:p>
          <w:p>
            <w:pPr>
              <w:adjustRightInd w:val="0"/>
              <w:snapToGrid w:val="0"/>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将活化好的胚料从冰盘中倒出，放进切块机中切片，切成10mm*30mm*60mm大小的片状。</w:t>
            </w:r>
          </w:p>
          <w:p>
            <w:pPr>
              <w:adjustRightInd w:val="0"/>
              <w:snapToGrid w:val="0"/>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噪声。</w:t>
            </w:r>
          </w:p>
          <w:p>
            <w:pPr>
              <w:adjustRightInd w:val="0"/>
              <w:snapToGrid w:val="0"/>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⑥卤制</w:t>
            </w:r>
          </w:p>
          <w:p>
            <w:pPr>
              <w:adjustRightInd w:val="0"/>
              <w:snapToGrid w:val="0"/>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在夹层锅中加入清水，将配好的卤药水、卤膏、辣椒、食用香精香料、香辛料倒入锅中将水烧沸腾后关小蒸汽，倒入胚料，保持温度在6</w:t>
            </w:r>
            <w:r>
              <w:rPr>
                <w:rFonts w:hint="default" w:ascii="Times New Roman" w:hAnsi="Times New Roman" w:eastAsia="宋体" w:cs="Times New Roman"/>
                <w:b w:val="0"/>
                <w:bCs w:val="0"/>
                <w:color w:val="auto"/>
                <w:sz w:val="24"/>
                <w:highlight w:val="none"/>
                <w:lang w:val="en-US" w:eastAsia="zh-CN"/>
              </w:rPr>
              <w:t>5℃-75℃</w:t>
            </w:r>
            <w:r>
              <w:rPr>
                <w:rFonts w:hint="eastAsia" w:ascii="Times New Roman" w:hAnsi="Times New Roman" w:eastAsia="宋体" w:cs="Times New Roman"/>
                <w:b w:val="0"/>
                <w:bCs w:val="0"/>
                <w:color w:val="auto"/>
                <w:sz w:val="24"/>
                <w:highlight w:val="none"/>
                <w:lang w:val="en-US" w:eastAsia="zh-CN"/>
              </w:rPr>
              <w:t>卤制15-25分钟，每隔3分钟翻炒一次。</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水蒸气、异味、天然气燃烧废气、锅炉排污水、软化处理废水、卤制废水、噪声、废离子交换树脂。</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⑦烘烤、冷却</w:t>
            </w:r>
          </w:p>
          <w:p>
            <w:pPr>
              <w:adjustRightInd w:val="0"/>
              <w:snapToGrid w:val="0"/>
              <w:spacing w:line="360" w:lineRule="auto"/>
              <w:ind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将卤制好的胚料捞起倒在散装称量豆干专用烘烤线上，用趟子将豆胚趟平进行烘烤，使用蒸汽提供热源。烘烤温度55-65℃，转速10-12r/min。开启一个冷却风机，将冷却线转速调至950r/min，待烘烤后的胚料通过冷却线时冷却降温。</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水蒸气、异味、天然气燃烧废气、锅炉排污水、软化处理废水、噪声、废离子交换树脂。</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⑧拌料</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启动拌料机，待拌料桶转动起来后立即均匀地加入粉料</w:t>
            </w:r>
            <w:r>
              <w:rPr>
                <w:rFonts w:hint="eastAsia" w:ascii="Times New Roman" w:hAnsi="Times New Roman" w:eastAsia="宋体" w:cs="Times New Roman"/>
                <w:b w:val="0"/>
                <w:bCs w:val="0"/>
                <w:color w:val="auto"/>
                <w:kern w:val="2"/>
                <w:sz w:val="24"/>
                <w:highlight w:val="none"/>
                <w:lang w:val="en-US" w:eastAsia="zh-CN"/>
              </w:rPr>
              <w:t>食用盐、白砂糖、味精</w:t>
            </w:r>
            <w:r>
              <w:rPr>
                <w:rFonts w:hint="eastAsia" w:ascii="Times New Roman" w:hAnsi="Times New Roman" w:eastAsia="宋体" w:cs="Times New Roman"/>
                <w:color w:val="auto"/>
                <w:sz w:val="24"/>
                <w:highlight w:val="none"/>
                <w:lang w:val="en-US" w:eastAsia="zh-CN"/>
              </w:rPr>
              <w:t>，搅拌1分钟后将酱油</w:t>
            </w:r>
            <w:r>
              <w:rPr>
                <w:rFonts w:hint="eastAsia" w:cs="Times New Roman"/>
                <w:color w:val="auto"/>
                <w:sz w:val="24"/>
                <w:highlight w:val="none"/>
                <w:lang w:val="en-US" w:eastAsia="zh-CN"/>
              </w:rPr>
              <w:t>、植物油</w:t>
            </w:r>
            <w:r>
              <w:rPr>
                <w:rFonts w:hint="eastAsia" w:ascii="Times New Roman" w:hAnsi="Times New Roman" w:eastAsia="宋体" w:cs="Times New Roman"/>
                <w:color w:val="auto"/>
                <w:sz w:val="24"/>
                <w:highlight w:val="none"/>
                <w:lang w:val="en-US" w:eastAsia="zh-CN"/>
              </w:rPr>
              <w:t>均匀地倒在胚料上，继续搅拌5分钟左右，拌制均匀后即可。</w:t>
            </w:r>
          </w:p>
          <w:p>
            <w:pPr>
              <w:adjustRightInd w:val="0"/>
              <w:snapToGrid w:val="0"/>
              <w:spacing w:line="360" w:lineRule="auto"/>
              <w:ind w:firstLine="480" w:firstLineChars="200"/>
              <w:rPr>
                <w:rFonts w:hint="eastAsia" w:ascii="Times New Roman" w:hAnsi="Times New Roman" w:eastAsia="宋体" w:cs="Times New Roman"/>
                <w:b w:val="0"/>
                <w:bCs w:val="0"/>
                <w:color w:val="auto"/>
                <w:sz w:val="24"/>
                <w:highlight w:val="none"/>
                <w:lang w:eastAsia="zh-CN"/>
              </w:rPr>
            </w:pPr>
            <w:r>
              <w:rPr>
                <w:rFonts w:hint="eastAsia"/>
                <w:color w:val="auto"/>
                <w:sz w:val="24"/>
                <w:highlight w:val="none"/>
                <w:u w:val="single"/>
              </w:rPr>
              <w:t>此工序产生</w:t>
            </w:r>
            <w:r>
              <w:rPr>
                <w:rFonts w:hint="eastAsia"/>
                <w:color w:val="auto"/>
                <w:sz w:val="24"/>
                <w:highlight w:val="none"/>
                <w:u w:val="single"/>
                <w:lang w:val="en-US" w:eastAsia="zh-CN"/>
              </w:rPr>
              <w:t>拌料粉尘、噪声。</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⑨</w:t>
            </w:r>
            <w:r>
              <w:rPr>
                <w:rFonts w:hint="eastAsia" w:ascii="Times New Roman" w:hAnsi="Times New Roman" w:eastAsia="宋体" w:cs="Times New Roman"/>
                <w:color w:val="auto"/>
                <w:sz w:val="24"/>
                <w:highlight w:val="none"/>
                <w:lang w:val="en-US" w:eastAsia="zh-CN"/>
              </w:rPr>
              <w:t>清洗</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每个产品拌料完毕先用碱水进行清洗，再用清水进行清洗，最后用干净的布将水擦试干净。</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清洗废水。</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➉</w:t>
            </w:r>
            <w:r>
              <w:rPr>
                <w:rFonts w:hint="eastAsia" w:ascii="Times New Roman" w:hAnsi="Times New Roman" w:eastAsia="宋体" w:cs="Times New Roman"/>
                <w:color w:val="auto"/>
                <w:sz w:val="24"/>
                <w:highlight w:val="none"/>
                <w:lang w:val="en-US" w:eastAsia="zh-CN"/>
              </w:rPr>
              <w:t>内包装</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对包装袋进行喷码。包装前先对产品规格、口味、香味、配料、有无异物进行感官测试，并检查包装袋有无异常。使用人工或给袋式包装机进行包装。</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喷码废气、不合格品、废包装材料。</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⑪抽空</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所抽的产品调整好抽空时间、抽空温度、加热时间。将每袋产品均匀地排列到真空封口机的热封条上，并用压条将袋口压平。放好产品后开始抽空。完成后对整个包装车间和工器具、设施使用臭氧进行杀菌消毒，臭氧使用空气源臭氧发生器制备，直接将空气中的氧气电离成为臭氧。</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热封废气、臭氧消毒废气。</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⑫灭菌</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使用喷淋式灭菌锅进行灭菌，主要使用蒸汽和水。原理为灭菌锅内注入少量清水，通过高效循环泵-过滤器-高效换热器将水注入到喷淋管道，通过喷淋嘴将热水喷射至食品表面，使锅内热分布均匀，使用间接加热和间接冷却，避免污染食品。本项目将产品铺好，推入到灭菌锅后，关好杀菌釜门，拉下安全栓。检查设备及附属设备正常后将物料缓慢地送入杀菌釜，然后关上快开门并锁紧，再打开门封用高压风开关，关闭放气阀，进行灭菌，灭菌温度为180</w:t>
            </w:r>
            <w:r>
              <w:rPr>
                <w:rFonts w:hint="default" w:ascii="Times New Roman" w:hAnsi="Times New Roman" w:eastAsia="宋体" w:cs="Times New Roman"/>
                <w:color w:val="auto"/>
                <w:sz w:val="24"/>
                <w:highlight w:val="none"/>
                <w:lang w:val="en-US" w:eastAsia="zh-CN"/>
              </w:rPr>
              <w:t>℃。</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水蒸气、天然气燃烧废气、锅炉排污水、软化处理废水、灭菌废水、噪声、废离子交换树脂。</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⑬清洗、除水</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灭菌后的产品用清水加</w:t>
            </w:r>
            <w:r>
              <w:rPr>
                <w:rFonts w:hint="eastAsia" w:cs="Times New Roman"/>
                <w:color w:val="auto"/>
                <w:sz w:val="24"/>
                <w:highlight w:val="none"/>
                <w:lang w:val="en-US" w:eastAsia="zh-CN"/>
              </w:rPr>
              <w:t>清洁剂</w:t>
            </w:r>
            <w:r>
              <w:rPr>
                <w:rFonts w:hint="eastAsia" w:ascii="Times New Roman" w:hAnsi="Times New Roman" w:eastAsia="宋体" w:cs="Times New Roman"/>
                <w:color w:val="auto"/>
                <w:sz w:val="24"/>
                <w:highlight w:val="none"/>
                <w:lang w:val="en-US" w:eastAsia="zh-CN"/>
              </w:rPr>
              <w:t>清洗除油，再用清水漂洗出去</w:t>
            </w:r>
            <w:r>
              <w:rPr>
                <w:rFonts w:hint="eastAsia" w:cs="Times New Roman"/>
                <w:color w:val="auto"/>
                <w:sz w:val="24"/>
                <w:highlight w:val="none"/>
                <w:lang w:val="en-US" w:eastAsia="zh-CN"/>
              </w:rPr>
              <w:t>清洁剂</w:t>
            </w:r>
            <w:r>
              <w:rPr>
                <w:rFonts w:hint="eastAsia" w:ascii="Times New Roman" w:hAnsi="Times New Roman" w:eastAsia="宋体" w:cs="Times New Roman"/>
                <w:color w:val="auto"/>
                <w:sz w:val="24"/>
                <w:highlight w:val="none"/>
                <w:lang w:val="en-US" w:eastAsia="zh-CN"/>
              </w:rPr>
              <w:t>残留，洗</w:t>
            </w:r>
            <w:r>
              <w:rPr>
                <w:rFonts w:hint="eastAsia" w:cs="Times New Roman"/>
                <w:color w:val="auto"/>
                <w:sz w:val="24"/>
                <w:highlight w:val="none"/>
                <w:lang w:val="en-US" w:eastAsia="zh-CN"/>
              </w:rPr>
              <w:t>后</w:t>
            </w:r>
            <w:r>
              <w:rPr>
                <w:rFonts w:hint="eastAsia" w:ascii="Times New Roman" w:hAnsi="Times New Roman" w:eastAsia="宋体" w:cs="Times New Roman"/>
                <w:color w:val="auto"/>
                <w:sz w:val="24"/>
                <w:highlight w:val="none"/>
                <w:lang w:val="en-US" w:eastAsia="zh-CN"/>
              </w:rPr>
              <w:t>经风干机除水、冷却彻底，直至达到环境常温。</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清洗废水。</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⑭全检</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产品经过清洗风干后，</w:t>
            </w:r>
            <w:r>
              <w:rPr>
                <w:rFonts w:hint="default" w:ascii="Times New Roman" w:hAnsi="Times New Roman" w:eastAsia="宋体" w:cs="Times New Roman"/>
                <w:color w:val="auto"/>
                <w:sz w:val="24"/>
                <w:highlight w:val="none"/>
                <w:lang w:eastAsia="zh-CN"/>
              </w:rPr>
              <w:t>必须经金属探测仪金探（SUS304Φ≥2.5MM；FeΦ≥2.5MM）、X光机（陶瓷Φ≥2.0mm；SUS球Φ≥0.8mm；玻璃Φ≥3.0mm；SUS线Φ≥0.4mm）后再全检。</w:t>
            </w:r>
            <w:r>
              <w:rPr>
                <w:rFonts w:hint="eastAsia" w:ascii="Times New Roman" w:hAnsi="Times New Roman" w:eastAsia="宋体" w:cs="Times New Roman"/>
                <w:color w:val="auto"/>
                <w:sz w:val="24"/>
                <w:highlight w:val="none"/>
                <w:lang w:eastAsia="zh-CN"/>
              </w:rPr>
              <w:t>产品经过金探、X光机后，必须经专人对产品进行全检，全检出不合格的产品。</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此</w:t>
            </w:r>
            <w:r>
              <w:rPr>
                <w:rFonts w:hint="eastAsia"/>
                <w:color w:val="auto"/>
                <w:sz w:val="24"/>
                <w:highlight w:val="none"/>
                <w:u w:val="single"/>
              </w:rPr>
              <w:t>工序产生</w:t>
            </w:r>
            <w:r>
              <w:rPr>
                <w:rFonts w:hint="eastAsia"/>
                <w:color w:val="auto"/>
                <w:sz w:val="24"/>
                <w:highlight w:val="none"/>
                <w:u w:val="single"/>
                <w:lang w:val="en-US" w:eastAsia="zh-CN"/>
              </w:rPr>
              <w:t>不合格品。</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⑮外包装</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对包装箱进行喷码，产品</w:t>
            </w:r>
            <w:r>
              <w:rPr>
                <w:rFonts w:hint="eastAsia" w:ascii="Times New Roman" w:hAnsi="Times New Roman" w:eastAsia="宋体" w:cs="Times New Roman"/>
                <w:color w:val="auto"/>
                <w:sz w:val="24"/>
                <w:highlight w:val="none"/>
              </w:rPr>
              <w:t>点数装箱</w:t>
            </w:r>
            <w:r>
              <w:rPr>
                <w:rFonts w:hint="eastAsia" w:ascii="Times New Roman" w:hAnsi="Times New Roman" w:eastAsia="宋体" w:cs="Times New Roman"/>
                <w:color w:val="auto"/>
                <w:sz w:val="24"/>
                <w:highlight w:val="none"/>
                <w:lang w:val="en-US" w:eastAsia="zh-CN"/>
              </w:rPr>
              <w:t>。</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喷码废气、废包装材料。</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⑯入库</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rPr>
              <w:t>包装结束后，立即将产品准确点数、开单入库</w:t>
            </w:r>
            <w:r>
              <w:rPr>
                <w:rFonts w:hint="eastAsia" w:ascii="Times New Roman" w:hAnsi="Times New Roman" w:eastAsia="宋体" w:cs="Times New Roman"/>
                <w:color w:val="auto"/>
                <w:sz w:val="24"/>
                <w:highlight w:val="none"/>
                <w:lang w:eastAsia="zh-CN"/>
              </w:rPr>
              <w:t>。</w:t>
            </w:r>
          </w:p>
          <w:p>
            <w:pPr>
              <w:adjustRightInd w:val="0"/>
              <w:snapToGrid w:val="0"/>
              <w:spacing w:line="360" w:lineRule="auto"/>
              <w:ind w:firstLine="482" w:firstLineChars="200"/>
              <w:rPr>
                <w:rFonts w:hint="eastAsia" w:ascii="Times New Roman" w:hAnsi="Times New Roman" w:eastAsia="宋体" w:cs="Times New Roman"/>
                <w:b/>
                <w:color w:val="auto"/>
                <w:sz w:val="24"/>
                <w:highlight w:val="none"/>
                <w:lang w:eastAsia="zh-CN"/>
              </w:rPr>
            </w:pPr>
            <w:r>
              <w:rPr>
                <w:rFonts w:hint="eastAsia" w:ascii="Times New Roman" w:hAnsi="Times New Roman" w:eastAsia="宋体" w:cs="Times New Roman"/>
                <w:b/>
                <w:color w:val="auto"/>
                <w:sz w:val="24"/>
                <w:highlight w:val="none"/>
                <w:lang w:eastAsia="zh-CN"/>
              </w:rPr>
              <w:t>（</w:t>
            </w:r>
            <w:r>
              <w:rPr>
                <w:rFonts w:hint="eastAsia" w:ascii="Times New Roman" w:hAnsi="Times New Roman" w:eastAsia="宋体" w:cs="Times New Roman"/>
                <w:b/>
                <w:color w:val="auto"/>
                <w:sz w:val="24"/>
                <w:highlight w:val="none"/>
                <w:lang w:val="en-US" w:eastAsia="zh-CN"/>
              </w:rPr>
              <w:t>2</w:t>
            </w:r>
            <w:r>
              <w:rPr>
                <w:rFonts w:hint="eastAsia" w:ascii="Times New Roman" w:hAnsi="Times New Roman" w:eastAsia="宋体" w:cs="Times New Roman"/>
                <w:b/>
                <w:color w:val="auto"/>
                <w:sz w:val="24"/>
                <w:highlight w:val="none"/>
                <w:lang w:eastAsia="zh-CN"/>
              </w:rPr>
              <w:t>）</w:t>
            </w:r>
            <w:r>
              <w:rPr>
                <w:rFonts w:hint="eastAsia" w:ascii="Times New Roman" w:hAnsi="Times New Roman" w:eastAsia="宋体" w:cs="Times New Roman"/>
                <w:b/>
                <w:color w:val="auto"/>
                <w:sz w:val="24"/>
                <w:highlight w:val="none"/>
                <w:lang w:val="en-US" w:eastAsia="zh-CN"/>
              </w:rPr>
              <w:t>手撕素肉</w:t>
            </w:r>
            <w:r>
              <w:rPr>
                <w:rFonts w:hint="eastAsia" w:ascii="Times New Roman" w:hAnsi="Times New Roman" w:eastAsia="宋体" w:cs="Times New Roman"/>
                <w:b/>
                <w:color w:val="auto"/>
                <w:sz w:val="24"/>
                <w:highlight w:val="none"/>
                <w:lang w:eastAsia="zh-CN"/>
              </w:rPr>
              <w:t>工艺流程和产排污分析</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object>
                <v:shape id="_x0000_i1030" o:spt="75" type="#_x0000_t75" style="height:631.05pt;width:410.25pt;" o:ole="t" filled="f" o:preferrelative="t" stroked="f" coordsize="21600,21600">
                  <v:path/>
                  <v:fill on="f" focussize="0,0"/>
                  <v:stroke on="f"/>
                  <v:imagedata r:id="rId21" o:title=""/>
                  <o:lock v:ext="edit" aspectratio="t"/>
                  <w10:wrap type="none"/>
                  <w10:anchorlock/>
                </v:shape>
                <o:OLEObject Type="Embed" ProgID="Visio.Drawing.15" ShapeID="_x0000_i1030" DrawAspect="Content" ObjectID="_1468075730" r:id="rId20">
                  <o:LockedField>false</o:LockedField>
                </o:OLEObject>
              </w:object>
            </w:r>
          </w:p>
          <w:p>
            <w:pPr>
              <w:pStyle w:val="41"/>
              <w:bidi w:val="0"/>
              <w:rPr>
                <w:rFonts w:ascii="Times New Roman" w:hAnsi="Times New Roman" w:eastAsia="宋体" w:cs="Times New Roman"/>
                <w:b/>
                <w:bCs/>
                <w:color w:val="auto"/>
                <w:szCs w:val="21"/>
                <w:highlight w:val="none"/>
                <w:shd w:val="clear" w:color="auto" w:fill="FFFFFF"/>
              </w:rPr>
            </w:pPr>
            <w:r>
              <w:rPr>
                <w:rFonts w:ascii="Times New Roman" w:hAnsi="Times New Roman" w:eastAsia="宋体" w:cs="Times New Roman"/>
                <w:b/>
                <w:bCs/>
                <w:color w:val="auto"/>
                <w:szCs w:val="21"/>
                <w:highlight w:val="none"/>
                <w:shd w:val="clear" w:color="auto" w:fill="FFFFFF"/>
              </w:rPr>
              <w:t>图2-</w:t>
            </w:r>
            <w:r>
              <w:rPr>
                <w:rFonts w:hint="eastAsia" w:ascii="Times New Roman" w:hAnsi="Times New Roman" w:eastAsia="宋体" w:cs="Times New Roman"/>
                <w:b/>
                <w:bCs/>
                <w:color w:val="auto"/>
                <w:szCs w:val="21"/>
                <w:highlight w:val="none"/>
                <w:shd w:val="clear" w:color="auto" w:fill="FFFFFF"/>
                <w:lang w:val="en-US" w:eastAsia="zh-CN"/>
              </w:rPr>
              <w:t>4</w:t>
            </w:r>
            <w:r>
              <w:rPr>
                <w:rFonts w:hint="eastAsia" w:ascii="Times New Roman" w:hAnsi="Times New Roman" w:eastAsia="宋体" w:cs="Times New Roman"/>
                <w:b/>
                <w:bCs/>
                <w:color w:val="auto"/>
                <w:szCs w:val="21"/>
                <w:highlight w:val="none"/>
                <w:shd w:val="clear" w:color="auto" w:fill="FFFFFF"/>
              </w:rPr>
              <w:t xml:space="preserve">  </w:t>
            </w:r>
            <w:r>
              <w:rPr>
                <w:rFonts w:hint="eastAsia" w:ascii="Times New Roman" w:hAnsi="Times New Roman" w:eastAsia="宋体" w:cs="Times New Roman"/>
                <w:b/>
                <w:bCs/>
                <w:color w:val="auto"/>
                <w:szCs w:val="21"/>
                <w:highlight w:val="none"/>
                <w:shd w:val="clear" w:color="auto" w:fill="FFFFFF"/>
                <w:lang w:val="en-US" w:eastAsia="zh-CN"/>
              </w:rPr>
              <w:t>手撕素肉</w:t>
            </w:r>
            <w:r>
              <w:rPr>
                <w:rFonts w:ascii="Times New Roman" w:hAnsi="Times New Roman" w:eastAsia="宋体" w:cs="Times New Roman"/>
                <w:b/>
                <w:bCs/>
                <w:color w:val="auto"/>
                <w:szCs w:val="21"/>
                <w:highlight w:val="none"/>
                <w:shd w:val="clear" w:color="auto" w:fill="FFFFFF"/>
              </w:rPr>
              <w:t>工艺流程</w:t>
            </w:r>
            <w:r>
              <w:rPr>
                <w:rFonts w:hint="eastAsia" w:ascii="Times New Roman" w:hAnsi="Times New Roman" w:eastAsia="宋体" w:cs="Times New Roman"/>
                <w:b/>
                <w:bCs/>
                <w:color w:val="auto"/>
                <w:szCs w:val="21"/>
                <w:highlight w:val="none"/>
                <w:shd w:val="clear" w:color="auto" w:fill="FFFFFF"/>
                <w:lang w:val="en-US" w:eastAsia="zh-CN"/>
              </w:rPr>
              <w:t>及产排污节点</w:t>
            </w:r>
            <w:r>
              <w:rPr>
                <w:rFonts w:ascii="Times New Roman" w:hAnsi="Times New Roman" w:eastAsia="宋体" w:cs="Times New Roman"/>
                <w:b/>
                <w:bCs/>
                <w:color w:val="auto"/>
                <w:szCs w:val="21"/>
                <w:highlight w:val="none"/>
                <w:shd w:val="clear" w:color="auto" w:fill="FFFFFF"/>
              </w:rPr>
              <w:t>图</w:t>
            </w:r>
          </w:p>
          <w:p>
            <w:pPr>
              <w:widowControl/>
              <w:snapToGrid w:val="0"/>
              <w:spacing w:line="360" w:lineRule="auto"/>
              <w:ind w:firstLine="482" w:firstLineChars="200"/>
              <w:rPr>
                <w:b/>
                <w:bCs/>
                <w:color w:val="auto"/>
                <w:kern w:val="0"/>
                <w:sz w:val="24"/>
                <w:highlight w:val="none"/>
              </w:rPr>
            </w:pPr>
            <w:r>
              <w:rPr>
                <w:rFonts w:hint="eastAsia"/>
                <w:b/>
                <w:bCs/>
                <w:color w:val="auto"/>
                <w:kern w:val="0"/>
                <w:sz w:val="24"/>
                <w:highlight w:val="none"/>
              </w:rPr>
              <w:t>工艺流程简介：</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①</w:t>
            </w:r>
            <w:r>
              <w:rPr>
                <w:rFonts w:hint="eastAsia" w:ascii="Times New Roman" w:hAnsi="Times New Roman" w:eastAsia="宋体" w:cs="Times New Roman"/>
                <w:color w:val="auto"/>
                <w:sz w:val="24"/>
                <w:highlight w:val="none"/>
                <w:lang w:val="en-US" w:eastAsia="zh-CN"/>
              </w:rPr>
              <w:t>检验</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领用物料时首先对大豆拉丝蛋白胚料进行品质检查和验收，如未发现异常，则正常领取胚料进行生产，除去外包装。如发现异常，并确定不能投入生产，则该胚料禁止使用。</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废包装材料、不合格品。</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②浸泡、压榨</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胚子使用清水进行浸泡，浸泡时水与胚子的比例为8:1，夏季采用常温水浸泡1h—2h，冬季采用20℃—25℃温水浸泡2h—3h。浸泡好的胚子，捞入白色物料框，在固定低压榨机上榨水4min，除去多余的水分。</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浸泡废水。</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③</w:t>
            </w:r>
            <w:r>
              <w:rPr>
                <w:rFonts w:hint="eastAsia" w:ascii="Times New Roman" w:hAnsi="Times New Roman" w:eastAsia="宋体" w:cs="Times New Roman"/>
                <w:color w:val="auto"/>
                <w:sz w:val="24"/>
                <w:highlight w:val="none"/>
                <w:lang w:val="en-US" w:eastAsia="zh-CN"/>
              </w:rPr>
              <w:t>油炸、压榨</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油炸前先</w:t>
            </w:r>
            <w:r>
              <w:rPr>
                <w:rFonts w:hint="eastAsia" w:ascii="Times New Roman" w:hAnsi="Times New Roman" w:eastAsia="宋体" w:cs="Times New Roman"/>
                <w:color w:val="auto"/>
                <w:sz w:val="24"/>
                <w:highlight w:val="none"/>
                <w:lang w:val="en-US" w:eastAsia="zh-CN"/>
              </w:rPr>
              <w:t>加入油</w:t>
            </w:r>
            <w:r>
              <w:rPr>
                <w:rFonts w:hint="default" w:ascii="Times New Roman" w:hAnsi="Times New Roman" w:eastAsia="宋体" w:cs="Times New Roman"/>
                <w:color w:val="auto"/>
                <w:sz w:val="24"/>
                <w:highlight w:val="none"/>
                <w:lang w:val="en-US" w:eastAsia="zh-CN"/>
              </w:rPr>
              <w:t>，按生产的产品设置好油炸温度和油炸时间</w:t>
            </w:r>
            <w:r>
              <w:rPr>
                <w:rFonts w:hint="eastAsia" w:ascii="Times New Roman" w:hAnsi="Times New Roman" w:eastAsia="宋体" w:cs="Times New Roman"/>
                <w:color w:val="auto"/>
                <w:sz w:val="24"/>
                <w:highlight w:val="none"/>
                <w:lang w:val="en-US" w:eastAsia="zh-CN"/>
              </w:rPr>
              <w:t>，利用天然气加热</w:t>
            </w:r>
            <w:r>
              <w:rPr>
                <w:rFonts w:hint="default" w:ascii="Times New Roman" w:hAnsi="Times New Roman" w:eastAsia="宋体" w:cs="Times New Roman"/>
                <w:color w:val="auto"/>
                <w:sz w:val="24"/>
                <w:highlight w:val="none"/>
                <w:lang w:val="en-US" w:eastAsia="zh-CN"/>
              </w:rPr>
              <w:t>进行升温</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将</w:t>
            </w:r>
            <w:r>
              <w:rPr>
                <w:rFonts w:hint="eastAsia" w:ascii="Times New Roman" w:hAnsi="Times New Roman" w:eastAsia="宋体" w:cs="Times New Roman"/>
                <w:color w:val="auto"/>
                <w:sz w:val="24"/>
                <w:highlight w:val="none"/>
                <w:lang w:val="en-US" w:eastAsia="zh-CN"/>
              </w:rPr>
              <w:t>胚子</w:t>
            </w:r>
            <w:r>
              <w:rPr>
                <w:rFonts w:hint="default" w:ascii="Times New Roman" w:hAnsi="Times New Roman" w:eastAsia="宋体" w:cs="Times New Roman"/>
                <w:color w:val="auto"/>
                <w:sz w:val="24"/>
                <w:highlight w:val="none"/>
                <w:lang w:val="en-US" w:eastAsia="zh-CN"/>
              </w:rPr>
              <w:t>倒入锅内进行油炸，油炸后的胚料表面金黄</w:t>
            </w:r>
            <w:r>
              <w:rPr>
                <w:rFonts w:hint="eastAsia" w:ascii="Times New Roman" w:hAnsi="Times New Roman" w:eastAsia="宋体" w:cs="Times New Roman"/>
                <w:color w:val="auto"/>
                <w:sz w:val="24"/>
                <w:highlight w:val="none"/>
                <w:lang w:val="en-US" w:eastAsia="zh-CN"/>
              </w:rPr>
              <w:t>时</w:t>
            </w:r>
            <w:r>
              <w:rPr>
                <w:rFonts w:hint="default" w:ascii="Times New Roman" w:hAnsi="Times New Roman" w:eastAsia="宋体" w:cs="Times New Roman"/>
                <w:color w:val="auto"/>
                <w:sz w:val="24"/>
                <w:highlight w:val="none"/>
                <w:lang w:val="en-US" w:eastAsia="zh-CN"/>
              </w:rPr>
              <w:t>出锅</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将油炸后的胚料放到塑料周转筐内，在高压力榨机上榨6min取出</w:t>
            </w:r>
            <w:r>
              <w:rPr>
                <w:rFonts w:hint="eastAsia" w:ascii="Times New Roman" w:hAnsi="Times New Roman" w:eastAsia="宋体" w:cs="Times New Roman"/>
                <w:color w:val="auto"/>
                <w:sz w:val="24"/>
                <w:highlight w:val="none"/>
                <w:lang w:val="en-US" w:eastAsia="zh-CN"/>
              </w:rPr>
              <w:t>。</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油炸油烟、废植物油、噪声。</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④</w:t>
            </w:r>
            <w:r>
              <w:rPr>
                <w:rFonts w:hint="eastAsia" w:ascii="Times New Roman" w:hAnsi="Times New Roman" w:eastAsia="宋体" w:cs="Times New Roman"/>
                <w:color w:val="auto"/>
                <w:sz w:val="24"/>
                <w:highlight w:val="none"/>
                <w:lang w:val="en-US" w:eastAsia="zh-CN"/>
              </w:rPr>
              <w:t>卤制、压榨</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卤水配制：在锅里放入清水和卤药水，比例为5:1，倒入配好的卤膏</w:t>
            </w:r>
            <w:r>
              <w:rPr>
                <w:rFonts w:hint="eastAsia" w:ascii="Times New Roman" w:hAnsi="Times New Roman" w:eastAsia="宋体" w:cs="Times New Roman"/>
                <w:b w:val="0"/>
                <w:bCs w:val="0"/>
                <w:color w:val="auto"/>
                <w:sz w:val="24"/>
                <w:highlight w:val="none"/>
                <w:lang w:val="en-US" w:eastAsia="zh-CN"/>
              </w:rPr>
              <w:t>、辣椒、食用香精香料、香辛料</w:t>
            </w:r>
            <w:r>
              <w:rPr>
                <w:rFonts w:hint="eastAsia" w:ascii="Times New Roman" w:hAnsi="Times New Roman" w:eastAsia="宋体" w:cs="Times New Roman"/>
                <w:color w:val="auto"/>
                <w:sz w:val="24"/>
                <w:highlight w:val="none"/>
                <w:lang w:val="en-US" w:eastAsia="zh-CN"/>
              </w:rPr>
              <w:t>，使用蒸汽将卤水烧沸，关闭蒸汽将卤水冷却到55℃—65℃。倒入胚子、翻搅，卤制期间如温度下降太快，可开启夹层锅蒸汽阀门进行升温，但必须保持锅内的温度在55℃—65℃之间，卤制10-12min后一次性快速捞出放到塑料周转筐内；将装好料的塑料周转筐放入榨机压榨5min取出，抖散胚子。</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水蒸气、异味、天然气燃烧废气、锅炉排污水、软化处理废水、卤制废水、废离子交换树脂。</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⑤</w:t>
            </w:r>
            <w:r>
              <w:rPr>
                <w:rFonts w:hint="eastAsia" w:ascii="Times New Roman" w:hAnsi="Times New Roman" w:eastAsia="宋体" w:cs="Times New Roman"/>
                <w:color w:val="auto"/>
                <w:sz w:val="24"/>
                <w:highlight w:val="none"/>
                <w:lang w:val="en-US" w:eastAsia="zh-CN"/>
              </w:rPr>
              <w:t>烘烤、摊凉</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按生产的产品设置好烘烤温度和烘烤时间，使用蒸汽提供热源，胚子散开铺放于流水线上。烘烤好后的胚子通过摊晾线进行冷却摊晾，摊晾时必须将胚子完全散开，不能重叠，摊晾线开两个冷却风扇。通过摊晾线输送入干净整洁的塑料周转框内。</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水蒸气、异味、天然气燃烧废气、锅炉排污水、软化处理废水、噪声、废离子交换树脂。</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⑥</w:t>
            </w:r>
            <w:r>
              <w:rPr>
                <w:rFonts w:hint="eastAsia" w:ascii="Times New Roman" w:hAnsi="Times New Roman" w:eastAsia="宋体" w:cs="Times New Roman"/>
                <w:color w:val="auto"/>
                <w:sz w:val="24"/>
                <w:highlight w:val="none"/>
                <w:lang w:val="en-US" w:eastAsia="zh-CN"/>
              </w:rPr>
              <w:t>拌料</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启动拌料机，待拌料桶转动起来后立即均匀地加入粉料</w:t>
            </w:r>
            <w:r>
              <w:rPr>
                <w:rFonts w:hint="eastAsia" w:ascii="Times New Roman" w:hAnsi="Times New Roman" w:eastAsia="宋体" w:cs="Times New Roman"/>
                <w:b w:val="0"/>
                <w:bCs w:val="0"/>
                <w:color w:val="auto"/>
                <w:kern w:val="2"/>
                <w:sz w:val="24"/>
                <w:highlight w:val="none"/>
                <w:lang w:val="en-US" w:eastAsia="zh-CN"/>
              </w:rPr>
              <w:t>食用盐、白砂糖、味精</w:t>
            </w:r>
            <w:r>
              <w:rPr>
                <w:rFonts w:hint="eastAsia" w:ascii="Times New Roman" w:hAnsi="Times New Roman" w:eastAsia="宋体" w:cs="Times New Roman"/>
                <w:color w:val="auto"/>
                <w:sz w:val="24"/>
                <w:highlight w:val="none"/>
                <w:lang w:val="en-US" w:eastAsia="zh-CN"/>
              </w:rPr>
              <w:t>，搅拌3分钟后将酱油</w:t>
            </w:r>
            <w:r>
              <w:rPr>
                <w:rFonts w:hint="eastAsia" w:cs="Times New Roman"/>
                <w:color w:val="auto"/>
                <w:sz w:val="24"/>
                <w:highlight w:val="none"/>
                <w:lang w:val="en-US" w:eastAsia="zh-CN"/>
              </w:rPr>
              <w:t>、植物油</w:t>
            </w:r>
            <w:r>
              <w:rPr>
                <w:rFonts w:hint="eastAsia" w:ascii="Times New Roman" w:hAnsi="Times New Roman" w:eastAsia="宋体" w:cs="Times New Roman"/>
                <w:color w:val="auto"/>
                <w:sz w:val="24"/>
                <w:highlight w:val="none"/>
                <w:lang w:val="en-US" w:eastAsia="zh-CN"/>
              </w:rPr>
              <w:t>均匀地倒在胚料上，继续搅拌10分钟左右，拌制均匀后即可。</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拌料粉尘、噪声。</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⑦</w:t>
            </w:r>
            <w:r>
              <w:rPr>
                <w:rFonts w:hint="eastAsia" w:ascii="Times New Roman" w:hAnsi="Times New Roman" w:eastAsia="宋体" w:cs="Times New Roman"/>
                <w:color w:val="auto"/>
                <w:sz w:val="24"/>
                <w:highlight w:val="none"/>
                <w:lang w:val="en-US" w:eastAsia="zh-CN"/>
              </w:rPr>
              <w:t>清洗</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每个产品拌料完毕先用碱水进行清洗，再用清水进行清洗，最后用干净的布将水擦试干净。</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清洗废水。</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⑧</w:t>
            </w:r>
            <w:r>
              <w:rPr>
                <w:rFonts w:hint="eastAsia" w:ascii="Times New Roman" w:hAnsi="Times New Roman" w:eastAsia="宋体" w:cs="Times New Roman"/>
                <w:color w:val="auto"/>
                <w:sz w:val="24"/>
                <w:highlight w:val="none"/>
                <w:lang w:val="en-US" w:eastAsia="zh-CN"/>
              </w:rPr>
              <w:t>内包装</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对包装袋进行喷码。包装前先对产品规格、口味、香味、配料、有无异物进行感官测试，并检查包装袋有无异常。使用人工或给袋式包装机进行包装。</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喷码废气、不合格品、废包装材料。</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⑨</w:t>
            </w:r>
            <w:r>
              <w:rPr>
                <w:rFonts w:hint="eastAsia" w:ascii="Times New Roman" w:hAnsi="Times New Roman" w:eastAsia="宋体" w:cs="Times New Roman"/>
                <w:color w:val="auto"/>
                <w:sz w:val="24"/>
                <w:highlight w:val="none"/>
                <w:lang w:val="en-US" w:eastAsia="zh-CN"/>
              </w:rPr>
              <w:t>抽空</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所抽的产品调整好抽空时间、抽空温度、加热时间。将每袋产品均匀地排列到真空封口机的热封条上，并用压条将袋口压平。放好产品后开始抽空。完成后对整个包装车间和工器具、设施使用臭氧进行杀菌消毒。</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热封废气、臭氧消毒废气。</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➉</w:t>
            </w:r>
            <w:r>
              <w:rPr>
                <w:rFonts w:hint="eastAsia" w:ascii="Times New Roman" w:hAnsi="Times New Roman" w:eastAsia="宋体" w:cs="Times New Roman"/>
                <w:color w:val="auto"/>
                <w:sz w:val="24"/>
                <w:highlight w:val="none"/>
                <w:lang w:val="en-US" w:eastAsia="zh-CN"/>
              </w:rPr>
              <w:t>灭菌</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使用喷淋式灭菌锅进行灭菌，主要使用蒸汽和水。原理为灭菌锅内注入少量清水，通过高效循环泵-过滤器-高效换热器将水注入到喷淋管道，通过喷淋嘴将热水喷射至食品表面，使锅内热分布均匀，使用间接加热和间接冷却，避免污染食品。本项目将产品铺好，推入到灭菌锅后，关好杀菌釜门，拉下安全栓。检查设备及附属设备正常后将物料缓慢地送入杀菌釜，然后关上快开门并锁紧，再打开门封用高压风开关，关闭放气阀，进行灭菌，灭菌温度为180</w:t>
            </w:r>
            <w:r>
              <w:rPr>
                <w:rFonts w:hint="default" w:ascii="Times New Roman" w:hAnsi="Times New Roman" w:eastAsia="宋体" w:cs="Times New Roman"/>
                <w:color w:val="auto"/>
                <w:sz w:val="24"/>
                <w:highlight w:val="none"/>
                <w:lang w:val="en-US" w:eastAsia="zh-CN"/>
              </w:rPr>
              <w:t>℃。</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水蒸气、天然气燃烧废气、锅炉排污水、软化处理废水、灭菌废水、噪声、废离子交换树脂。</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⑪清洗、除水</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灭菌后的产品用清水加</w:t>
            </w:r>
            <w:r>
              <w:rPr>
                <w:rFonts w:hint="eastAsia" w:cs="Times New Roman"/>
                <w:color w:val="auto"/>
                <w:sz w:val="24"/>
                <w:highlight w:val="none"/>
                <w:lang w:val="en-US" w:eastAsia="zh-CN"/>
              </w:rPr>
              <w:t>清洁剂</w:t>
            </w:r>
            <w:r>
              <w:rPr>
                <w:rFonts w:hint="eastAsia" w:ascii="Times New Roman" w:hAnsi="Times New Roman" w:eastAsia="宋体" w:cs="Times New Roman"/>
                <w:color w:val="auto"/>
                <w:sz w:val="24"/>
                <w:highlight w:val="none"/>
                <w:lang w:val="en-US" w:eastAsia="zh-CN"/>
              </w:rPr>
              <w:t>清洗除油，再用清水漂洗出去</w:t>
            </w:r>
            <w:r>
              <w:rPr>
                <w:rFonts w:hint="eastAsia" w:cs="Times New Roman"/>
                <w:color w:val="auto"/>
                <w:sz w:val="24"/>
                <w:highlight w:val="none"/>
                <w:lang w:val="en-US" w:eastAsia="zh-CN"/>
              </w:rPr>
              <w:t>清洁剂</w:t>
            </w:r>
            <w:r>
              <w:rPr>
                <w:rFonts w:hint="eastAsia" w:ascii="Times New Roman" w:hAnsi="Times New Roman" w:eastAsia="宋体" w:cs="Times New Roman"/>
                <w:color w:val="auto"/>
                <w:sz w:val="24"/>
                <w:highlight w:val="none"/>
                <w:lang w:val="en-US" w:eastAsia="zh-CN"/>
              </w:rPr>
              <w:t>残留，洗</w:t>
            </w:r>
            <w:r>
              <w:rPr>
                <w:rFonts w:hint="eastAsia" w:cs="Times New Roman"/>
                <w:color w:val="auto"/>
                <w:sz w:val="24"/>
                <w:highlight w:val="none"/>
                <w:lang w:val="en-US" w:eastAsia="zh-CN"/>
              </w:rPr>
              <w:t>后</w:t>
            </w:r>
            <w:r>
              <w:rPr>
                <w:rFonts w:hint="eastAsia" w:ascii="Times New Roman" w:hAnsi="Times New Roman" w:eastAsia="宋体" w:cs="Times New Roman"/>
                <w:color w:val="auto"/>
                <w:sz w:val="24"/>
                <w:highlight w:val="none"/>
                <w:lang w:val="en-US" w:eastAsia="zh-CN"/>
              </w:rPr>
              <w:t>经风干机除水、冷却彻底，直至达到环境常温。</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清洗废水。</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⑫全检</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产品经过清洗风干后，</w:t>
            </w:r>
            <w:r>
              <w:rPr>
                <w:rFonts w:hint="default" w:ascii="Times New Roman" w:hAnsi="Times New Roman" w:eastAsia="宋体" w:cs="Times New Roman"/>
                <w:color w:val="auto"/>
                <w:sz w:val="24"/>
                <w:highlight w:val="none"/>
                <w:lang w:eastAsia="zh-CN"/>
              </w:rPr>
              <w:t>必须经金属探测仪金探（SUS304Φ≥2.5MM；FeΦ≥2.5MM）、X光机（陶瓷Φ≥2.0mm；SUS球Φ≥0.8mm；玻璃Φ≥3.0mm；SUS线Φ≥0.4mm）后再全检。</w:t>
            </w:r>
            <w:r>
              <w:rPr>
                <w:rFonts w:hint="eastAsia" w:ascii="Times New Roman" w:hAnsi="Times New Roman" w:eastAsia="宋体" w:cs="Times New Roman"/>
                <w:color w:val="auto"/>
                <w:sz w:val="24"/>
                <w:highlight w:val="none"/>
                <w:lang w:eastAsia="zh-CN"/>
              </w:rPr>
              <w:t>产品经过金探、X光机后，必须经专人对产品进行全检，全检出不合格的产品。</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u w:val="single"/>
                <w:lang w:val="en-US" w:eastAsia="zh-CN"/>
              </w:rPr>
              <w:t>此</w:t>
            </w:r>
            <w:r>
              <w:rPr>
                <w:rFonts w:hint="eastAsia"/>
                <w:color w:val="auto"/>
                <w:sz w:val="24"/>
                <w:highlight w:val="none"/>
                <w:u w:val="single"/>
              </w:rPr>
              <w:t>工序产生</w:t>
            </w:r>
            <w:r>
              <w:rPr>
                <w:rFonts w:hint="eastAsia"/>
                <w:color w:val="auto"/>
                <w:sz w:val="24"/>
                <w:highlight w:val="none"/>
                <w:u w:val="single"/>
                <w:lang w:val="en-US" w:eastAsia="zh-CN"/>
              </w:rPr>
              <w:t>不合格品。</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⑬外包装</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对包装箱进行喷码，产品</w:t>
            </w:r>
            <w:r>
              <w:rPr>
                <w:rFonts w:hint="eastAsia" w:ascii="Times New Roman" w:hAnsi="Times New Roman" w:eastAsia="宋体" w:cs="Times New Roman"/>
                <w:color w:val="auto"/>
                <w:sz w:val="24"/>
                <w:highlight w:val="none"/>
              </w:rPr>
              <w:t>点数装箱</w:t>
            </w:r>
            <w:r>
              <w:rPr>
                <w:rFonts w:hint="eastAsia" w:ascii="Times New Roman" w:hAnsi="Times New Roman" w:eastAsia="宋体" w:cs="Times New Roman"/>
                <w:color w:val="auto"/>
                <w:sz w:val="24"/>
                <w:highlight w:val="none"/>
                <w:lang w:val="en-US" w:eastAsia="zh-CN"/>
              </w:rPr>
              <w:t>。</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u w:val="single"/>
              </w:rPr>
              <w:t>此工序产生</w:t>
            </w:r>
            <w:r>
              <w:rPr>
                <w:rFonts w:hint="eastAsia"/>
                <w:color w:val="auto"/>
                <w:sz w:val="24"/>
                <w:highlight w:val="none"/>
                <w:u w:val="single"/>
                <w:lang w:val="en-US" w:eastAsia="zh-CN"/>
              </w:rPr>
              <w:t>喷码废气、废包装材料。</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⑭入库</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rPr>
              <w:t>包装结束后，立即将产品准确点数、开单入库</w:t>
            </w:r>
            <w:r>
              <w:rPr>
                <w:rFonts w:hint="eastAsia" w:ascii="Times New Roman" w:hAnsi="Times New Roman" w:eastAsia="宋体" w:cs="Times New Roman"/>
                <w:color w:val="auto"/>
                <w:sz w:val="24"/>
                <w:highlight w:val="none"/>
                <w:lang w:eastAsia="zh-CN"/>
              </w:rPr>
              <w:t>。</w:t>
            </w:r>
          </w:p>
          <w:p>
            <w:pPr>
              <w:adjustRightInd w:val="0"/>
              <w:snapToGrid w:val="0"/>
              <w:rPr>
                <w:rFonts w:hint="default" w:ascii="宋体" w:hAnsi="宋体" w:eastAsia="宋体"/>
                <w:bCs/>
                <w:color w:val="auto"/>
                <w:szCs w:val="21"/>
                <w:highlight w:val="none"/>
                <w:lang w:val="en-US" w:eastAsia="zh-CN"/>
              </w:rPr>
            </w:pPr>
            <w:r>
              <w:rPr>
                <w:rFonts w:hint="eastAsia" w:ascii="Times New Roman" w:hAnsi="Times New Roman" w:eastAsia="宋体" w:cs="Times New Roman"/>
                <w:b/>
                <w:color w:val="auto"/>
                <w:kern w:val="0"/>
                <w:sz w:val="24"/>
                <w:szCs w:val="24"/>
                <w:highlight w:val="none"/>
                <w:lang w:val="en-US" w:eastAsia="zh-CN" w:bidi="ar"/>
              </w:rPr>
              <w:t>3、污水处理站</w:t>
            </w:r>
            <w:r>
              <w:rPr>
                <w:rFonts w:hint="eastAsia" w:ascii="Times New Roman" w:hAnsi="Times New Roman"/>
                <w:b/>
                <w:color w:val="auto"/>
                <w:kern w:val="0"/>
                <w:sz w:val="24"/>
                <w:szCs w:val="24"/>
                <w:highlight w:val="none"/>
                <w:lang w:bidi="ar"/>
              </w:rPr>
              <w:t>工艺流程和产排污分析</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bCs/>
                <w:color w:val="auto"/>
                <w:szCs w:val="21"/>
                <w:highlight w:val="none"/>
              </w:rPr>
            </w:pPr>
            <w:r>
              <w:rPr>
                <w:rFonts w:ascii="宋体" w:hAnsi="宋体"/>
                <w:bCs/>
                <w:color w:val="auto"/>
                <w:szCs w:val="21"/>
                <w:highlight w:val="none"/>
              </w:rPr>
              <w:object>
                <v:shape id="_x0000_i1031" o:spt="75" type="#_x0000_t75" style="height:201.45pt;width:413.5pt;" o:ole="t" filled="f" o:preferrelative="t" stroked="f" coordsize="21600,21600">
                  <v:path/>
                  <v:fill on="f" focussize="0,0"/>
                  <v:stroke on="f"/>
                  <v:imagedata r:id="rId23" o:title=""/>
                  <o:lock v:ext="edit" aspectratio="t"/>
                  <w10:wrap type="none"/>
                  <w10:anchorlock/>
                </v:shape>
                <o:OLEObject Type="Embed" ProgID="Visio.Drawing.15" ShapeID="_x0000_i1031" DrawAspect="Content" ObjectID="_1468075731" r:id="rId22">
                  <o:LockedField>false</o:LockedField>
                </o:OLEObject>
              </w:object>
            </w:r>
          </w:p>
          <w:p>
            <w:pPr>
              <w:pStyle w:val="41"/>
              <w:bidi w:val="0"/>
              <w:rPr>
                <w:rFonts w:ascii="Times New Roman" w:hAnsi="Times New Roman" w:eastAsia="宋体" w:cs="Times New Roman"/>
                <w:b/>
                <w:bCs/>
                <w:color w:val="auto"/>
                <w:szCs w:val="21"/>
                <w:highlight w:val="none"/>
                <w:shd w:val="clear" w:color="auto" w:fill="FFFFFF"/>
              </w:rPr>
            </w:pPr>
            <w:r>
              <w:rPr>
                <w:rFonts w:ascii="Times New Roman" w:hAnsi="Times New Roman" w:eastAsia="宋体" w:cs="Times New Roman"/>
                <w:b/>
                <w:bCs/>
                <w:color w:val="auto"/>
                <w:szCs w:val="21"/>
                <w:highlight w:val="none"/>
                <w:shd w:val="clear" w:color="auto" w:fill="FFFFFF"/>
              </w:rPr>
              <w:t>图2-</w:t>
            </w:r>
            <w:r>
              <w:rPr>
                <w:rFonts w:hint="eastAsia" w:ascii="Times New Roman" w:hAnsi="Times New Roman" w:eastAsia="宋体" w:cs="Times New Roman"/>
                <w:b/>
                <w:bCs/>
                <w:color w:val="auto"/>
                <w:szCs w:val="21"/>
                <w:highlight w:val="none"/>
                <w:shd w:val="clear" w:color="auto" w:fill="FFFFFF"/>
                <w:lang w:val="en-US" w:eastAsia="zh-CN"/>
              </w:rPr>
              <w:t>5</w:t>
            </w:r>
            <w:r>
              <w:rPr>
                <w:rFonts w:hint="eastAsia" w:ascii="Times New Roman" w:hAnsi="Times New Roman" w:eastAsia="宋体" w:cs="Times New Roman"/>
                <w:b/>
                <w:bCs/>
                <w:color w:val="auto"/>
                <w:szCs w:val="21"/>
                <w:highlight w:val="none"/>
                <w:shd w:val="clear" w:color="auto" w:fill="FFFFFF"/>
              </w:rPr>
              <w:t xml:space="preserve">  污水处理站</w:t>
            </w:r>
            <w:r>
              <w:rPr>
                <w:rFonts w:ascii="Times New Roman" w:hAnsi="Times New Roman" w:eastAsia="宋体" w:cs="Times New Roman"/>
                <w:b/>
                <w:bCs/>
                <w:color w:val="auto"/>
                <w:szCs w:val="21"/>
                <w:highlight w:val="none"/>
                <w:shd w:val="clear" w:color="auto" w:fill="FFFFFF"/>
              </w:rPr>
              <w:t>工艺流程</w:t>
            </w:r>
            <w:r>
              <w:rPr>
                <w:rFonts w:hint="eastAsia" w:ascii="Times New Roman" w:hAnsi="Times New Roman" w:eastAsia="宋体" w:cs="Times New Roman"/>
                <w:b/>
                <w:bCs/>
                <w:color w:val="auto"/>
                <w:szCs w:val="21"/>
                <w:highlight w:val="none"/>
                <w:shd w:val="clear" w:color="auto" w:fill="FFFFFF"/>
                <w:lang w:val="en-US" w:eastAsia="zh-CN"/>
              </w:rPr>
              <w:t>及产排污节点</w:t>
            </w:r>
            <w:r>
              <w:rPr>
                <w:rFonts w:ascii="Times New Roman" w:hAnsi="Times New Roman" w:eastAsia="宋体" w:cs="Times New Roman"/>
                <w:b/>
                <w:bCs/>
                <w:color w:val="auto"/>
                <w:szCs w:val="21"/>
                <w:highlight w:val="none"/>
                <w:shd w:val="clear" w:color="auto" w:fill="FFFFFF"/>
              </w:rPr>
              <w:t>图</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vertAlign w:val="baseline"/>
                <w:lang w:val="en-US" w:eastAsia="zh-CN"/>
              </w:rPr>
            </w:pPr>
            <w:r>
              <w:rPr>
                <w:rFonts w:hint="eastAsia" w:ascii="Times New Roman" w:hAnsi="Times New Roman" w:eastAsia="宋体" w:cs="Times New Roman"/>
                <w:color w:val="auto"/>
                <w:sz w:val="24"/>
                <w:highlight w:val="none"/>
                <w:lang w:val="en-US" w:eastAsia="zh-CN"/>
              </w:rPr>
              <w:t>本项目依托现有项目已建污水处理站，处理规模为500m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vertAlign w:val="baseline"/>
                <w:lang w:val="en-US" w:eastAsia="zh-CN"/>
              </w:rPr>
              <w:t>/d，处理工艺为“格栅渠+调节池+气浮+厌氧池+A/O池+二沉池+排放渠”。</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污水处理站运行时产生栅渣、污泥、恶臭。</w:t>
            </w:r>
          </w:p>
          <w:p>
            <w:pPr>
              <w:adjustRightInd w:val="0"/>
              <w:snapToGrid w:val="0"/>
              <w:rPr>
                <w:rFonts w:hint="default" w:ascii="宋体" w:hAnsi="宋体" w:eastAsia="宋体"/>
                <w:bCs/>
                <w:color w:val="auto"/>
                <w:szCs w:val="21"/>
                <w:highlight w:val="none"/>
                <w:lang w:val="en-US" w:eastAsia="zh-CN"/>
              </w:rPr>
            </w:pPr>
            <w:r>
              <w:rPr>
                <w:rFonts w:hint="eastAsia" w:ascii="Times New Roman" w:hAnsi="Times New Roman" w:eastAsia="宋体" w:cs="Times New Roman"/>
                <w:b/>
                <w:color w:val="auto"/>
                <w:kern w:val="0"/>
                <w:sz w:val="24"/>
                <w:szCs w:val="24"/>
                <w:highlight w:val="none"/>
                <w:lang w:val="en-US" w:eastAsia="zh-CN" w:bidi="ar"/>
              </w:rPr>
              <w:t>4、锅炉工艺流程和产</w:t>
            </w:r>
            <w:r>
              <w:rPr>
                <w:rFonts w:hint="eastAsia" w:ascii="Times New Roman" w:hAnsi="Times New Roman"/>
                <w:b/>
                <w:color w:val="auto"/>
                <w:kern w:val="0"/>
                <w:sz w:val="24"/>
                <w:szCs w:val="24"/>
                <w:highlight w:val="none"/>
                <w:lang w:bidi="ar"/>
              </w:rPr>
              <w:t>排污分析</w:t>
            </w:r>
          </w:p>
          <w:p>
            <w:pPr>
              <w:pStyle w:val="41"/>
              <w:bidi w:val="0"/>
              <w:rPr>
                <w:rFonts w:ascii="宋体" w:hAnsi="宋体"/>
                <w:bCs/>
                <w:color w:val="auto"/>
                <w:szCs w:val="21"/>
                <w:highlight w:val="none"/>
              </w:rPr>
            </w:pPr>
            <w:r>
              <w:rPr>
                <w:rFonts w:ascii="宋体" w:hAnsi="宋体"/>
                <w:bCs/>
                <w:color w:val="auto"/>
                <w:szCs w:val="21"/>
                <w:highlight w:val="none"/>
              </w:rPr>
              <w:object>
                <v:shape id="_x0000_i1032" o:spt="75" type="#_x0000_t75" style="height:114.4pt;width:322.55pt;" o:ole="t" filled="f" o:preferrelative="t" stroked="f" coordsize="21600,21600">
                  <v:path/>
                  <v:fill on="f" focussize="0,0"/>
                  <v:stroke on="f"/>
                  <v:imagedata r:id="rId25" o:title=""/>
                  <o:lock v:ext="edit" aspectratio="t"/>
                  <w10:wrap type="none"/>
                  <w10:anchorlock/>
                </v:shape>
                <o:OLEObject Type="Embed" ProgID="Visio.Drawing.15" ShapeID="_x0000_i1032" DrawAspect="Content" ObjectID="_1468075732" r:id="rId24">
                  <o:LockedField>false</o:LockedField>
                </o:OLEObject>
              </w:object>
            </w:r>
          </w:p>
          <w:p>
            <w:pPr>
              <w:pStyle w:val="41"/>
              <w:bidi w:val="0"/>
              <w:rPr>
                <w:rFonts w:hint="eastAsia" w:ascii="宋体" w:hAnsi="宋体" w:eastAsia="宋体"/>
                <w:bCs/>
                <w:color w:val="auto"/>
                <w:szCs w:val="21"/>
                <w:highlight w:val="none"/>
                <w:lang w:val="en-US" w:eastAsia="zh-CN"/>
              </w:rPr>
            </w:pPr>
            <w:r>
              <w:rPr>
                <w:rFonts w:ascii="Times New Roman" w:hAnsi="Times New Roman" w:eastAsia="宋体" w:cs="Times New Roman"/>
                <w:b/>
                <w:bCs/>
                <w:color w:val="auto"/>
                <w:szCs w:val="21"/>
                <w:highlight w:val="none"/>
                <w:shd w:val="clear" w:color="auto" w:fill="FFFFFF"/>
              </w:rPr>
              <w:t>图2-</w:t>
            </w:r>
            <w:r>
              <w:rPr>
                <w:rFonts w:hint="eastAsia" w:ascii="Times New Roman" w:hAnsi="Times New Roman" w:eastAsia="宋体" w:cs="Times New Roman"/>
                <w:b/>
                <w:bCs/>
                <w:color w:val="auto"/>
                <w:szCs w:val="21"/>
                <w:highlight w:val="none"/>
                <w:shd w:val="clear" w:color="auto" w:fill="FFFFFF"/>
                <w:lang w:val="en-US" w:eastAsia="zh-CN"/>
              </w:rPr>
              <w:t>6</w:t>
            </w:r>
            <w:r>
              <w:rPr>
                <w:rFonts w:hint="eastAsia" w:ascii="Times New Roman" w:hAnsi="Times New Roman" w:eastAsia="宋体" w:cs="Times New Roman"/>
                <w:b/>
                <w:bCs/>
                <w:color w:val="auto"/>
                <w:szCs w:val="21"/>
                <w:highlight w:val="none"/>
                <w:shd w:val="clear" w:color="auto" w:fill="FFFFFF"/>
              </w:rPr>
              <w:t xml:space="preserve">  </w:t>
            </w:r>
            <w:r>
              <w:rPr>
                <w:rFonts w:hint="eastAsia" w:ascii="Times New Roman" w:hAnsi="Times New Roman" w:eastAsia="宋体" w:cs="Times New Roman"/>
                <w:b/>
                <w:bCs/>
                <w:color w:val="auto"/>
                <w:szCs w:val="21"/>
                <w:highlight w:val="none"/>
                <w:shd w:val="clear" w:color="auto" w:fill="FFFFFF"/>
                <w:lang w:val="en-US" w:eastAsia="zh-CN"/>
              </w:rPr>
              <w:t>锅炉</w:t>
            </w:r>
            <w:r>
              <w:rPr>
                <w:rFonts w:ascii="Times New Roman" w:hAnsi="Times New Roman" w:eastAsia="宋体" w:cs="Times New Roman"/>
                <w:b/>
                <w:bCs/>
                <w:color w:val="auto"/>
                <w:szCs w:val="21"/>
                <w:highlight w:val="none"/>
                <w:shd w:val="clear" w:color="auto" w:fill="FFFFFF"/>
              </w:rPr>
              <w:t>工艺流程</w:t>
            </w:r>
            <w:r>
              <w:rPr>
                <w:rFonts w:hint="eastAsia" w:ascii="Times New Roman" w:hAnsi="Times New Roman" w:eastAsia="宋体" w:cs="Times New Roman"/>
                <w:b/>
                <w:bCs/>
                <w:color w:val="auto"/>
                <w:szCs w:val="21"/>
                <w:highlight w:val="none"/>
                <w:shd w:val="clear" w:color="auto" w:fill="FFFFFF"/>
                <w:lang w:val="en-US" w:eastAsia="zh-CN"/>
              </w:rPr>
              <w:t>及产排污节点</w:t>
            </w:r>
            <w:r>
              <w:rPr>
                <w:rFonts w:ascii="Times New Roman" w:hAnsi="Times New Roman" w:eastAsia="宋体" w:cs="Times New Roman"/>
                <w:b/>
                <w:bCs/>
                <w:color w:val="auto"/>
                <w:szCs w:val="21"/>
                <w:highlight w:val="none"/>
                <w:shd w:val="clear" w:color="auto" w:fill="FFFFFF"/>
              </w:rPr>
              <w:t>图</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依托现有项目已建锅炉，用天然气作燃料，在炉内燃烧放出来的热量加热锅内的水，并使其汽化成蒸汽。锅炉采用阳离子交换树脂，水中的钙、镁离子被树脂交换吸附，释放出钠离子，从而得到去掉了硬度离子的软化水。当树脂饱和后进行再生，不能再生时需进行更换。</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u w:val="single"/>
                <w:lang w:val="en-US" w:eastAsia="zh-CN"/>
              </w:rPr>
              <w:t>锅炉运行时产生天然气燃烧废气、软水处理废水、锅炉排污水、噪声、废离子交换树脂。</w:t>
            </w:r>
          </w:p>
          <w:p>
            <w:pPr>
              <w:widowControl/>
              <w:spacing w:line="360" w:lineRule="auto"/>
              <w:jc w:val="left"/>
              <w:rPr>
                <w:rFonts w:hint="eastAsia" w:ascii="Times New Roman" w:hAnsi="Times New Roman"/>
                <w:b/>
                <w:color w:val="auto"/>
                <w:kern w:val="0"/>
                <w:sz w:val="24"/>
                <w:szCs w:val="24"/>
                <w:highlight w:val="none"/>
                <w:lang w:bidi="ar"/>
              </w:rPr>
            </w:pPr>
            <w:r>
              <w:rPr>
                <w:rFonts w:hint="eastAsia" w:ascii="Times New Roman" w:hAnsi="Times New Roman"/>
                <w:b/>
                <w:color w:val="auto"/>
                <w:kern w:val="0"/>
                <w:sz w:val="24"/>
                <w:szCs w:val="24"/>
                <w:highlight w:val="none"/>
                <w:lang w:val="en-US" w:eastAsia="zh-CN" w:bidi="ar"/>
              </w:rPr>
              <w:t>5</w:t>
            </w:r>
            <w:r>
              <w:rPr>
                <w:rFonts w:hint="eastAsia" w:ascii="Times New Roman" w:hAnsi="Times New Roman"/>
                <w:b/>
                <w:color w:val="auto"/>
                <w:kern w:val="0"/>
                <w:sz w:val="24"/>
                <w:szCs w:val="24"/>
                <w:highlight w:val="none"/>
                <w:lang w:bidi="ar"/>
              </w:rPr>
              <w:t>、主要污染物</w:t>
            </w:r>
          </w:p>
          <w:p>
            <w:pPr>
              <w:pStyle w:val="4"/>
              <w:numPr>
                <w:ilvl w:val="2"/>
                <w:numId w:val="0"/>
              </w:numPr>
              <w:tabs>
                <w:tab w:val="left" w:pos="352"/>
              </w:tabs>
              <w:jc w:val="center"/>
              <w:outlineLvl w:val="2"/>
              <w:rPr>
                <w:rFonts w:hint="eastAsia" w:ascii="Times New Roman" w:hAnsi="Times New Roman" w:eastAsia="宋体" w:cs="宋体"/>
                <w:b/>
                <w:color w:val="auto"/>
                <w:kern w:val="0"/>
                <w:sz w:val="21"/>
                <w:szCs w:val="20"/>
                <w:highlight w:val="none"/>
                <w:lang w:val="en-US" w:eastAsia="zh-CN" w:bidi="ar-SA"/>
              </w:rPr>
            </w:pPr>
            <w:r>
              <w:rPr>
                <w:rFonts w:hint="eastAsia" w:ascii="Times New Roman" w:hAnsi="Times New Roman" w:eastAsia="宋体" w:cs="宋体"/>
                <w:b/>
                <w:color w:val="auto"/>
                <w:kern w:val="0"/>
                <w:sz w:val="21"/>
                <w:szCs w:val="20"/>
                <w:highlight w:val="none"/>
                <w:lang w:val="en-US" w:eastAsia="zh-CN" w:bidi="ar-SA"/>
              </w:rPr>
              <w:t>表2-11  项目主要产污情况表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473"/>
              <w:gridCol w:w="2154"/>
              <w:gridCol w:w="1732"/>
              <w:gridCol w:w="3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noWrap w:val="0"/>
                  <w:vAlign w:val="center"/>
                </w:tcPr>
                <w:p>
                  <w:pPr>
                    <w:tabs>
                      <w:tab w:val="left" w:pos="3330"/>
                    </w:tabs>
                    <w:adjustRightInd w:val="0"/>
                    <w:snapToGrid w:val="0"/>
                    <w:jc w:val="center"/>
                    <w:rPr>
                      <w:b/>
                      <w:bCs/>
                      <w:color w:val="auto"/>
                      <w:szCs w:val="21"/>
                      <w:highlight w:val="none"/>
                    </w:rPr>
                  </w:pPr>
                  <w:r>
                    <w:rPr>
                      <w:rFonts w:hint="eastAsia"/>
                      <w:b/>
                      <w:bCs/>
                      <w:color w:val="auto"/>
                      <w:szCs w:val="21"/>
                      <w:highlight w:val="none"/>
                      <w:lang w:val="en-US" w:eastAsia="zh-CN"/>
                    </w:rPr>
                    <w:t>时期</w:t>
                  </w:r>
                  <w:r>
                    <w:rPr>
                      <w:b/>
                      <w:bCs/>
                      <w:color w:val="auto"/>
                      <w:szCs w:val="21"/>
                      <w:highlight w:val="none"/>
                    </w:rPr>
                    <w:t xml:space="preserve">  </w:t>
                  </w:r>
                </w:p>
              </w:tc>
              <w:tc>
                <w:tcPr>
                  <w:tcW w:w="281" w:type="pct"/>
                  <w:noWrap w:val="0"/>
                  <w:vAlign w:val="center"/>
                </w:tcPr>
                <w:p>
                  <w:pPr>
                    <w:tabs>
                      <w:tab w:val="left" w:pos="3330"/>
                    </w:tabs>
                    <w:adjustRightInd w:val="0"/>
                    <w:snapToGrid w:val="0"/>
                    <w:jc w:val="center"/>
                    <w:rPr>
                      <w:b/>
                      <w:bCs/>
                      <w:color w:val="auto"/>
                      <w:szCs w:val="21"/>
                      <w:highlight w:val="none"/>
                    </w:rPr>
                  </w:pPr>
                  <w:r>
                    <w:rPr>
                      <w:b/>
                      <w:bCs/>
                      <w:color w:val="auto"/>
                      <w:szCs w:val="21"/>
                      <w:highlight w:val="none"/>
                    </w:rPr>
                    <w:t>类别</w:t>
                  </w:r>
                </w:p>
              </w:tc>
              <w:tc>
                <w:tcPr>
                  <w:tcW w:w="1281" w:type="pct"/>
                  <w:noWrap w:val="0"/>
                  <w:vAlign w:val="center"/>
                </w:tcPr>
                <w:p>
                  <w:pPr>
                    <w:tabs>
                      <w:tab w:val="left" w:pos="3330"/>
                    </w:tabs>
                    <w:adjustRightInd w:val="0"/>
                    <w:snapToGrid w:val="0"/>
                    <w:jc w:val="center"/>
                    <w:rPr>
                      <w:b/>
                      <w:bCs/>
                      <w:color w:val="auto"/>
                      <w:szCs w:val="21"/>
                      <w:highlight w:val="none"/>
                    </w:rPr>
                  </w:pPr>
                  <w:r>
                    <w:rPr>
                      <w:b/>
                      <w:bCs/>
                      <w:color w:val="auto"/>
                      <w:szCs w:val="21"/>
                      <w:highlight w:val="none"/>
                    </w:rPr>
                    <w:t>污染</w:t>
                  </w:r>
                  <w:r>
                    <w:rPr>
                      <w:rFonts w:hint="eastAsia"/>
                      <w:b/>
                      <w:bCs/>
                      <w:color w:val="auto"/>
                      <w:szCs w:val="21"/>
                      <w:highlight w:val="none"/>
                    </w:rPr>
                    <w:t>物</w:t>
                  </w:r>
                </w:p>
              </w:tc>
              <w:tc>
                <w:tcPr>
                  <w:tcW w:w="1030" w:type="pct"/>
                  <w:noWrap w:val="0"/>
                  <w:vAlign w:val="center"/>
                </w:tcPr>
                <w:p>
                  <w:pPr>
                    <w:tabs>
                      <w:tab w:val="left" w:pos="3330"/>
                    </w:tabs>
                    <w:adjustRightInd w:val="0"/>
                    <w:snapToGrid w:val="0"/>
                    <w:jc w:val="center"/>
                    <w:rPr>
                      <w:b/>
                      <w:bCs/>
                      <w:color w:val="auto"/>
                      <w:szCs w:val="21"/>
                      <w:highlight w:val="none"/>
                    </w:rPr>
                  </w:pPr>
                  <w:r>
                    <w:rPr>
                      <w:b/>
                      <w:bCs/>
                      <w:color w:val="auto"/>
                      <w:szCs w:val="21"/>
                      <w:highlight w:val="none"/>
                    </w:rPr>
                    <w:t>产污环节</w:t>
                  </w:r>
                </w:p>
              </w:tc>
              <w:tc>
                <w:tcPr>
                  <w:tcW w:w="2061" w:type="pct"/>
                  <w:noWrap w:val="0"/>
                  <w:vAlign w:val="center"/>
                </w:tcPr>
                <w:p>
                  <w:pPr>
                    <w:tabs>
                      <w:tab w:val="left" w:pos="3330"/>
                    </w:tabs>
                    <w:adjustRightInd w:val="0"/>
                    <w:snapToGrid w:val="0"/>
                    <w:jc w:val="center"/>
                    <w:rPr>
                      <w:b/>
                      <w:bCs/>
                      <w:color w:val="auto"/>
                      <w:szCs w:val="21"/>
                      <w:highlight w:val="none"/>
                    </w:rPr>
                  </w:pPr>
                  <w:r>
                    <w:rPr>
                      <w:b/>
                      <w:bCs/>
                      <w:color w:val="auto"/>
                      <w:szCs w:val="21"/>
                      <w:highlight w:val="none"/>
                    </w:rPr>
                    <w:t>污染物/固废属性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restart"/>
                  <w:noWrap w:val="0"/>
                  <w:vAlign w:val="center"/>
                </w:tcPr>
                <w:p>
                  <w:pPr>
                    <w:tabs>
                      <w:tab w:val="left" w:pos="3330"/>
                    </w:tabs>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施工期</w:t>
                  </w:r>
                </w:p>
              </w:tc>
              <w:tc>
                <w:tcPr>
                  <w:tcW w:w="281" w:type="pct"/>
                  <w:vMerge w:val="restart"/>
                  <w:noWrap w:val="0"/>
                  <w:vAlign w:val="center"/>
                </w:tcPr>
                <w:p>
                  <w:pPr>
                    <w:tabs>
                      <w:tab w:val="left" w:pos="3330"/>
                    </w:tabs>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废气</w:t>
                  </w:r>
                </w:p>
              </w:tc>
              <w:tc>
                <w:tcPr>
                  <w:tcW w:w="1281" w:type="pct"/>
                  <w:noWrap w:val="0"/>
                  <w:vAlign w:val="center"/>
                </w:tcPr>
                <w:p>
                  <w:pPr>
                    <w:tabs>
                      <w:tab w:val="left" w:pos="3330"/>
                    </w:tabs>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施工扬尘</w:t>
                  </w:r>
                </w:p>
              </w:tc>
              <w:tc>
                <w:tcPr>
                  <w:tcW w:w="1030" w:type="pct"/>
                  <w:noWrap w:val="0"/>
                  <w:vAlign w:val="center"/>
                </w:tcPr>
                <w:p>
                  <w:pPr>
                    <w:tabs>
                      <w:tab w:val="left" w:pos="3330"/>
                    </w:tabs>
                    <w:adjustRightInd w:val="0"/>
                    <w:snapToGrid w:val="0"/>
                    <w:jc w:val="center"/>
                    <w:rPr>
                      <w:rFonts w:hint="eastAsia"/>
                      <w:color w:val="auto"/>
                      <w:szCs w:val="21"/>
                      <w:highlight w:val="none"/>
                    </w:rPr>
                  </w:pPr>
                  <w:r>
                    <w:rPr>
                      <w:rFonts w:hint="eastAsia"/>
                      <w:color w:val="auto"/>
                      <w:szCs w:val="21"/>
                      <w:highlight w:val="none"/>
                      <w:lang w:val="en-US" w:eastAsia="zh-CN"/>
                    </w:rPr>
                    <w:t>施工</w:t>
                  </w:r>
                </w:p>
              </w:tc>
              <w:tc>
                <w:tcPr>
                  <w:tcW w:w="2061" w:type="pct"/>
                  <w:noWrap w:val="0"/>
                  <w:vAlign w:val="center"/>
                </w:tcPr>
                <w:p>
                  <w:pPr>
                    <w:tabs>
                      <w:tab w:val="left" w:pos="3330"/>
                    </w:tabs>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345" w:type="pct"/>
                  <w:vMerge w:val="continue"/>
                  <w:noWrap w:val="0"/>
                  <w:vAlign w:val="center"/>
                </w:tcPr>
                <w:p>
                  <w:pPr>
                    <w:tabs>
                      <w:tab w:val="left" w:pos="3330"/>
                    </w:tabs>
                    <w:adjustRightInd w:val="0"/>
                    <w:snapToGrid w:val="0"/>
                    <w:jc w:val="center"/>
                    <w:rPr>
                      <w:rFonts w:hint="eastAsia"/>
                      <w:color w:val="auto"/>
                      <w:szCs w:val="21"/>
                      <w:highlight w:val="none"/>
                      <w:lang w:val="en-US" w:eastAsia="zh-CN"/>
                    </w:rPr>
                  </w:pPr>
                </w:p>
              </w:tc>
              <w:tc>
                <w:tcPr>
                  <w:tcW w:w="281" w:type="pct"/>
                  <w:vMerge w:val="continue"/>
                  <w:noWrap w:val="0"/>
                  <w:vAlign w:val="center"/>
                </w:tcPr>
                <w:p>
                  <w:pPr>
                    <w:tabs>
                      <w:tab w:val="left" w:pos="3330"/>
                    </w:tabs>
                    <w:adjustRightInd w:val="0"/>
                    <w:snapToGrid w:val="0"/>
                    <w:jc w:val="center"/>
                    <w:rPr>
                      <w:rFonts w:hint="eastAsia"/>
                      <w:color w:val="auto"/>
                      <w:szCs w:val="21"/>
                      <w:highlight w:val="none"/>
                      <w:lang w:val="en-US" w:eastAsia="zh-CN"/>
                    </w:rPr>
                  </w:pPr>
                </w:p>
              </w:tc>
              <w:tc>
                <w:tcPr>
                  <w:tcW w:w="1281" w:type="pct"/>
                  <w:noWrap w:val="0"/>
                  <w:vAlign w:val="center"/>
                </w:tcPr>
                <w:p>
                  <w:pPr>
                    <w:tabs>
                      <w:tab w:val="left" w:pos="3330"/>
                    </w:tabs>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施工机械废气</w:t>
                  </w:r>
                </w:p>
              </w:tc>
              <w:tc>
                <w:tcPr>
                  <w:tcW w:w="1030" w:type="pct"/>
                  <w:noWrap w:val="0"/>
                  <w:vAlign w:val="center"/>
                </w:tcPr>
                <w:p>
                  <w:pPr>
                    <w:tabs>
                      <w:tab w:val="left" w:pos="3330"/>
                    </w:tabs>
                    <w:adjustRightInd w:val="0"/>
                    <w:snapToGrid w:val="0"/>
                    <w:jc w:val="center"/>
                    <w:rPr>
                      <w:rFonts w:hint="default"/>
                      <w:color w:val="auto"/>
                      <w:szCs w:val="21"/>
                      <w:highlight w:val="none"/>
                      <w:lang w:val="en-US"/>
                    </w:rPr>
                  </w:pPr>
                  <w:r>
                    <w:rPr>
                      <w:rFonts w:hint="eastAsia"/>
                      <w:color w:val="auto"/>
                      <w:szCs w:val="21"/>
                      <w:highlight w:val="none"/>
                      <w:lang w:val="en-US" w:eastAsia="zh-CN"/>
                    </w:rPr>
                    <w:t>施工机械</w:t>
                  </w:r>
                </w:p>
              </w:tc>
              <w:tc>
                <w:tcPr>
                  <w:tcW w:w="2061" w:type="pct"/>
                  <w:noWrap w:val="0"/>
                  <w:vAlign w:val="center"/>
                </w:tcPr>
                <w:p>
                  <w:pPr>
                    <w:tabs>
                      <w:tab w:val="left" w:pos="3330"/>
                    </w:tabs>
                    <w:adjustRightInd w:val="0"/>
                    <w:snapToGrid w:val="0"/>
                    <w:jc w:val="center"/>
                    <w:rPr>
                      <w:color w:val="auto"/>
                      <w:szCs w:val="21"/>
                      <w:highlight w:val="none"/>
                    </w:rPr>
                  </w:pPr>
                  <w:r>
                    <w:rPr>
                      <w:rFonts w:hint="eastAsia"/>
                      <w:color w:val="auto"/>
                      <w:szCs w:val="21"/>
                      <w:highlight w:val="none"/>
                    </w:rPr>
                    <w:t>CO、NO</w:t>
                  </w:r>
                  <w:r>
                    <w:rPr>
                      <w:rFonts w:hint="eastAsia"/>
                      <w:color w:val="auto"/>
                      <w:szCs w:val="21"/>
                      <w:highlight w:val="none"/>
                      <w:vertAlign w:val="subscript"/>
                    </w:rPr>
                    <w:t>2</w:t>
                  </w:r>
                  <w:r>
                    <w:rPr>
                      <w:rFonts w:hint="eastAsia"/>
                      <w:color w:val="auto"/>
                      <w:szCs w:val="21"/>
                      <w:highlight w:val="none"/>
                      <w:lang w:eastAsia="zh-CN"/>
                    </w:rPr>
                    <w:t>、</w:t>
                  </w:r>
                  <w:r>
                    <w:rPr>
                      <w:rFonts w:hint="eastAsia"/>
                      <w:color w:val="auto"/>
                      <w:szCs w:val="21"/>
                      <w:highlight w:val="none"/>
                    </w:rPr>
                    <w:t>HC等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rFonts w:hint="eastAsia"/>
                      <w:color w:val="auto"/>
                      <w:szCs w:val="21"/>
                      <w:highlight w:val="none"/>
                      <w:lang w:val="en-US" w:eastAsia="zh-CN"/>
                    </w:rPr>
                  </w:pPr>
                </w:p>
              </w:tc>
              <w:tc>
                <w:tcPr>
                  <w:tcW w:w="281" w:type="pct"/>
                  <w:vMerge w:val="continue"/>
                  <w:noWrap w:val="0"/>
                  <w:vAlign w:val="center"/>
                </w:tcPr>
                <w:p>
                  <w:pPr>
                    <w:tabs>
                      <w:tab w:val="left" w:pos="3330"/>
                    </w:tabs>
                    <w:adjustRightInd w:val="0"/>
                    <w:snapToGrid w:val="0"/>
                    <w:jc w:val="center"/>
                    <w:rPr>
                      <w:rFonts w:hint="eastAsia"/>
                      <w:color w:val="auto"/>
                      <w:szCs w:val="21"/>
                      <w:highlight w:val="none"/>
                      <w:lang w:val="en-US" w:eastAsia="zh-CN"/>
                    </w:rPr>
                  </w:pPr>
                </w:p>
              </w:tc>
              <w:tc>
                <w:tcPr>
                  <w:tcW w:w="1281" w:type="pct"/>
                  <w:noWrap w:val="0"/>
                  <w:vAlign w:val="center"/>
                </w:tcPr>
                <w:p>
                  <w:pPr>
                    <w:tabs>
                      <w:tab w:val="left" w:pos="3330"/>
                    </w:tabs>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装修废气</w:t>
                  </w:r>
                </w:p>
              </w:tc>
              <w:tc>
                <w:tcPr>
                  <w:tcW w:w="1030" w:type="pct"/>
                  <w:noWrap w:val="0"/>
                  <w:vAlign w:val="center"/>
                </w:tcPr>
                <w:p>
                  <w:pPr>
                    <w:tabs>
                      <w:tab w:val="left" w:pos="3330"/>
                    </w:tabs>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装修</w:t>
                  </w:r>
                </w:p>
              </w:tc>
              <w:tc>
                <w:tcPr>
                  <w:tcW w:w="2061" w:type="pct"/>
                  <w:noWrap w:val="0"/>
                  <w:vAlign w:val="center"/>
                </w:tcPr>
                <w:p>
                  <w:pPr>
                    <w:tabs>
                      <w:tab w:val="left" w:pos="3330"/>
                    </w:tabs>
                    <w:adjustRightInd w:val="0"/>
                    <w:snapToGrid w:val="0"/>
                    <w:jc w:val="center"/>
                    <w:rPr>
                      <w:color w:val="auto"/>
                      <w:szCs w:val="21"/>
                      <w:highlight w:val="none"/>
                    </w:rPr>
                  </w:pPr>
                  <w:r>
                    <w:rPr>
                      <w:rFonts w:hint="eastAsia"/>
                      <w:color w:val="auto"/>
                      <w:szCs w:val="21"/>
                      <w:highlight w:val="none"/>
                      <w:lang w:val="en-US" w:eastAsia="zh-CN"/>
                    </w:rPr>
                    <w:t>二甲苯、</w:t>
                  </w:r>
                  <w:r>
                    <w:rPr>
                      <w:rFonts w:hint="eastAsia"/>
                      <w:color w:val="auto"/>
                      <w:szCs w:val="21"/>
                      <w:highlight w:val="none"/>
                    </w:rPr>
                    <w:t>醋酸丁酯、乙醇、丁醇等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restart"/>
                  <w:noWrap w:val="0"/>
                  <w:vAlign w:val="center"/>
                </w:tcPr>
                <w:p>
                  <w:pPr>
                    <w:tabs>
                      <w:tab w:val="left" w:pos="3330"/>
                    </w:tabs>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废水</w:t>
                  </w:r>
                </w:p>
              </w:tc>
              <w:tc>
                <w:tcPr>
                  <w:tcW w:w="1281" w:type="pct"/>
                  <w:noWrap w:val="0"/>
                  <w:vAlign w:val="center"/>
                </w:tcPr>
                <w:p>
                  <w:pPr>
                    <w:tabs>
                      <w:tab w:val="left" w:pos="3330"/>
                    </w:tabs>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生活污水</w:t>
                  </w:r>
                </w:p>
              </w:tc>
              <w:tc>
                <w:tcPr>
                  <w:tcW w:w="1030" w:type="pct"/>
                  <w:noWrap w:val="0"/>
                  <w:vAlign w:val="center"/>
                </w:tcPr>
                <w:p>
                  <w:pPr>
                    <w:tabs>
                      <w:tab w:val="left" w:pos="3330"/>
                    </w:tabs>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施工人员生活</w:t>
                  </w:r>
                </w:p>
              </w:tc>
              <w:tc>
                <w:tcPr>
                  <w:tcW w:w="2061" w:type="pct"/>
                  <w:noWrap w:val="0"/>
                  <w:vAlign w:val="center"/>
                </w:tcPr>
                <w:p>
                  <w:pPr>
                    <w:tabs>
                      <w:tab w:val="left" w:pos="3330"/>
                    </w:tabs>
                    <w:adjustRightInd w:val="0"/>
                    <w:snapToGrid w:val="0"/>
                    <w:jc w:val="center"/>
                    <w:rPr>
                      <w:color w:val="auto"/>
                      <w:szCs w:val="21"/>
                      <w:highlight w:val="none"/>
                    </w:rPr>
                  </w:pPr>
                  <w:r>
                    <w:rPr>
                      <w:color w:val="auto"/>
                      <w:szCs w:val="21"/>
                      <w:highlight w:val="none"/>
                    </w:rPr>
                    <w:t>COD、NH</w:t>
                  </w:r>
                  <w:r>
                    <w:rPr>
                      <w:color w:val="auto"/>
                      <w:kern w:val="0"/>
                      <w:szCs w:val="21"/>
                      <w:highlight w:val="none"/>
                      <w:vertAlign w:val="subscript"/>
                      <w:lang w:bidi="ar"/>
                    </w:rPr>
                    <w:t>3</w:t>
                  </w:r>
                  <w:r>
                    <w:rPr>
                      <w:color w:val="auto"/>
                      <w:szCs w:val="21"/>
                      <w:highlight w:val="none"/>
                    </w:rPr>
                    <w:t>-N、BOD</w:t>
                  </w:r>
                  <w:r>
                    <w:rPr>
                      <w:color w:val="auto"/>
                      <w:kern w:val="0"/>
                      <w:szCs w:val="21"/>
                      <w:highlight w:val="none"/>
                      <w:vertAlign w:val="subscript"/>
                      <w:lang w:bidi="ar"/>
                    </w:rPr>
                    <w:t>5</w:t>
                  </w:r>
                  <w:r>
                    <w:rPr>
                      <w:color w:val="auto"/>
                      <w:szCs w:val="21"/>
                      <w:highlight w:val="none"/>
                    </w:rPr>
                    <w:t>、SS、TP等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rFonts w:hint="eastAsia"/>
                      <w:color w:val="auto"/>
                      <w:szCs w:val="21"/>
                      <w:highlight w:val="none"/>
                      <w:lang w:val="en-US" w:eastAsia="zh-CN"/>
                    </w:rPr>
                  </w:pPr>
                </w:p>
              </w:tc>
              <w:tc>
                <w:tcPr>
                  <w:tcW w:w="1281" w:type="pct"/>
                  <w:noWrap w:val="0"/>
                  <w:vAlign w:val="center"/>
                </w:tcPr>
                <w:p>
                  <w:pPr>
                    <w:tabs>
                      <w:tab w:val="left" w:pos="3330"/>
                    </w:tabs>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施工废水</w:t>
                  </w:r>
                </w:p>
              </w:tc>
              <w:tc>
                <w:tcPr>
                  <w:tcW w:w="1030" w:type="pct"/>
                  <w:noWrap w:val="0"/>
                  <w:vAlign w:val="center"/>
                </w:tcPr>
                <w:p>
                  <w:pPr>
                    <w:tabs>
                      <w:tab w:val="left" w:pos="3330"/>
                    </w:tabs>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施工</w:t>
                  </w:r>
                </w:p>
              </w:tc>
              <w:tc>
                <w:tcPr>
                  <w:tcW w:w="2061" w:type="pct"/>
                  <w:noWrap w:val="0"/>
                  <w:vAlign w:val="center"/>
                </w:tcPr>
                <w:p>
                  <w:pPr>
                    <w:tabs>
                      <w:tab w:val="left" w:pos="3330"/>
                    </w:tabs>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SS等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restart"/>
                  <w:noWrap w:val="0"/>
                  <w:vAlign w:val="center"/>
                </w:tcPr>
                <w:p>
                  <w:pPr>
                    <w:tabs>
                      <w:tab w:val="left" w:pos="3330"/>
                    </w:tabs>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噪声</w:t>
                  </w:r>
                </w:p>
              </w:tc>
              <w:tc>
                <w:tcPr>
                  <w:tcW w:w="1281" w:type="pct"/>
                  <w:noWrap w:val="0"/>
                  <w:vAlign w:val="center"/>
                </w:tcPr>
                <w:p>
                  <w:pPr>
                    <w:tabs>
                      <w:tab w:val="left" w:pos="3330"/>
                    </w:tabs>
                    <w:adjustRightInd w:val="0"/>
                    <w:snapToGrid w:val="0"/>
                    <w:jc w:val="center"/>
                    <w:rPr>
                      <w:rFonts w:hint="eastAsia"/>
                      <w:color w:val="auto"/>
                      <w:szCs w:val="21"/>
                      <w:highlight w:val="none"/>
                    </w:rPr>
                  </w:pPr>
                  <w:r>
                    <w:rPr>
                      <w:rFonts w:hint="eastAsia"/>
                      <w:color w:val="auto"/>
                      <w:szCs w:val="21"/>
                      <w:highlight w:val="none"/>
                    </w:rPr>
                    <w:t>设备噪声</w:t>
                  </w:r>
                </w:p>
              </w:tc>
              <w:tc>
                <w:tcPr>
                  <w:tcW w:w="1030" w:type="pct"/>
                  <w:noWrap w:val="0"/>
                  <w:vAlign w:val="center"/>
                </w:tcPr>
                <w:p>
                  <w:pPr>
                    <w:tabs>
                      <w:tab w:val="left" w:pos="3330"/>
                    </w:tabs>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设备使用</w:t>
                  </w:r>
                </w:p>
              </w:tc>
              <w:tc>
                <w:tcPr>
                  <w:tcW w:w="2061" w:type="pct"/>
                  <w:noWrap w:val="0"/>
                  <w:vAlign w:val="center"/>
                </w:tcPr>
                <w:p>
                  <w:pPr>
                    <w:tabs>
                      <w:tab w:val="left" w:pos="3330"/>
                    </w:tabs>
                    <w:adjustRightInd w:val="0"/>
                    <w:snapToGrid w:val="0"/>
                    <w:jc w:val="center"/>
                    <w:rPr>
                      <w:color w:val="auto"/>
                      <w:szCs w:val="21"/>
                      <w:highlight w:val="none"/>
                    </w:rPr>
                  </w:pPr>
                  <w:r>
                    <w:rPr>
                      <w:color w:val="auto"/>
                      <w:szCs w:val="21"/>
                      <w:highlight w:val="none"/>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rFonts w:hint="eastAsia"/>
                      <w:color w:val="auto"/>
                      <w:szCs w:val="21"/>
                      <w:highlight w:val="none"/>
                      <w:lang w:val="en-US" w:eastAsia="zh-CN"/>
                    </w:rPr>
                  </w:pPr>
                </w:p>
              </w:tc>
              <w:tc>
                <w:tcPr>
                  <w:tcW w:w="1281" w:type="pct"/>
                  <w:noWrap w:val="0"/>
                  <w:vAlign w:val="center"/>
                </w:tcPr>
                <w:p>
                  <w:pPr>
                    <w:tabs>
                      <w:tab w:val="left" w:pos="3330"/>
                    </w:tabs>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机械噪声</w:t>
                  </w:r>
                </w:p>
              </w:tc>
              <w:tc>
                <w:tcPr>
                  <w:tcW w:w="1030" w:type="pct"/>
                  <w:noWrap w:val="0"/>
                  <w:vAlign w:val="center"/>
                </w:tcPr>
                <w:p>
                  <w:pPr>
                    <w:tabs>
                      <w:tab w:val="left" w:pos="3330"/>
                    </w:tabs>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施工</w:t>
                  </w:r>
                </w:p>
              </w:tc>
              <w:tc>
                <w:tcPr>
                  <w:tcW w:w="2061" w:type="pct"/>
                  <w:noWrap w:val="0"/>
                  <w:vAlign w:val="center"/>
                </w:tcPr>
                <w:p>
                  <w:pPr>
                    <w:tabs>
                      <w:tab w:val="left" w:pos="3330"/>
                    </w:tabs>
                    <w:adjustRightInd w:val="0"/>
                    <w:snapToGrid w:val="0"/>
                    <w:jc w:val="center"/>
                    <w:rPr>
                      <w:color w:val="auto"/>
                      <w:szCs w:val="21"/>
                      <w:highlight w:val="none"/>
                    </w:rPr>
                  </w:pPr>
                  <w:r>
                    <w:rPr>
                      <w:color w:val="auto"/>
                      <w:szCs w:val="21"/>
                      <w:highlight w:val="none"/>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rFonts w:hint="eastAsia"/>
                      <w:color w:val="auto"/>
                      <w:szCs w:val="21"/>
                      <w:highlight w:val="none"/>
                      <w:lang w:val="en-US" w:eastAsia="zh-CN"/>
                    </w:rPr>
                  </w:pPr>
                </w:p>
              </w:tc>
              <w:tc>
                <w:tcPr>
                  <w:tcW w:w="1281" w:type="pct"/>
                  <w:noWrap w:val="0"/>
                  <w:vAlign w:val="center"/>
                </w:tcPr>
                <w:p>
                  <w:pPr>
                    <w:tabs>
                      <w:tab w:val="left" w:pos="3330"/>
                    </w:tabs>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车辆噪声</w:t>
                  </w:r>
                </w:p>
              </w:tc>
              <w:tc>
                <w:tcPr>
                  <w:tcW w:w="1030" w:type="pct"/>
                  <w:noWrap w:val="0"/>
                  <w:vAlign w:val="center"/>
                </w:tcPr>
                <w:p>
                  <w:pPr>
                    <w:tabs>
                      <w:tab w:val="left" w:pos="3330"/>
                    </w:tabs>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施工车辆</w:t>
                  </w:r>
                </w:p>
              </w:tc>
              <w:tc>
                <w:tcPr>
                  <w:tcW w:w="2061" w:type="pct"/>
                  <w:noWrap w:val="0"/>
                  <w:vAlign w:val="center"/>
                </w:tcPr>
                <w:p>
                  <w:pPr>
                    <w:tabs>
                      <w:tab w:val="left" w:pos="3330"/>
                    </w:tabs>
                    <w:adjustRightInd w:val="0"/>
                    <w:snapToGrid w:val="0"/>
                    <w:jc w:val="center"/>
                    <w:rPr>
                      <w:color w:val="auto"/>
                      <w:szCs w:val="21"/>
                      <w:highlight w:val="none"/>
                    </w:rPr>
                  </w:pPr>
                  <w:r>
                    <w:rPr>
                      <w:color w:val="auto"/>
                      <w:szCs w:val="21"/>
                      <w:highlight w:val="none"/>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restart"/>
                  <w:noWrap w:val="0"/>
                  <w:vAlign w:val="center"/>
                </w:tcPr>
                <w:p>
                  <w:pPr>
                    <w:tabs>
                      <w:tab w:val="left" w:pos="3330"/>
                    </w:tabs>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固废</w:t>
                  </w:r>
                </w:p>
              </w:tc>
              <w:tc>
                <w:tcPr>
                  <w:tcW w:w="1281" w:type="pct"/>
                  <w:noWrap w:val="0"/>
                  <w:vAlign w:val="center"/>
                </w:tcPr>
                <w:p>
                  <w:pPr>
                    <w:tabs>
                      <w:tab w:val="left" w:pos="3330"/>
                    </w:tabs>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弃土</w:t>
                  </w:r>
                </w:p>
              </w:tc>
              <w:tc>
                <w:tcPr>
                  <w:tcW w:w="1030" w:type="pct"/>
                  <w:noWrap w:val="0"/>
                  <w:vAlign w:val="center"/>
                </w:tcPr>
                <w:p>
                  <w:pPr>
                    <w:tabs>
                      <w:tab w:val="left" w:pos="3330"/>
                    </w:tabs>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土石方开挖</w:t>
                  </w:r>
                </w:p>
              </w:tc>
              <w:tc>
                <w:tcPr>
                  <w:tcW w:w="2061" w:type="pct"/>
                  <w:noWrap w:val="0"/>
                  <w:vAlign w:val="center"/>
                </w:tcPr>
                <w:p>
                  <w:pPr>
                    <w:tabs>
                      <w:tab w:val="left" w:pos="3330"/>
                    </w:tabs>
                    <w:adjustRightInd w:val="0"/>
                    <w:snapToGrid w:val="0"/>
                    <w:jc w:val="center"/>
                    <w:rPr>
                      <w:color w:val="auto"/>
                      <w:szCs w:val="21"/>
                      <w:highlight w:val="none"/>
                    </w:rPr>
                  </w:pPr>
                  <w:r>
                    <w:rPr>
                      <w:color w:val="auto"/>
                      <w:szCs w:val="21"/>
                      <w:highlight w:val="non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rFonts w:hint="eastAsia"/>
                      <w:color w:val="auto"/>
                      <w:szCs w:val="21"/>
                      <w:highlight w:val="none"/>
                      <w:lang w:val="en-US" w:eastAsia="zh-CN"/>
                    </w:rPr>
                  </w:pPr>
                </w:p>
              </w:tc>
              <w:tc>
                <w:tcPr>
                  <w:tcW w:w="1281" w:type="pct"/>
                  <w:noWrap w:val="0"/>
                  <w:vAlign w:val="center"/>
                </w:tcPr>
                <w:p>
                  <w:pPr>
                    <w:tabs>
                      <w:tab w:val="left" w:pos="3330"/>
                    </w:tabs>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建筑垃圾</w:t>
                  </w:r>
                </w:p>
              </w:tc>
              <w:tc>
                <w:tcPr>
                  <w:tcW w:w="1030" w:type="pct"/>
                  <w:noWrap w:val="0"/>
                  <w:vAlign w:val="center"/>
                </w:tcPr>
                <w:p>
                  <w:pPr>
                    <w:tabs>
                      <w:tab w:val="left" w:pos="3330"/>
                    </w:tabs>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施工</w:t>
                  </w:r>
                </w:p>
              </w:tc>
              <w:tc>
                <w:tcPr>
                  <w:tcW w:w="2061" w:type="pct"/>
                  <w:noWrap w:val="0"/>
                  <w:vAlign w:val="center"/>
                </w:tcPr>
                <w:p>
                  <w:pPr>
                    <w:tabs>
                      <w:tab w:val="left" w:pos="3330"/>
                    </w:tabs>
                    <w:adjustRightInd w:val="0"/>
                    <w:snapToGrid w:val="0"/>
                    <w:jc w:val="center"/>
                    <w:rPr>
                      <w:color w:val="auto"/>
                      <w:szCs w:val="21"/>
                      <w:highlight w:val="none"/>
                    </w:rPr>
                  </w:pPr>
                  <w:r>
                    <w:rPr>
                      <w:color w:val="auto"/>
                      <w:szCs w:val="21"/>
                      <w:highlight w:val="non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rFonts w:hint="eastAsia"/>
                      <w:color w:val="auto"/>
                      <w:szCs w:val="21"/>
                      <w:highlight w:val="none"/>
                      <w:lang w:val="en-US" w:eastAsia="zh-CN"/>
                    </w:rPr>
                  </w:pPr>
                </w:p>
              </w:tc>
              <w:tc>
                <w:tcPr>
                  <w:tcW w:w="1281" w:type="pct"/>
                  <w:noWrap w:val="0"/>
                  <w:vAlign w:val="center"/>
                </w:tcPr>
                <w:p>
                  <w:pPr>
                    <w:tabs>
                      <w:tab w:val="left" w:pos="3330"/>
                    </w:tabs>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生活垃圾</w:t>
                  </w:r>
                </w:p>
              </w:tc>
              <w:tc>
                <w:tcPr>
                  <w:tcW w:w="1030" w:type="pct"/>
                  <w:noWrap w:val="0"/>
                  <w:vAlign w:val="center"/>
                </w:tcPr>
                <w:p>
                  <w:pPr>
                    <w:tabs>
                      <w:tab w:val="left" w:pos="3330"/>
                    </w:tabs>
                    <w:adjustRightInd w:val="0"/>
                    <w:snapToGrid w:val="0"/>
                    <w:jc w:val="center"/>
                    <w:rPr>
                      <w:rFonts w:hint="eastAsia"/>
                      <w:color w:val="auto"/>
                      <w:szCs w:val="21"/>
                      <w:highlight w:val="none"/>
                    </w:rPr>
                  </w:pPr>
                  <w:r>
                    <w:rPr>
                      <w:rFonts w:hint="eastAsia"/>
                      <w:color w:val="auto"/>
                      <w:szCs w:val="21"/>
                      <w:highlight w:val="none"/>
                      <w:lang w:val="en-US" w:eastAsia="zh-CN"/>
                    </w:rPr>
                    <w:t>施工人员生活</w:t>
                  </w:r>
                </w:p>
              </w:tc>
              <w:tc>
                <w:tcPr>
                  <w:tcW w:w="2061" w:type="pct"/>
                  <w:noWrap w:val="0"/>
                  <w:vAlign w:val="center"/>
                </w:tcPr>
                <w:p>
                  <w:pPr>
                    <w:tabs>
                      <w:tab w:val="left" w:pos="3330"/>
                    </w:tabs>
                    <w:adjustRightInd w:val="0"/>
                    <w:snapToGrid w:val="0"/>
                    <w:jc w:val="center"/>
                    <w:rPr>
                      <w:color w:val="auto"/>
                      <w:szCs w:val="21"/>
                      <w:highlight w:val="none"/>
                    </w:rPr>
                  </w:pPr>
                  <w:r>
                    <w:rPr>
                      <w:color w:val="auto"/>
                      <w:szCs w:val="21"/>
                      <w:highlight w:val="non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rFonts w:hint="eastAsia"/>
                      <w:color w:val="auto"/>
                      <w:szCs w:val="21"/>
                      <w:highlight w:val="none"/>
                      <w:lang w:val="en-US" w:eastAsia="zh-CN"/>
                    </w:rPr>
                  </w:pPr>
                </w:p>
              </w:tc>
              <w:tc>
                <w:tcPr>
                  <w:tcW w:w="1281" w:type="pct"/>
                  <w:noWrap w:val="0"/>
                  <w:vAlign w:val="center"/>
                </w:tcPr>
                <w:p>
                  <w:pPr>
                    <w:tabs>
                      <w:tab w:val="left" w:pos="3330"/>
                    </w:tabs>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沉淀池泥沙</w:t>
                  </w:r>
                </w:p>
              </w:tc>
              <w:tc>
                <w:tcPr>
                  <w:tcW w:w="1030" w:type="pct"/>
                  <w:noWrap w:val="0"/>
                  <w:vAlign w:val="center"/>
                </w:tcPr>
                <w:p>
                  <w:pPr>
                    <w:tabs>
                      <w:tab w:val="left" w:pos="3330"/>
                    </w:tabs>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废水处理</w:t>
                  </w:r>
                </w:p>
              </w:tc>
              <w:tc>
                <w:tcPr>
                  <w:tcW w:w="2061" w:type="pct"/>
                  <w:noWrap w:val="0"/>
                  <w:vAlign w:val="center"/>
                </w:tcPr>
                <w:p>
                  <w:pPr>
                    <w:tabs>
                      <w:tab w:val="left" w:pos="3330"/>
                    </w:tabs>
                    <w:adjustRightInd w:val="0"/>
                    <w:snapToGrid w:val="0"/>
                    <w:jc w:val="center"/>
                    <w:rPr>
                      <w:color w:val="auto"/>
                      <w:szCs w:val="21"/>
                      <w:highlight w:val="none"/>
                    </w:rPr>
                  </w:pPr>
                  <w:r>
                    <w:rPr>
                      <w:color w:val="auto"/>
                      <w:szCs w:val="21"/>
                      <w:highlight w:val="non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restart"/>
                  <w:noWrap w:val="0"/>
                  <w:vAlign w:val="center"/>
                </w:tcPr>
                <w:p>
                  <w:pPr>
                    <w:tabs>
                      <w:tab w:val="left" w:pos="3330"/>
                    </w:tabs>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运营期</w:t>
                  </w:r>
                </w:p>
              </w:tc>
              <w:tc>
                <w:tcPr>
                  <w:tcW w:w="281" w:type="pct"/>
                  <w:vMerge w:val="restart"/>
                  <w:noWrap w:val="0"/>
                  <w:vAlign w:val="center"/>
                </w:tcPr>
                <w:p>
                  <w:pPr>
                    <w:tabs>
                      <w:tab w:val="left" w:pos="3330"/>
                    </w:tabs>
                    <w:adjustRightInd w:val="0"/>
                    <w:snapToGrid w:val="0"/>
                    <w:jc w:val="center"/>
                    <w:rPr>
                      <w:color w:val="auto"/>
                      <w:szCs w:val="21"/>
                      <w:highlight w:val="none"/>
                    </w:rPr>
                  </w:pPr>
                  <w:r>
                    <w:rPr>
                      <w:color w:val="auto"/>
                      <w:szCs w:val="21"/>
                      <w:highlight w:val="none"/>
                    </w:rPr>
                    <w:t>废气</w:t>
                  </w:r>
                </w:p>
              </w:tc>
              <w:tc>
                <w:tcPr>
                  <w:tcW w:w="1281" w:type="pct"/>
                  <w:noWrap w:val="0"/>
                  <w:vAlign w:val="center"/>
                </w:tcPr>
                <w:p>
                  <w:pPr>
                    <w:tabs>
                      <w:tab w:val="left" w:pos="3330"/>
                    </w:tabs>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天然气燃烧废气</w:t>
                  </w:r>
                </w:p>
              </w:tc>
              <w:tc>
                <w:tcPr>
                  <w:tcW w:w="1030" w:type="pct"/>
                  <w:noWrap w:val="0"/>
                  <w:vAlign w:val="center"/>
                </w:tcPr>
                <w:p>
                  <w:pPr>
                    <w:tabs>
                      <w:tab w:val="left" w:pos="3330"/>
                    </w:tabs>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锅炉</w:t>
                  </w:r>
                </w:p>
              </w:tc>
              <w:tc>
                <w:tcPr>
                  <w:tcW w:w="2061" w:type="pct"/>
                  <w:noWrap w:val="0"/>
                  <w:vAlign w:val="center"/>
                </w:tcPr>
                <w:p>
                  <w:pPr>
                    <w:tabs>
                      <w:tab w:val="left" w:pos="3330"/>
                    </w:tabs>
                    <w:adjustRightInd w:val="0"/>
                    <w:snapToGrid w:val="0"/>
                    <w:jc w:val="center"/>
                    <w:rPr>
                      <w:rFonts w:hint="eastAsia" w:ascii="Times New Roman" w:hAnsi="Times New Roman" w:eastAsia="宋体"/>
                      <w:color w:val="auto"/>
                      <w:kern w:val="2"/>
                      <w:sz w:val="21"/>
                      <w:szCs w:val="21"/>
                      <w:highlight w:val="none"/>
                      <w:lang w:val="en-US" w:eastAsia="zh-CN" w:bidi="ar-SA"/>
                    </w:rPr>
                  </w:pPr>
                  <w:r>
                    <w:rPr>
                      <w:color w:val="auto"/>
                      <w:szCs w:val="21"/>
                      <w:highlight w:val="none"/>
                    </w:rPr>
                    <w:t>颗粒物、</w:t>
                  </w:r>
                  <w:r>
                    <w:rPr>
                      <w:color w:val="auto"/>
                      <w:kern w:val="0"/>
                      <w:szCs w:val="21"/>
                      <w:highlight w:val="none"/>
                      <w:lang w:bidi="ar"/>
                    </w:rPr>
                    <w:t>SO</w:t>
                  </w:r>
                  <w:r>
                    <w:rPr>
                      <w:color w:val="auto"/>
                      <w:kern w:val="0"/>
                      <w:szCs w:val="21"/>
                      <w:highlight w:val="none"/>
                      <w:vertAlign w:val="subscript"/>
                      <w:lang w:bidi="ar"/>
                    </w:rPr>
                    <w:t>2</w:t>
                  </w:r>
                  <w:r>
                    <w:rPr>
                      <w:color w:val="auto"/>
                      <w:szCs w:val="21"/>
                      <w:highlight w:val="none"/>
                    </w:rPr>
                    <w:t>、NOx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rFonts w:hint="eastAsia"/>
                      <w:color w:val="auto"/>
                      <w:szCs w:val="21"/>
                      <w:highlight w:val="none"/>
                      <w:lang w:val="en-US" w:eastAsia="zh-CN"/>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油炸油烟</w:t>
                  </w:r>
                </w:p>
              </w:tc>
              <w:tc>
                <w:tcPr>
                  <w:tcW w:w="1030" w:type="pct"/>
                  <w:noWrap w:val="0"/>
                  <w:vAlign w:val="center"/>
                </w:tcPr>
                <w:p>
                  <w:pPr>
                    <w:tabs>
                      <w:tab w:val="left" w:pos="3330"/>
                    </w:tabs>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油炸</w:t>
                  </w:r>
                </w:p>
              </w:tc>
              <w:tc>
                <w:tcPr>
                  <w:tcW w:w="2061" w:type="pct"/>
                  <w:noWrap w:val="0"/>
                  <w:vAlign w:val="center"/>
                </w:tcPr>
                <w:p>
                  <w:pPr>
                    <w:tabs>
                      <w:tab w:val="left" w:pos="3330"/>
                    </w:tabs>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rFonts w:hint="eastAsia"/>
                      <w:color w:val="auto"/>
                      <w:szCs w:val="21"/>
                      <w:highlight w:val="none"/>
                      <w:lang w:val="en-US" w:eastAsia="zh-CN"/>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配料粉尘</w:t>
                  </w:r>
                </w:p>
              </w:tc>
              <w:tc>
                <w:tcPr>
                  <w:tcW w:w="1030" w:type="pct"/>
                  <w:noWrap w:val="0"/>
                  <w:vAlign w:val="center"/>
                </w:tcPr>
                <w:p>
                  <w:pPr>
                    <w:tabs>
                      <w:tab w:val="left" w:pos="3330"/>
                    </w:tabs>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配料</w:t>
                  </w:r>
                </w:p>
              </w:tc>
              <w:tc>
                <w:tcPr>
                  <w:tcW w:w="2061" w:type="pct"/>
                  <w:noWrap w:val="0"/>
                  <w:vAlign w:val="center"/>
                </w:tcPr>
                <w:p>
                  <w:pPr>
                    <w:tabs>
                      <w:tab w:val="left" w:pos="3330"/>
                    </w:tabs>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rFonts w:hint="eastAsia"/>
                      <w:color w:val="auto"/>
                      <w:szCs w:val="21"/>
                      <w:highlight w:val="none"/>
                      <w:lang w:val="en-US" w:eastAsia="zh-CN"/>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斩拌粉尘</w:t>
                  </w:r>
                </w:p>
              </w:tc>
              <w:tc>
                <w:tcPr>
                  <w:tcW w:w="1030" w:type="pct"/>
                  <w:noWrap w:val="0"/>
                  <w:vAlign w:val="center"/>
                </w:tcPr>
                <w:p>
                  <w:pPr>
                    <w:tabs>
                      <w:tab w:val="left" w:pos="3330"/>
                    </w:tabs>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斩拌</w:t>
                  </w:r>
                </w:p>
              </w:tc>
              <w:tc>
                <w:tcPr>
                  <w:tcW w:w="2061" w:type="pct"/>
                  <w:noWrap w:val="0"/>
                  <w:vAlign w:val="center"/>
                </w:tcPr>
                <w:p>
                  <w:pPr>
                    <w:tabs>
                      <w:tab w:val="left" w:pos="3330"/>
                    </w:tabs>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rFonts w:hint="eastAsia"/>
                      <w:color w:val="auto"/>
                      <w:szCs w:val="21"/>
                      <w:highlight w:val="none"/>
                      <w:lang w:val="en-US" w:eastAsia="zh-CN"/>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拌料粉尘</w:t>
                  </w:r>
                </w:p>
              </w:tc>
              <w:tc>
                <w:tcPr>
                  <w:tcW w:w="1030" w:type="pct"/>
                  <w:noWrap w:val="0"/>
                  <w:vAlign w:val="center"/>
                </w:tcPr>
                <w:p>
                  <w:pPr>
                    <w:tabs>
                      <w:tab w:val="left" w:pos="3330"/>
                    </w:tabs>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拌料</w:t>
                  </w:r>
                </w:p>
              </w:tc>
              <w:tc>
                <w:tcPr>
                  <w:tcW w:w="2061" w:type="pct"/>
                  <w:noWrap w:val="0"/>
                  <w:vAlign w:val="center"/>
                </w:tcPr>
                <w:p>
                  <w:pPr>
                    <w:tabs>
                      <w:tab w:val="left" w:pos="3330"/>
                    </w:tabs>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rFonts w:hint="eastAsia"/>
                      <w:color w:val="auto"/>
                      <w:szCs w:val="21"/>
                      <w:highlight w:val="none"/>
                      <w:lang w:val="en-US" w:eastAsia="zh-CN"/>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rPr>
                    <w:t>水蒸气</w:t>
                  </w:r>
                </w:p>
              </w:tc>
              <w:tc>
                <w:tcPr>
                  <w:tcW w:w="1030" w:type="pct"/>
                  <w:noWrap w:val="0"/>
                  <w:vAlign w:val="center"/>
                </w:tcPr>
                <w:p>
                  <w:pPr>
                    <w:tabs>
                      <w:tab w:val="left" w:pos="3330"/>
                    </w:tabs>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卤制、烘烤、灭菌</w:t>
                  </w:r>
                </w:p>
              </w:tc>
              <w:tc>
                <w:tcPr>
                  <w:tcW w:w="2061" w:type="pct"/>
                  <w:noWrap w:val="0"/>
                  <w:vAlign w:val="center"/>
                </w:tcPr>
                <w:p>
                  <w:pPr>
                    <w:tabs>
                      <w:tab w:val="left" w:pos="3330"/>
                    </w:tabs>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H</w:t>
                  </w:r>
                  <w:r>
                    <w:rPr>
                      <w:rFonts w:hint="eastAsia"/>
                      <w:color w:val="auto"/>
                      <w:szCs w:val="21"/>
                      <w:highlight w:val="none"/>
                      <w:vertAlign w:val="subscript"/>
                      <w:lang w:val="en-US" w:eastAsia="zh-CN"/>
                    </w:rPr>
                    <w:t>2</w:t>
                  </w:r>
                  <w:r>
                    <w:rPr>
                      <w:rFonts w:hint="eastAsia"/>
                      <w:color w:val="auto"/>
                      <w:szCs w:val="21"/>
                      <w:highlight w:val="none"/>
                      <w:lang w:val="en-US" w:eastAsia="zh-CN"/>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rFonts w:hint="eastAsia" w:eastAsia="宋体"/>
                      <w:color w:val="auto"/>
                      <w:szCs w:val="21"/>
                      <w:highlight w:val="none"/>
                      <w:lang w:val="en-US" w:eastAsia="zh-CN"/>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rFonts w:hint="default"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异味</w:t>
                  </w:r>
                </w:p>
              </w:tc>
              <w:tc>
                <w:tcPr>
                  <w:tcW w:w="1030" w:type="pct"/>
                  <w:noWrap w:val="0"/>
                  <w:vAlign w:val="center"/>
                </w:tcPr>
                <w:p>
                  <w:pPr>
                    <w:tabs>
                      <w:tab w:val="left" w:pos="3330"/>
                    </w:tabs>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卤制、烘烤</w:t>
                  </w:r>
                </w:p>
              </w:tc>
              <w:tc>
                <w:tcPr>
                  <w:tcW w:w="2061" w:type="pct"/>
                  <w:noWrap w:val="0"/>
                  <w:vAlign w:val="center"/>
                </w:tcPr>
                <w:p>
                  <w:pPr>
                    <w:tabs>
                      <w:tab w:val="left" w:pos="3330"/>
                    </w:tabs>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喷码废气</w:t>
                  </w:r>
                </w:p>
              </w:tc>
              <w:tc>
                <w:tcPr>
                  <w:tcW w:w="1030" w:type="pct"/>
                  <w:noWrap w:val="0"/>
                  <w:vAlign w:val="center"/>
                </w:tcPr>
                <w:p>
                  <w:pPr>
                    <w:tabs>
                      <w:tab w:val="left" w:pos="3330"/>
                    </w:tabs>
                    <w:adjustRightInd w:val="0"/>
                    <w:snapToGrid w:val="0"/>
                    <w:jc w:val="center"/>
                    <w:rPr>
                      <w:rFonts w:hint="default"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喷码</w:t>
                  </w:r>
                </w:p>
              </w:tc>
              <w:tc>
                <w:tcPr>
                  <w:tcW w:w="2061" w:type="pct"/>
                  <w:noWrap w:val="0"/>
                  <w:vAlign w:val="center"/>
                </w:tcPr>
                <w:p>
                  <w:pPr>
                    <w:tabs>
                      <w:tab w:val="left" w:pos="3330"/>
                    </w:tabs>
                    <w:adjustRightInd w:val="0"/>
                    <w:snapToGrid w:val="0"/>
                    <w:jc w:val="center"/>
                    <w:rPr>
                      <w:rFonts w:hint="default"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热封废气</w:t>
                  </w:r>
                </w:p>
              </w:tc>
              <w:tc>
                <w:tcPr>
                  <w:tcW w:w="1030" w:type="pct"/>
                  <w:noWrap w:val="0"/>
                  <w:vAlign w:val="center"/>
                </w:tcPr>
                <w:p>
                  <w:pPr>
                    <w:tabs>
                      <w:tab w:val="left" w:pos="3330"/>
                    </w:tabs>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热封</w:t>
                  </w:r>
                </w:p>
              </w:tc>
              <w:tc>
                <w:tcPr>
                  <w:tcW w:w="2061" w:type="pct"/>
                  <w:noWrap w:val="0"/>
                  <w:vAlign w:val="center"/>
                </w:tcPr>
                <w:p>
                  <w:pPr>
                    <w:tabs>
                      <w:tab w:val="left" w:pos="3330"/>
                    </w:tabs>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酒精擦拭废气</w:t>
                  </w:r>
                </w:p>
              </w:tc>
              <w:tc>
                <w:tcPr>
                  <w:tcW w:w="1030" w:type="pct"/>
                  <w:noWrap w:val="0"/>
                  <w:vAlign w:val="center"/>
                </w:tcPr>
                <w:p>
                  <w:pPr>
                    <w:tabs>
                      <w:tab w:val="left" w:pos="3330"/>
                    </w:tabs>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酒精擦拭消毒</w:t>
                  </w:r>
                </w:p>
              </w:tc>
              <w:tc>
                <w:tcPr>
                  <w:tcW w:w="2061" w:type="pct"/>
                  <w:noWrap w:val="0"/>
                  <w:vAlign w:val="center"/>
                </w:tcPr>
                <w:p>
                  <w:pPr>
                    <w:tabs>
                      <w:tab w:val="left" w:pos="3330"/>
                    </w:tabs>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臭氧消毒废气</w:t>
                  </w:r>
                </w:p>
              </w:tc>
              <w:tc>
                <w:tcPr>
                  <w:tcW w:w="1030" w:type="pct"/>
                  <w:noWrap w:val="0"/>
                  <w:vAlign w:val="center"/>
                </w:tcPr>
                <w:p>
                  <w:pPr>
                    <w:tabs>
                      <w:tab w:val="left" w:pos="3330"/>
                    </w:tabs>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包装车间消毒</w:t>
                  </w:r>
                </w:p>
              </w:tc>
              <w:tc>
                <w:tcPr>
                  <w:tcW w:w="2061" w:type="pct"/>
                  <w:noWrap w:val="0"/>
                  <w:vAlign w:val="center"/>
                </w:tcPr>
                <w:p>
                  <w:pPr>
                    <w:tabs>
                      <w:tab w:val="left" w:pos="3330"/>
                    </w:tabs>
                    <w:adjustRightInd w:val="0"/>
                    <w:snapToGrid w:val="0"/>
                    <w:jc w:val="center"/>
                    <w:rPr>
                      <w:rFonts w:hint="default" w:eastAsia="宋体"/>
                      <w:color w:val="auto"/>
                      <w:szCs w:val="21"/>
                      <w:highlight w:val="none"/>
                      <w:vertAlign w:val="subscript"/>
                      <w:lang w:val="en-US" w:eastAsia="zh-CN"/>
                    </w:rPr>
                  </w:pPr>
                  <w:r>
                    <w:rPr>
                      <w:rFonts w:hint="eastAsia"/>
                      <w:color w:val="auto"/>
                      <w:szCs w:val="21"/>
                      <w:highlight w:val="none"/>
                      <w:lang w:val="en-US" w:eastAsia="zh-CN"/>
                    </w:rPr>
                    <w:t>O</w:t>
                  </w:r>
                  <w:r>
                    <w:rPr>
                      <w:rFonts w:hint="eastAsia"/>
                      <w:color w:val="auto"/>
                      <w:szCs w:val="21"/>
                      <w:highlight w:val="none"/>
                      <w:vertAlign w:val="sub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污水处理站恶臭</w:t>
                  </w:r>
                </w:p>
              </w:tc>
              <w:tc>
                <w:tcPr>
                  <w:tcW w:w="1030" w:type="pct"/>
                  <w:noWrap w:val="0"/>
                  <w:vAlign w:val="center"/>
                </w:tcPr>
                <w:p>
                  <w:pPr>
                    <w:tabs>
                      <w:tab w:val="left" w:pos="3330"/>
                    </w:tabs>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污水处理</w:t>
                  </w:r>
                </w:p>
              </w:tc>
              <w:tc>
                <w:tcPr>
                  <w:tcW w:w="2061" w:type="pct"/>
                  <w:noWrap w:val="0"/>
                  <w:vAlign w:val="center"/>
                </w:tcPr>
                <w:p>
                  <w:pPr>
                    <w:tabs>
                      <w:tab w:val="left" w:pos="3330"/>
                    </w:tabs>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NH</w:t>
                  </w:r>
                  <w:r>
                    <w:rPr>
                      <w:rFonts w:hint="eastAsia"/>
                      <w:color w:val="auto"/>
                      <w:szCs w:val="21"/>
                      <w:highlight w:val="none"/>
                      <w:vertAlign w:val="subscript"/>
                      <w:lang w:val="en-US" w:eastAsia="zh-CN"/>
                    </w:rPr>
                    <w:t>3</w:t>
                  </w:r>
                  <w:r>
                    <w:rPr>
                      <w:rFonts w:hint="eastAsia"/>
                      <w:color w:val="auto"/>
                      <w:szCs w:val="21"/>
                      <w:highlight w:val="none"/>
                      <w:lang w:val="en-US" w:eastAsia="zh-CN"/>
                    </w:rPr>
                    <w:t>、H</w:t>
                  </w:r>
                  <w:r>
                    <w:rPr>
                      <w:rFonts w:hint="eastAsia"/>
                      <w:color w:val="auto"/>
                      <w:szCs w:val="21"/>
                      <w:highlight w:val="none"/>
                      <w:vertAlign w:val="subscript"/>
                      <w:lang w:val="en-US" w:eastAsia="zh-CN"/>
                    </w:rPr>
                    <w:t>2</w:t>
                  </w:r>
                  <w:r>
                    <w:rPr>
                      <w:rFonts w:hint="eastAsia"/>
                      <w:color w:val="auto"/>
                      <w:szCs w:val="21"/>
                      <w:highlight w:val="none"/>
                      <w:lang w:val="en-US" w:eastAsia="zh-CN"/>
                    </w:rPr>
                    <w:t>S、臭气浓度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食堂油烟</w:t>
                  </w:r>
                </w:p>
              </w:tc>
              <w:tc>
                <w:tcPr>
                  <w:tcW w:w="1030" w:type="pct"/>
                  <w:noWrap w:val="0"/>
                  <w:vAlign w:val="center"/>
                </w:tcPr>
                <w:p>
                  <w:pPr>
                    <w:tabs>
                      <w:tab w:val="left" w:pos="3330"/>
                    </w:tabs>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食堂</w:t>
                  </w:r>
                </w:p>
              </w:tc>
              <w:tc>
                <w:tcPr>
                  <w:tcW w:w="2061" w:type="pct"/>
                  <w:noWrap w:val="0"/>
                  <w:vAlign w:val="center"/>
                </w:tcPr>
                <w:p>
                  <w:pPr>
                    <w:tabs>
                      <w:tab w:val="left" w:pos="3330"/>
                    </w:tabs>
                    <w:adjustRightInd w:val="0"/>
                    <w:snapToGrid w:val="0"/>
                    <w:jc w:val="center"/>
                    <w:rPr>
                      <w:rFonts w:hint="eastAsia" w:ascii="Times New Roman" w:hAnsi="Times New Roman" w:eastAsia="宋体"/>
                      <w:color w:val="auto"/>
                      <w:kern w:val="2"/>
                      <w:sz w:val="21"/>
                      <w:szCs w:val="21"/>
                      <w:highlight w:val="none"/>
                      <w:lang w:val="en-US" w:eastAsia="zh-CN" w:bidi="ar-SA"/>
                    </w:rPr>
                  </w:pPr>
                  <w:r>
                    <w:rPr>
                      <w:color w:val="auto"/>
                      <w:szCs w:val="21"/>
                      <w:highlight w:val="none"/>
                    </w:rPr>
                    <w:t>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化验室废气</w:t>
                  </w:r>
                </w:p>
              </w:tc>
              <w:tc>
                <w:tcPr>
                  <w:tcW w:w="1030" w:type="pct"/>
                  <w:noWrap w:val="0"/>
                  <w:vAlign w:val="center"/>
                </w:tcPr>
                <w:p>
                  <w:pPr>
                    <w:tabs>
                      <w:tab w:val="left" w:pos="3330"/>
                    </w:tabs>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化验</w:t>
                  </w:r>
                </w:p>
              </w:tc>
              <w:tc>
                <w:tcPr>
                  <w:tcW w:w="2061" w:type="pct"/>
                  <w:noWrap w:val="0"/>
                  <w:vAlign w:val="center"/>
                </w:tcPr>
                <w:p>
                  <w:pPr>
                    <w:tabs>
                      <w:tab w:val="left" w:pos="3330"/>
                    </w:tabs>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挥发性酸等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restart"/>
                  <w:noWrap w:val="0"/>
                  <w:vAlign w:val="center"/>
                </w:tcPr>
                <w:p>
                  <w:pPr>
                    <w:tabs>
                      <w:tab w:val="left" w:pos="3330"/>
                    </w:tabs>
                    <w:adjustRightInd w:val="0"/>
                    <w:snapToGrid w:val="0"/>
                    <w:jc w:val="center"/>
                    <w:rPr>
                      <w:color w:val="auto"/>
                      <w:szCs w:val="21"/>
                      <w:highlight w:val="none"/>
                    </w:rPr>
                  </w:pPr>
                  <w:r>
                    <w:rPr>
                      <w:color w:val="auto"/>
                      <w:szCs w:val="21"/>
                      <w:highlight w:val="none"/>
                    </w:rPr>
                    <w:t>废水</w:t>
                  </w:r>
                </w:p>
              </w:tc>
              <w:tc>
                <w:tcPr>
                  <w:tcW w:w="1281" w:type="pct"/>
                  <w:noWrap w:val="0"/>
                  <w:vAlign w:val="center"/>
                </w:tcPr>
                <w:p>
                  <w:pPr>
                    <w:tabs>
                      <w:tab w:val="left" w:pos="3330"/>
                    </w:tabs>
                    <w:adjustRightInd w:val="0"/>
                    <w:snapToGrid w:val="0"/>
                    <w:jc w:val="center"/>
                    <w:rPr>
                      <w:color w:val="auto"/>
                      <w:szCs w:val="21"/>
                      <w:highlight w:val="none"/>
                    </w:rPr>
                  </w:pPr>
                  <w:r>
                    <w:rPr>
                      <w:color w:val="auto"/>
                      <w:szCs w:val="21"/>
                      <w:highlight w:val="none"/>
                    </w:rPr>
                    <w:t>生活污水</w:t>
                  </w:r>
                </w:p>
              </w:tc>
              <w:tc>
                <w:tcPr>
                  <w:tcW w:w="1030" w:type="pct"/>
                  <w:noWrap w:val="0"/>
                  <w:vAlign w:val="center"/>
                </w:tcPr>
                <w:p>
                  <w:pPr>
                    <w:tabs>
                      <w:tab w:val="left" w:pos="3330"/>
                    </w:tabs>
                    <w:adjustRightInd w:val="0"/>
                    <w:snapToGrid w:val="0"/>
                    <w:jc w:val="center"/>
                    <w:rPr>
                      <w:color w:val="auto"/>
                      <w:szCs w:val="21"/>
                      <w:highlight w:val="none"/>
                    </w:rPr>
                  </w:pPr>
                  <w:r>
                    <w:rPr>
                      <w:color w:val="auto"/>
                      <w:szCs w:val="21"/>
                      <w:highlight w:val="none"/>
                    </w:rPr>
                    <w:t>办公生活</w:t>
                  </w:r>
                </w:p>
              </w:tc>
              <w:tc>
                <w:tcPr>
                  <w:tcW w:w="2061" w:type="pct"/>
                  <w:noWrap w:val="0"/>
                  <w:vAlign w:val="center"/>
                </w:tcPr>
                <w:p>
                  <w:pPr>
                    <w:tabs>
                      <w:tab w:val="left" w:pos="3330"/>
                    </w:tabs>
                    <w:adjustRightInd w:val="0"/>
                    <w:snapToGrid w:val="0"/>
                    <w:jc w:val="center"/>
                    <w:rPr>
                      <w:color w:val="auto"/>
                      <w:szCs w:val="21"/>
                      <w:highlight w:val="none"/>
                    </w:rPr>
                  </w:pPr>
                  <w:r>
                    <w:rPr>
                      <w:color w:val="auto"/>
                      <w:szCs w:val="21"/>
                      <w:highlight w:val="none"/>
                    </w:rPr>
                    <w:t>COD、NH</w:t>
                  </w:r>
                  <w:r>
                    <w:rPr>
                      <w:color w:val="auto"/>
                      <w:kern w:val="0"/>
                      <w:szCs w:val="21"/>
                      <w:highlight w:val="none"/>
                      <w:vertAlign w:val="subscript"/>
                      <w:lang w:bidi="ar"/>
                    </w:rPr>
                    <w:t>3</w:t>
                  </w:r>
                  <w:r>
                    <w:rPr>
                      <w:color w:val="auto"/>
                      <w:szCs w:val="21"/>
                      <w:highlight w:val="none"/>
                    </w:rPr>
                    <w:t>-N、BOD</w:t>
                  </w:r>
                  <w:r>
                    <w:rPr>
                      <w:color w:val="auto"/>
                      <w:kern w:val="0"/>
                      <w:szCs w:val="21"/>
                      <w:highlight w:val="none"/>
                      <w:vertAlign w:val="subscript"/>
                      <w:lang w:bidi="ar"/>
                    </w:rPr>
                    <w:t>5</w:t>
                  </w:r>
                  <w:r>
                    <w:rPr>
                      <w:color w:val="auto"/>
                      <w:szCs w:val="21"/>
                      <w:highlight w:val="none"/>
                    </w:rPr>
                    <w:t>、SS、TP等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食堂废水</w:t>
                  </w:r>
                </w:p>
              </w:tc>
              <w:tc>
                <w:tcPr>
                  <w:tcW w:w="1030" w:type="pct"/>
                  <w:noWrap w:val="0"/>
                  <w:vAlign w:val="center"/>
                </w:tcPr>
                <w:p>
                  <w:pPr>
                    <w:tabs>
                      <w:tab w:val="left" w:pos="3330"/>
                    </w:tabs>
                    <w:adjustRightInd w:val="0"/>
                    <w:snapToGrid w:val="0"/>
                    <w:jc w:val="center"/>
                    <w:rPr>
                      <w:color w:val="auto"/>
                      <w:szCs w:val="21"/>
                      <w:highlight w:val="none"/>
                    </w:rPr>
                  </w:pPr>
                  <w:r>
                    <w:rPr>
                      <w:color w:val="auto"/>
                      <w:szCs w:val="21"/>
                      <w:highlight w:val="none"/>
                    </w:rPr>
                    <w:t>食堂</w:t>
                  </w:r>
                </w:p>
              </w:tc>
              <w:tc>
                <w:tcPr>
                  <w:tcW w:w="2061" w:type="pct"/>
                  <w:noWrap w:val="0"/>
                  <w:vAlign w:val="center"/>
                </w:tcPr>
                <w:p>
                  <w:pPr>
                    <w:tabs>
                      <w:tab w:val="left" w:pos="3330"/>
                    </w:tabs>
                    <w:adjustRightInd w:val="0"/>
                    <w:snapToGrid w:val="0"/>
                    <w:jc w:val="center"/>
                    <w:rPr>
                      <w:color w:val="auto"/>
                      <w:szCs w:val="21"/>
                      <w:highlight w:val="none"/>
                    </w:rPr>
                  </w:pPr>
                  <w:r>
                    <w:rPr>
                      <w:color w:val="auto"/>
                      <w:szCs w:val="21"/>
                      <w:highlight w:val="none"/>
                    </w:rPr>
                    <w:t>COD、NH</w:t>
                  </w:r>
                  <w:r>
                    <w:rPr>
                      <w:color w:val="auto"/>
                      <w:kern w:val="0"/>
                      <w:szCs w:val="21"/>
                      <w:highlight w:val="none"/>
                      <w:vertAlign w:val="subscript"/>
                      <w:lang w:bidi="ar"/>
                    </w:rPr>
                    <w:t>3</w:t>
                  </w:r>
                  <w:r>
                    <w:rPr>
                      <w:color w:val="auto"/>
                      <w:szCs w:val="21"/>
                      <w:highlight w:val="none"/>
                    </w:rPr>
                    <w:t>-N、BOD</w:t>
                  </w:r>
                  <w:r>
                    <w:rPr>
                      <w:color w:val="auto"/>
                      <w:kern w:val="0"/>
                      <w:szCs w:val="21"/>
                      <w:highlight w:val="none"/>
                      <w:vertAlign w:val="subscript"/>
                      <w:lang w:bidi="ar"/>
                    </w:rPr>
                    <w:t>5</w:t>
                  </w:r>
                  <w:r>
                    <w:rPr>
                      <w:color w:val="auto"/>
                      <w:szCs w:val="21"/>
                      <w:highlight w:val="none"/>
                    </w:rPr>
                    <w:t>、SS、TP、动植物油等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color w:val="auto"/>
                      <w:szCs w:val="21"/>
                      <w:highlight w:val="none"/>
                    </w:rPr>
                  </w:pPr>
                  <w:r>
                    <w:rPr>
                      <w:rFonts w:hint="eastAsia"/>
                      <w:color w:val="auto"/>
                      <w:szCs w:val="21"/>
                      <w:highlight w:val="none"/>
                      <w:lang w:val="en-US" w:eastAsia="zh-CN"/>
                    </w:rPr>
                    <w:t>浸泡废水</w:t>
                  </w:r>
                </w:p>
              </w:tc>
              <w:tc>
                <w:tcPr>
                  <w:tcW w:w="1030" w:type="pct"/>
                  <w:noWrap w:val="0"/>
                  <w:vAlign w:val="center"/>
                </w:tcPr>
                <w:p>
                  <w:pPr>
                    <w:tabs>
                      <w:tab w:val="left" w:pos="3330"/>
                    </w:tabs>
                    <w:adjustRightInd w:val="0"/>
                    <w:snapToGrid w:val="0"/>
                    <w:jc w:val="center"/>
                    <w:rPr>
                      <w:color w:val="auto"/>
                      <w:szCs w:val="21"/>
                      <w:highlight w:val="none"/>
                    </w:rPr>
                  </w:pPr>
                  <w:r>
                    <w:rPr>
                      <w:rFonts w:hint="eastAsia"/>
                      <w:color w:val="auto"/>
                      <w:szCs w:val="21"/>
                      <w:highlight w:val="none"/>
                      <w:lang w:val="en-US" w:eastAsia="zh-CN"/>
                    </w:rPr>
                    <w:t>浸泡</w:t>
                  </w:r>
                </w:p>
              </w:tc>
              <w:tc>
                <w:tcPr>
                  <w:tcW w:w="2061" w:type="pct"/>
                  <w:noWrap w:val="0"/>
                  <w:vAlign w:val="center"/>
                </w:tcPr>
                <w:p>
                  <w:pPr>
                    <w:tabs>
                      <w:tab w:val="left" w:pos="3330"/>
                    </w:tabs>
                    <w:adjustRightInd w:val="0"/>
                    <w:snapToGrid w:val="0"/>
                    <w:jc w:val="center"/>
                    <w:rPr>
                      <w:color w:val="auto"/>
                      <w:szCs w:val="21"/>
                      <w:highlight w:val="none"/>
                    </w:rPr>
                  </w:pPr>
                  <w:r>
                    <w:rPr>
                      <w:rFonts w:hint="eastAsia"/>
                      <w:color w:val="auto"/>
                      <w:szCs w:val="21"/>
                      <w:highlight w:val="none"/>
                      <w:lang w:val="en-US" w:eastAsia="zh-CN"/>
                    </w:rPr>
                    <w:t>SS</w:t>
                  </w:r>
                  <w:r>
                    <w:rPr>
                      <w:color w:val="auto"/>
                      <w:szCs w:val="21"/>
                      <w:highlight w:val="none"/>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color w:val="auto"/>
                      <w:szCs w:val="21"/>
                      <w:highlight w:val="none"/>
                    </w:rPr>
                  </w:pPr>
                  <w:r>
                    <w:rPr>
                      <w:rFonts w:hint="eastAsia"/>
                      <w:color w:val="auto"/>
                      <w:szCs w:val="21"/>
                      <w:highlight w:val="none"/>
                      <w:lang w:val="en-US" w:eastAsia="zh-CN"/>
                    </w:rPr>
                    <w:t>卤制废水</w:t>
                  </w:r>
                </w:p>
              </w:tc>
              <w:tc>
                <w:tcPr>
                  <w:tcW w:w="1030" w:type="pct"/>
                  <w:noWrap w:val="0"/>
                  <w:vAlign w:val="center"/>
                </w:tcPr>
                <w:p>
                  <w:pPr>
                    <w:tabs>
                      <w:tab w:val="left" w:pos="3330"/>
                    </w:tabs>
                    <w:adjustRightInd w:val="0"/>
                    <w:snapToGrid w:val="0"/>
                    <w:jc w:val="center"/>
                    <w:rPr>
                      <w:color w:val="auto"/>
                      <w:szCs w:val="21"/>
                      <w:highlight w:val="none"/>
                    </w:rPr>
                  </w:pPr>
                  <w:r>
                    <w:rPr>
                      <w:rFonts w:hint="eastAsia"/>
                      <w:color w:val="auto"/>
                      <w:szCs w:val="21"/>
                      <w:highlight w:val="none"/>
                      <w:lang w:val="en-US" w:eastAsia="zh-CN"/>
                    </w:rPr>
                    <w:t>卤制</w:t>
                  </w:r>
                </w:p>
              </w:tc>
              <w:tc>
                <w:tcPr>
                  <w:tcW w:w="2061" w:type="pct"/>
                  <w:noWrap w:val="0"/>
                  <w:vAlign w:val="center"/>
                </w:tcPr>
                <w:p>
                  <w:pPr>
                    <w:tabs>
                      <w:tab w:val="left" w:pos="3330"/>
                    </w:tabs>
                    <w:adjustRightInd w:val="0"/>
                    <w:snapToGrid w:val="0"/>
                    <w:jc w:val="center"/>
                    <w:rPr>
                      <w:rFonts w:ascii="Times New Roman" w:hAnsi="Times New Roman" w:eastAsia="宋体"/>
                      <w:color w:val="auto"/>
                      <w:kern w:val="2"/>
                      <w:sz w:val="21"/>
                      <w:szCs w:val="21"/>
                      <w:highlight w:val="none"/>
                      <w:lang w:val="en-US" w:eastAsia="zh-CN" w:bidi="ar-SA"/>
                    </w:rPr>
                  </w:pPr>
                  <w:r>
                    <w:rPr>
                      <w:color w:val="auto"/>
                      <w:szCs w:val="21"/>
                      <w:highlight w:val="none"/>
                    </w:rPr>
                    <w:t>COD、NH</w:t>
                  </w:r>
                  <w:r>
                    <w:rPr>
                      <w:color w:val="auto"/>
                      <w:kern w:val="0"/>
                      <w:szCs w:val="21"/>
                      <w:highlight w:val="none"/>
                      <w:vertAlign w:val="subscript"/>
                      <w:lang w:bidi="ar"/>
                    </w:rPr>
                    <w:t>3</w:t>
                  </w:r>
                  <w:r>
                    <w:rPr>
                      <w:color w:val="auto"/>
                      <w:szCs w:val="21"/>
                      <w:highlight w:val="none"/>
                    </w:rPr>
                    <w:t>-N、BOD</w:t>
                  </w:r>
                  <w:r>
                    <w:rPr>
                      <w:color w:val="auto"/>
                      <w:kern w:val="0"/>
                      <w:szCs w:val="21"/>
                      <w:highlight w:val="none"/>
                      <w:vertAlign w:val="subscript"/>
                      <w:lang w:bidi="ar"/>
                    </w:rPr>
                    <w:t>5</w:t>
                  </w:r>
                  <w:r>
                    <w:rPr>
                      <w:color w:val="auto"/>
                      <w:szCs w:val="21"/>
                      <w:highlight w:val="none"/>
                    </w:rPr>
                    <w:t>、SS、TP等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color w:val="auto"/>
                      <w:szCs w:val="21"/>
                      <w:highlight w:val="none"/>
                    </w:rPr>
                  </w:pPr>
                  <w:r>
                    <w:rPr>
                      <w:rFonts w:hint="eastAsia"/>
                      <w:color w:val="auto"/>
                      <w:szCs w:val="21"/>
                      <w:highlight w:val="none"/>
                      <w:lang w:val="en-US" w:eastAsia="zh-CN"/>
                    </w:rPr>
                    <w:t>产品</w:t>
                  </w:r>
                  <w:r>
                    <w:rPr>
                      <w:color w:val="auto"/>
                      <w:szCs w:val="21"/>
                      <w:highlight w:val="none"/>
                    </w:rPr>
                    <w:t>清洗废水</w:t>
                  </w:r>
                </w:p>
              </w:tc>
              <w:tc>
                <w:tcPr>
                  <w:tcW w:w="1030" w:type="pct"/>
                  <w:noWrap w:val="0"/>
                  <w:vAlign w:val="center"/>
                </w:tcPr>
                <w:p>
                  <w:pPr>
                    <w:tabs>
                      <w:tab w:val="left" w:pos="3330"/>
                    </w:tabs>
                    <w:adjustRightInd w:val="0"/>
                    <w:snapToGrid w:val="0"/>
                    <w:jc w:val="center"/>
                    <w:rPr>
                      <w:color w:val="auto"/>
                      <w:szCs w:val="21"/>
                      <w:highlight w:val="none"/>
                    </w:rPr>
                  </w:pPr>
                  <w:r>
                    <w:rPr>
                      <w:color w:val="auto"/>
                      <w:szCs w:val="21"/>
                      <w:highlight w:val="none"/>
                    </w:rPr>
                    <w:t>产品清洗</w:t>
                  </w:r>
                </w:p>
              </w:tc>
              <w:tc>
                <w:tcPr>
                  <w:tcW w:w="2061" w:type="pct"/>
                  <w:noWrap w:val="0"/>
                  <w:vAlign w:val="center"/>
                </w:tcPr>
                <w:p>
                  <w:pPr>
                    <w:tabs>
                      <w:tab w:val="left" w:pos="3330"/>
                    </w:tabs>
                    <w:adjustRightInd w:val="0"/>
                    <w:snapToGrid w:val="0"/>
                    <w:jc w:val="center"/>
                    <w:rPr>
                      <w:rFonts w:ascii="Times New Roman" w:hAnsi="Times New Roman" w:eastAsia="宋体"/>
                      <w:color w:val="auto"/>
                      <w:kern w:val="2"/>
                      <w:sz w:val="21"/>
                      <w:szCs w:val="21"/>
                      <w:highlight w:val="none"/>
                      <w:lang w:val="en-US" w:eastAsia="zh-CN" w:bidi="ar-SA"/>
                    </w:rPr>
                  </w:pPr>
                  <w:r>
                    <w:rPr>
                      <w:color w:val="auto"/>
                      <w:szCs w:val="21"/>
                      <w:highlight w:val="none"/>
                    </w:rPr>
                    <w:t>COD、NH</w:t>
                  </w:r>
                  <w:r>
                    <w:rPr>
                      <w:color w:val="auto"/>
                      <w:kern w:val="0"/>
                      <w:szCs w:val="21"/>
                      <w:highlight w:val="none"/>
                      <w:vertAlign w:val="subscript"/>
                      <w:lang w:bidi="ar"/>
                    </w:rPr>
                    <w:t>3</w:t>
                  </w:r>
                  <w:r>
                    <w:rPr>
                      <w:color w:val="auto"/>
                      <w:szCs w:val="21"/>
                      <w:highlight w:val="none"/>
                    </w:rPr>
                    <w:t>-N、BOD</w:t>
                  </w:r>
                  <w:r>
                    <w:rPr>
                      <w:color w:val="auto"/>
                      <w:kern w:val="0"/>
                      <w:szCs w:val="21"/>
                      <w:highlight w:val="none"/>
                      <w:vertAlign w:val="subscript"/>
                      <w:lang w:bidi="ar"/>
                    </w:rPr>
                    <w:t>5</w:t>
                  </w:r>
                  <w:r>
                    <w:rPr>
                      <w:color w:val="auto"/>
                      <w:szCs w:val="21"/>
                      <w:highlight w:val="none"/>
                    </w:rPr>
                    <w:t>、SS、TP</w:t>
                  </w:r>
                  <w:r>
                    <w:rPr>
                      <w:rFonts w:hint="eastAsia"/>
                      <w:color w:val="auto"/>
                      <w:szCs w:val="21"/>
                      <w:highlight w:val="none"/>
                      <w:lang w:eastAsia="zh-CN"/>
                    </w:rPr>
                    <w:t>、</w:t>
                  </w:r>
                  <w:r>
                    <w:rPr>
                      <w:rFonts w:hint="eastAsia" w:ascii="Times New Roman" w:hAnsi="Times New Roman"/>
                      <w:color w:val="auto"/>
                      <w:sz w:val="21"/>
                      <w:szCs w:val="21"/>
                      <w:highlight w:val="none"/>
                      <w:lang w:val="en-US" w:eastAsia="zh-CN"/>
                    </w:rPr>
                    <w:t>阴离子表面活性剂（LAS）</w:t>
                  </w:r>
                  <w:r>
                    <w:rPr>
                      <w:color w:val="auto"/>
                      <w:szCs w:val="21"/>
                      <w:highlight w:val="none"/>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灭菌废水</w:t>
                  </w:r>
                </w:p>
              </w:tc>
              <w:tc>
                <w:tcPr>
                  <w:tcW w:w="1030" w:type="pct"/>
                  <w:noWrap w:val="0"/>
                  <w:vAlign w:val="center"/>
                </w:tcPr>
                <w:p>
                  <w:pPr>
                    <w:tabs>
                      <w:tab w:val="left" w:pos="3330"/>
                    </w:tabs>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灭菌</w:t>
                  </w:r>
                </w:p>
              </w:tc>
              <w:tc>
                <w:tcPr>
                  <w:tcW w:w="2061" w:type="pct"/>
                  <w:noWrap w:val="0"/>
                  <w:vAlign w:val="center"/>
                </w:tcPr>
                <w:p>
                  <w:pPr>
                    <w:widowControl/>
                    <w:adjustRightInd w:val="0"/>
                    <w:snapToGrid w:val="0"/>
                    <w:jc w:val="center"/>
                    <w:rPr>
                      <w:color w:val="auto"/>
                      <w:szCs w:val="21"/>
                      <w:highlight w:val="none"/>
                    </w:rPr>
                  </w:pPr>
                  <w:r>
                    <w:rPr>
                      <w:color w:val="auto"/>
                      <w:szCs w:val="21"/>
                      <w:highlight w:val="none"/>
                    </w:rPr>
                    <w:t>COD、NH</w:t>
                  </w:r>
                  <w:r>
                    <w:rPr>
                      <w:color w:val="auto"/>
                      <w:kern w:val="0"/>
                      <w:szCs w:val="21"/>
                      <w:highlight w:val="none"/>
                      <w:vertAlign w:val="subscript"/>
                      <w:lang w:bidi="ar"/>
                    </w:rPr>
                    <w:t>3</w:t>
                  </w:r>
                  <w:r>
                    <w:rPr>
                      <w:color w:val="auto"/>
                      <w:szCs w:val="21"/>
                      <w:highlight w:val="none"/>
                    </w:rPr>
                    <w:t>-N、BOD</w:t>
                  </w:r>
                  <w:r>
                    <w:rPr>
                      <w:color w:val="auto"/>
                      <w:kern w:val="0"/>
                      <w:szCs w:val="21"/>
                      <w:highlight w:val="none"/>
                      <w:vertAlign w:val="subscript"/>
                      <w:lang w:bidi="ar"/>
                    </w:rPr>
                    <w:t>5</w:t>
                  </w:r>
                  <w:r>
                    <w:rPr>
                      <w:color w:val="auto"/>
                      <w:szCs w:val="21"/>
                      <w:highlight w:val="none"/>
                    </w:rPr>
                    <w:t>、SS、TP等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斩拌废水</w:t>
                  </w:r>
                </w:p>
              </w:tc>
              <w:tc>
                <w:tcPr>
                  <w:tcW w:w="1030" w:type="pct"/>
                  <w:noWrap w:val="0"/>
                  <w:vAlign w:val="center"/>
                </w:tcPr>
                <w:p>
                  <w:pPr>
                    <w:tabs>
                      <w:tab w:val="left" w:pos="3330"/>
                    </w:tabs>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斩拌</w:t>
                  </w:r>
                </w:p>
              </w:tc>
              <w:tc>
                <w:tcPr>
                  <w:tcW w:w="2061" w:type="pct"/>
                  <w:noWrap w:val="0"/>
                  <w:vAlign w:val="center"/>
                </w:tcPr>
                <w:p>
                  <w:pPr>
                    <w:widowControl/>
                    <w:adjustRightInd w:val="0"/>
                    <w:snapToGrid w:val="0"/>
                    <w:jc w:val="center"/>
                    <w:rPr>
                      <w:rFonts w:hint="eastAsia"/>
                      <w:color w:val="auto"/>
                      <w:szCs w:val="21"/>
                      <w:highlight w:val="none"/>
                      <w:lang w:val="en-US" w:eastAsia="zh-CN"/>
                    </w:rPr>
                  </w:pPr>
                  <w:r>
                    <w:rPr>
                      <w:color w:val="auto"/>
                      <w:szCs w:val="21"/>
                      <w:highlight w:val="none"/>
                    </w:rPr>
                    <w:t>COD、NH</w:t>
                  </w:r>
                  <w:r>
                    <w:rPr>
                      <w:color w:val="auto"/>
                      <w:kern w:val="0"/>
                      <w:szCs w:val="21"/>
                      <w:highlight w:val="none"/>
                      <w:vertAlign w:val="subscript"/>
                      <w:lang w:bidi="ar"/>
                    </w:rPr>
                    <w:t>3</w:t>
                  </w:r>
                  <w:r>
                    <w:rPr>
                      <w:color w:val="auto"/>
                      <w:szCs w:val="21"/>
                      <w:highlight w:val="none"/>
                    </w:rPr>
                    <w:t>-N、BOD</w:t>
                  </w:r>
                  <w:r>
                    <w:rPr>
                      <w:color w:val="auto"/>
                      <w:kern w:val="0"/>
                      <w:szCs w:val="21"/>
                      <w:highlight w:val="none"/>
                      <w:vertAlign w:val="subscript"/>
                      <w:lang w:bidi="ar"/>
                    </w:rPr>
                    <w:t>5</w:t>
                  </w:r>
                  <w:r>
                    <w:rPr>
                      <w:color w:val="auto"/>
                      <w:szCs w:val="21"/>
                      <w:highlight w:val="none"/>
                    </w:rPr>
                    <w:t>、SS、TP、动植物油等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软化处理废水</w:t>
                  </w:r>
                </w:p>
              </w:tc>
              <w:tc>
                <w:tcPr>
                  <w:tcW w:w="1030" w:type="pct"/>
                  <w:noWrap w:val="0"/>
                  <w:vAlign w:val="center"/>
                </w:tcPr>
                <w:p>
                  <w:pPr>
                    <w:tabs>
                      <w:tab w:val="left" w:pos="3330"/>
                    </w:tabs>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软水制备</w:t>
                  </w:r>
                </w:p>
              </w:tc>
              <w:tc>
                <w:tcPr>
                  <w:tcW w:w="2061" w:type="pct"/>
                  <w:noWrap w:val="0"/>
                  <w:vAlign w:val="center"/>
                </w:tcPr>
                <w:p>
                  <w:pPr>
                    <w:widowControl/>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SS</w:t>
                  </w:r>
                  <w:r>
                    <w:rPr>
                      <w:color w:val="auto"/>
                      <w:szCs w:val="21"/>
                      <w:highlight w:val="none"/>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锅炉排污水</w:t>
                  </w:r>
                </w:p>
              </w:tc>
              <w:tc>
                <w:tcPr>
                  <w:tcW w:w="1030" w:type="pct"/>
                  <w:noWrap w:val="0"/>
                  <w:vAlign w:val="center"/>
                </w:tcPr>
                <w:p>
                  <w:pPr>
                    <w:tabs>
                      <w:tab w:val="left" w:pos="3330"/>
                    </w:tabs>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锅炉运行</w:t>
                  </w:r>
                </w:p>
              </w:tc>
              <w:tc>
                <w:tcPr>
                  <w:tcW w:w="2061" w:type="pct"/>
                  <w:noWrap w:val="0"/>
                  <w:vAlign w:val="center"/>
                </w:tcPr>
                <w:p>
                  <w:pPr>
                    <w:widowControl/>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SS</w:t>
                  </w:r>
                  <w:r>
                    <w:rPr>
                      <w:color w:val="auto"/>
                      <w:szCs w:val="21"/>
                      <w:highlight w:val="none"/>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设备清洗废水</w:t>
                  </w:r>
                </w:p>
              </w:tc>
              <w:tc>
                <w:tcPr>
                  <w:tcW w:w="1030" w:type="pct"/>
                  <w:noWrap w:val="0"/>
                  <w:vAlign w:val="center"/>
                </w:tcPr>
                <w:p>
                  <w:pPr>
                    <w:tabs>
                      <w:tab w:val="left" w:pos="3330"/>
                    </w:tabs>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设备清洗</w:t>
                  </w:r>
                </w:p>
              </w:tc>
              <w:tc>
                <w:tcPr>
                  <w:tcW w:w="2061" w:type="pct"/>
                  <w:noWrap w:val="0"/>
                  <w:vAlign w:val="center"/>
                </w:tcPr>
                <w:p>
                  <w:pPr>
                    <w:tabs>
                      <w:tab w:val="left" w:pos="3330"/>
                    </w:tabs>
                    <w:adjustRightInd w:val="0"/>
                    <w:snapToGrid w:val="0"/>
                    <w:jc w:val="center"/>
                    <w:rPr>
                      <w:rFonts w:ascii="Times New Roman" w:hAnsi="Times New Roman" w:eastAsia="宋体"/>
                      <w:color w:val="auto"/>
                      <w:kern w:val="2"/>
                      <w:sz w:val="21"/>
                      <w:szCs w:val="21"/>
                      <w:highlight w:val="none"/>
                      <w:lang w:val="en-US" w:eastAsia="zh-CN" w:bidi="ar-SA"/>
                    </w:rPr>
                  </w:pPr>
                  <w:r>
                    <w:rPr>
                      <w:color w:val="auto"/>
                      <w:szCs w:val="21"/>
                      <w:highlight w:val="none"/>
                    </w:rPr>
                    <w:t>COD、NH</w:t>
                  </w:r>
                  <w:r>
                    <w:rPr>
                      <w:color w:val="auto"/>
                      <w:kern w:val="0"/>
                      <w:szCs w:val="21"/>
                      <w:highlight w:val="none"/>
                      <w:vertAlign w:val="subscript"/>
                      <w:lang w:bidi="ar"/>
                    </w:rPr>
                    <w:t>3</w:t>
                  </w:r>
                  <w:r>
                    <w:rPr>
                      <w:color w:val="auto"/>
                      <w:szCs w:val="21"/>
                      <w:highlight w:val="none"/>
                    </w:rPr>
                    <w:t>-N、BOD</w:t>
                  </w:r>
                  <w:r>
                    <w:rPr>
                      <w:color w:val="auto"/>
                      <w:kern w:val="0"/>
                      <w:szCs w:val="21"/>
                      <w:highlight w:val="none"/>
                      <w:vertAlign w:val="subscript"/>
                      <w:lang w:bidi="ar"/>
                    </w:rPr>
                    <w:t>5</w:t>
                  </w:r>
                  <w:r>
                    <w:rPr>
                      <w:color w:val="auto"/>
                      <w:szCs w:val="21"/>
                      <w:highlight w:val="none"/>
                    </w:rPr>
                    <w:t>、SS、TP等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szCs w:val="21"/>
                      <w:highlight w:val="none"/>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tabs>
                      <w:tab w:val="left" w:pos="3330"/>
                    </w:tabs>
                    <w:adjustRightInd w:val="0"/>
                    <w:snapToGrid w:val="0"/>
                    <w:jc w:val="center"/>
                    <w:rPr>
                      <w:color w:val="auto"/>
                      <w:szCs w:val="21"/>
                      <w:highlight w:val="none"/>
                    </w:rPr>
                  </w:pPr>
                  <w:r>
                    <w:rPr>
                      <w:color w:val="auto"/>
                      <w:szCs w:val="21"/>
                      <w:highlight w:val="none"/>
                    </w:rPr>
                    <w:t>地面清洁废水</w:t>
                  </w:r>
                </w:p>
              </w:tc>
              <w:tc>
                <w:tcPr>
                  <w:tcW w:w="1030" w:type="pct"/>
                  <w:noWrap w:val="0"/>
                  <w:vAlign w:val="center"/>
                </w:tcPr>
                <w:p>
                  <w:pPr>
                    <w:tabs>
                      <w:tab w:val="left" w:pos="3330"/>
                    </w:tabs>
                    <w:adjustRightInd w:val="0"/>
                    <w:snapToGrid w:val="0"/>
                    <w:jc w:val="center"/>
                    <w:rPr>
                      <w:color w:val="auto"/>
                      <w:szCs w:val="21"/>
                      <w:highlight w:val="none"/>
                    </w:rPr>
                  </w:pPr>
                  <w:r>
                    <w:rPr>
                      <w:color w:val="auto"/>
                      <w:szCs w:val="21"/>
                      <w:highlight w:val="none"/>
                    </w:rPr>
                    <w:t>地面清洁</w:t>
                  </w:r>
                </w:p>
              </w:tc>
              <w:tc>
                <w:tcPr>
                  <w:tcW w:w="2061" w:type="pct"/>
                  <w:noWrap w:val="0"/>
                  <w:vAlign w:val="center"/>
                </w:tcPr>
                <w:p>
                  <w:pPr>
                    <w:widowControl/>
                    <w:adjustRightInd w:val="0"/>
                    <w:snapToGrid w:val="0"/>
                    <w:jc w:val="center"/>
                    <w:rPr>
                      <w:color w:val="auto"/>
                      <w:szCs w:val="21"/>
                      <w:highlight w:val="none"/>
                    </w:rPr>
                  </w:pPr>
                  <w:r>
                    <w:rPr>
                      <w:color w:val="auto"/>
                      <w:szCs w:val="21"/>
                      <w:highlight w:val="none"/>
                    </w:rPr>
                    <w:t>COD、NH</w:t>
                  </w:r>
                  <w:r>
                    <w:rPr>
                      <w:color w:val="auto"/>
                      <w:kern w:val="0"/>
                      <w:szCs w:val="21"/>
                      <w:highlight w:val="none"/>
                      <w:vertAlign w:val="subscript"/>
                      <w:lang w:bidi="ar"/>
                    </w:rPr>
                    <w:t>3</w:t>
                  </w:r>
                  <w:r>
                    <w:rPr>
                      <w:color w:val="auto"/>
                      <w:szCs w:val="21"/>
                      <w:highlight w:val="none"/>
                    </w:rPr>
                    <w:t>-N、BOD</w:t>
                  </w:r>
                  <w:r>
                    <w:rPr>
                      <w:color w:val="auto"/>
                      <w:kern w:val="0"/>
                      <w:szCs w:val="21"/>
                      <w:highlight w:val="none"/>
                      <w:vertAlign w:val="subscript"/>
                      <w:lang w:bidi="ar"/>
                    </w:rPr>
                    <w:t>5</w:t>
                  </w:r>
                  <w:r>
                    <w:rPr>
                      <w:color w:val="auto"/>
                      <w:szCs w:val="21"/>
                      <w:highlight w:val="none"/>
                    </w:rPr>
                    <w:t>、SS、TP等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kern w:val="2"/>
                      <w:sz w:val="21"/>
                      <w:szCs w:val="21"/>
                      <w:highlight w:val="none"/>
                      <w:lang w:val="en-US" w:eastAsia="zh-CN" w:bidi="ar-SA"/>
                    </w:rPr>
                  </w:pPr>
                </w:p>
              </w:tc>
              <w:tc>
                <w:tcPr>
                  <w:tcW w:w="281" w:type="pct"/>
                  <w:noWrap w:val="0"/>
                  <w:vAlign w:val="center"/>
                </w:tcPr>
                <w:p>
                  <w:pPr>
                    <w:tabs>
                      <w:tab w:val="left" w:pos="3330"/>
                    </w:tabs>
                    <w:adjustRightInd w:val="0"/>
                    <w:snapToGrid w:val="0"/>
                    <w:jc w:val="center"/>
                    <w:rPr>
                      <w:color w:val="auto"/>
                      <w:szCs w:val="21"/>
                      <w:highlight w:val="none"/>
                    </w:rPr>
                  </w:pPr>
                  <w:r>
                    <w:rPr>
                      <w:color w:val="auto"/>
                      <w:szCs w:val="21"/>
                      <w:highlight w:val="none"/>
                    </w:rPr>
                    <w:t>噪声</w:t>
                  </w:r>
                </w:p>
              </w:tc>
              <w:tc>
                <w:tcPr>
                  <w:tcW w:w="1281" w:type="pct"/>
                  <w:noWrap w:val="0"/>
                  <w:vAlign w:val="center"/>
                </w:tcPr>
                <w:p>
                  <w:pPr>
                    <w:tabs>
                      <w:tab w:val="left" w:pos="3330"/>
                    </w:tabs>
                    <w:adjustRightInd w:val="0"/>
                    <w:snapToGrid w:val="0"/>
                    <w:jc w:val="center"/>
                    <w:rPr>
                      <w:color w:val="auto"/>
                      <w:szCs w:val="21"/>
                      <w:highlight w:val="none"/>
                    </w:rPr>
                  </w:pPr>
                  <w:r>
                    <w:rPr>
                      <w:color w:val="auto"/>
                      <w:szCs w:val="21"/>
                      <w:highlight w:val="none"/>
                    </w:rPr>
                    <w:t>设备噪声</w:t>
                  </w:r>
                </w:p>
              </w:tc>
              <w:tc>
                <w:tcPr>
                  <w:tcW w:w="1030" w:type="pct"/>
                  <w:noWrap w:val="0"/>
                  <w:vAlign w:val="center"/>
                </w:tcPr>
                <w:p>
                  <w:pPr>
                    <w:tabs>
                      <w:tab w:val="left" w:pos="3330"/>
                    </w:tabs>
                    <w:adjustRightInd w:val="0"/>
                    <w:snapToGrid w:val="0"/>
                    <w:jc w:val="center"/>
                    <w:rPr>
                      <w:color w:val="auto"/>
                      <w:szCs w:val="21"/>
                      <w:highlight w:val="none"/>
                    </w:rPr>
                  </w:pPr>
                  <w:r>
                    <w:rPr>
                      <w:color w:val="auto"/>
                      <w:szCs w:val="21"/>
                      <w:highlight w:val="none"/>
                    </w:rPr>
                    <w:t>生产加工</w:t>
                  </w:r>
                </w:p>
              </w:tc>
              <w:tc>
                <w:tcPr>
                  <w:tcW w:w="2061" w:type="pct"/>
                  <w:noWrap w:val="0"/>
                  <w:vAlign w:val="center"/>
                </w:tcPr>
                <w:p>
                  <w:pPr>
                    <w:tabs>
                      <w:tab w:val="left" w:pos="3330"/>
                    </w:tabs>
                    <w:adjustRightInd w:val="0"/>
                    <w:snapToGrid w:val="0"/>
                    <w:jc w:val="center"/>
                    <w:rPr>
                      <w:color w:val="auto"/>
                      <w:szCs w:val="21"/>
                      <w:highlight w:val="none"/>
                    </w:rPr>
                  </w:pPr>
                  <w:r>
                    <w:rPr>
                      <w:color w:val="auto"/>
                      <w:szCs w:val="21"/>
                      <w:highlight w:val="none"/>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kern w:val="2"/>
                      <w:sz w:val="21"/>
                      <w:szCs w:val="21"/>
                      <w:highlight w:val="none"/>
                      <w:lang w:val="en-US" w:eastAsia="zh-CN" w:bidi="ar-SA"/>
                    </w:rPr>
                  </w:pPr>
                </w:p>
              </w:tc>
              <w:tc>
                <w:tcPr>
                  <w:tcW w:w="281" w:type="pct"/>
                  <w:vMerge w:val="restart"/>
                  <w:noWrap w:val="0"/>
                  <w:vAlign w:val="center"/>
                </w:tcPr>
                <w:p>
                  <w:pPr>
                    <w:tabs>
                      <w:tab w:val="left" w:pos="3330"/>
                    </w:tabs>
                    <w:adjustRightInd w:val="0"/>
                    <w:snapToGrid w:val="0"/>
                    <w:jc w:val="center"/>
                    <w:rPr>
                      <w:color w:val="auto"/>
                      <w:szCs w:val="21"/>
                      <w:highlight w:val="none"/>
                    </w:rPr>
                  </w:pPr>
                  <w:r>
                    <w:rPr>
                      <w:color w:val="auto"/>
                      <w:szCs w:val="21"/>
                      <w:highlight w:val="none"/>
                    </w:rPr>
                    <w:t>固废</w:t>
                  </w:r>
                </w:p>
              </w:tc>
              <w:tc>
                <w:tcPr>
                  <w:tcW w:w="1281" w:type="pct"/>
                  <w:noWrap w:val="0"/>
                  <w:vAlign w:val="center"/>
                </w:tcPr>
                <w:p>
                  <w:pPr>
                    <w:adjustRightInd w:val="0"/>
                    <w:snapToGrid w:val="0"/>
                    <w:jc w:val="center"/>
                    <w:rPr>
                      <w:color w:val="auto"/>
                      <w:szCs w:val="21"/>
                      <w:highlight w:val="none"/>
                    </w:rPr>
                  </w:pPr>
                  <w:r>
                    <w:rPr>
                      <w:color w:val="auto"/>
                      <w:szCs w:val="21"/>
                      <w:highlight w:val="none"/>
                    </w:rPr>
                    <w:t>生活垃圾</w:t>
                  </w:r>
                </w:p>
              </w:tc>
              <w:tc>
                <w:tcPr>
                  <w:tcW w:w="1030" w:type="pct"/>
                  <w:noWrap w:val="0"/>
                  <w:vAlign w:val="center"/>
                </w:tcPr>
                <w:p>
                  <w:pPr>
                    <w:adjustRightInd w:val="0"/>
                    <w:snapToGrid w:val="0"/>
                    <w:jc w:val="center"/>
                    <w:rPr>
                      <w:color w:val="auto"/>
                      <w:szCs w:val="21"/>
                      <w:highlight w:val="none"/>
                    </w:rPr>
                  </w:pPr>
                  <w:r>
                    <w:rPr>
                      <w:color w:val="auto"/>
                      <w:szCs w:val="21"/>
                      <w:highlight w:val="none"/>
                    </w:rPr>
                    <w:t>生活办公</w:t>
                  </w:r>
                </w:p>
              </w:tc>
              <w:tc>
                <w:tcPr>
                  <w:tcW w:w="2061" w:type="pct"/>
                  <w:noWrap w:val="0"/>
                  <w:vAlign w:val="center"/>
                </w:tcPr>
                <w:p>
                  <w:pPr>
                    <w:tabs>
                      <w:tab w:val="left" w:pos="3330"/>
                    </w:tabs>
                    <w:adjustRightInd w:val="0"/>
                    <w:snapToGrid w:val="0"/>
                    <w:jc w:val="center"/>
                    <w:rPr>
                      <w:color w:val="auto"/>
                      <w:szCs w:val="21"/>
                      <w:highlight w:val="none"/>
                    </w:rPr>
                  </w:pPr>
                  <w:r>
                    <w:rPr>
                      <w:color w:val="auto"/>
                      <w:szCs w:val="21"/>
                      <w:highlight w:val="non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kern w:val="2"/>
                      <w:sz w:val="21"/>
                      <w:szCs w:val="21"/>
                      <w:highlight w:val="none"/>
                      <w:lang w:val="en-US" w:eastAsia="zh-CN" w:bidi="ar-SA"/>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adjustRightInd w:val="0"/>
                    <w:snapToGrid w:val="0"/>
                    <w:jc w:val="center"/>
                    <w:rPr>
                      <w:rFonts w:ascii="Times New Roman" w:hAnsi="Times New Roman" w:eastAsia="宋体"/>
                      <w:color w:val="auto"/>
                      <w:kern w:val="2"/>
                      <w:sz w:val="21"/>
                      <w:szCs w:val="21"/>
                      <w:highlight w:val="none"/>
                      <w:lang w:val="en-US" w:eastAsia="zh-CN" w:bidi="ar-SA"/>
                    </w:rPr>
                  </w:pPr>
                  <w:r>
                    <w:rPr>
                      <w:color w:val="auto"/>
                      <w:szCs w:val="21"/>
                      <w:highlight w:val="none"/>
                    </w:rPr>
                    <w:t>废包装材料</w:t>
                  </w:r>
                </w:p>
              </w:tc>
              <w:tc>
                <w:tcPr>
                  <w:tcW w:w="1030" w:type="pct"/>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去包装、包装</w:t>
                  </w:r>
                </w:p>
              </w:tc>
              <w:tc>
                <w:tcPr>
                  <w:tcW w:w="2061" w:type="pct"/>
                  <w:noWrap w:val="0"/>
                  <w:vAlign w:val="center"/>
                </w:tcPr>
                <w:p>
                  <w:pPr>
                    <w:tabs>
                      <w:tab w:val="left" w:pos="3330"/>
                    </w:tabs>
                    <w:adjustRightInd w:val="0"/>
                    <w:snapToGrid w:val="0"/>
                    <w:jc w:val="center"/>
                    <w:rPr>
                      <w:rFonts w:ascii="Times New Roman" w:hAnsi="Times New Roman" w:eastAsia="宋体"/>
                      <w:color w:val="auto"/>
                      <w:kern w:val="2"/>
                      <w:sz w:val="21"/>
                      <w:szCs w:val="21"/>
                      <w:highlight w:val="none"/>
                      <w:lang w:val="en-US" w:eastAsia="zh-CN" w:bidi="ar-SA"/>
                    </w:rPr>
                  </w:pPr>
                  <w:r>
                    <w:rPr>
                      <w:color w:val="auto"/>
                      <w:szCs w:val="21"/>
                      <w:highlight w:val="non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kern w:val="2"/>
                      <w:sz w:val="21"/>
                      <w:szCs w:val="21"/>
                      <w:highlight w:val="none"/>
                      <w:lang w:val="en-US" w:eastAsia="zh-CN" w:bidi="ar-SA"/>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adjustRightInd w:val="0"/>
                    <w:snapToGrid w:val="0"/>
                    <w:jc w:val="center"/>
                    <w:rPr>
                      <w:rFonts w:ascii="Times New Roman" w:hAnsi="Times New Roman" w:eastAsia="宋体"/>
                      <w:color w:val="auto"/>
                      <w:kern w:val="2"/>
                      <w:sz w:val="21"/>
                      <w:szCs w:val="21"/>
                      <w:highlight w:val="none"/>
                      <w:lang w:val="en-US" w:eastAsia="zh-CN" w:bidi="ar-SA"/>
                    </w:rPr>
                  </w:pPr>
                  <w:r>
                    <w:rPr>
                      <w:color w:val="auto"/>
                      <w:szCs w:val="21"/>
                      <w:highlight w:val="none"/>
                    </w:rPr>
                    <w:t>不合格品</w:t>
                  </w:r>
                </w:p>
              </w:tc>
              <w:tc>
                <w:tcPr>
                  <w:tcW w:w="1030" w:type="pct"/>
                  <w:noWrap w:val="0"/>
                  <w:vAlign w:val="center"/>
                </w:tcPr>
                <w:p>
                  <w:pPr>
                    <w:adjustRightInd w:val="0"/>
                    <w:snapToGrid w:val="0"/>
                    <w:jc w:val="center"/>
                    <w:rPr>
                      <w:rFonts w:ascii="Times New Roman" w:hAnsi="Times New Roman" w:eastAsia="宋体"/>
                      <w:color w:val="auto"/>
                      <w:kern w:val="2"/>
                      <w:sz w:val="21"/>
                      <w:szCs w:val="21"/>
                      <w:highlight w:val="none"/>
                      <w:lang w:val="en-US" w:eastAsia="zh-CN" w:bidi="ar-SA"/>
                    </w:rPr>
                  </w:pPr>
                  <w:r>
                    <w:rPr>
                      <w:color w:val="auto"/>
                      <w:szCs w:val="21"/>
                      <w:highlight w:val="none"/>
                    </w:rPr>
                    <w:t>生产过程</w:t>
                  </w:r>
                </w:p>
              </w:tc>
              <w:tc>
                <w:tcPr>
                  <w:tcW w:w="2061" w:type="pct"/>
                  <w:noWrap w:val="0"/>
                  <w:vAlign w:val="center"/>
                </w:tcPr>
                <w:p>
                  <w:pPr>
                    <w:tabs>
                      <w:tab w:val="left" w:pos="3330"/>
                    </w:tabs>
                    <w:adjustRightInd w:val="0"/>
                    <w:snapToGrid w:val="0"/>
                    <w:jc w:val="center"/>
                    <w:rPr>
                      <w:rFonts w:ascii="Times New Roman" w:hAnsi="Times New Roman" w:eastAsia="宋体"/>
                      <w:color w:val="auto"/>
                      <w:kern w:val="2"/>
                      <w:sz w:val="21"/>
                      <w:szCs w:val="21"/>
                      <w:highlight w:val="none"/>
                      <w:lang w:val="en-US" w:eastAsia="zh-CN" w:bidi="ar-SA"/>
                    </w:rPr>
                  </w:pPr>
                  <w:r>
                    <w:rPr>
                      <w:color w:val="auto"/>
                      <w:szCs w:val="21"/>
                      <w:highlight w:val="non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kern w:val="2"/>
                      <w:sz w:val="21"/>
                      <w:szCs w:val="21"/>
                      <w:highlight w:val="none"/>
                      <w:lang w:val="en-US" w:eastAsia="zh-CN" w:bidi="ar-SA"/>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adjustRightInd w:val="0"/>
                    <w:snapToGrid w:val="0"/>
                    <w:jc w:val="center"/>
                    <w:rPr>
                      <w:rFonts w:ascii="Times New Roman" w:hAnsi="Times New Roman" w:eastAsia="宋体"/>
                      <w:color w:val="auto"/>
                      <w:kern w:val="2"/>
                      <w:sz w:val="21"/>
                      <w:szCs w:val="21"/>
                      <w:highlight w:val="none"/>
                      <w:lang w:val="en-US" w:eastAsia="zh-CN" w:bidi="ar-SA"/>
                    </w:rPr>
                  </w:pPr>
                  <w:r>
                    <w:rPr>
                      <w:rFonts w:hint="eastAsia"/>
                      <w:color w:val="auto"/>
                      <w:szCs w:val="21"/>
                      <w:highlight w:val="none"/>
                    </w:rPr>
                    <w:t>餐厨垃圾</w:t>
                  </w:r>
                  <w:r>
                    <w:rPr>
                      <w:rFonts w:hint="eastAsia"/>
                      <w:color w:val="auto"/>
                      <w:szCs w:val="21"/>
                      <w:highlight w:val="none"/>
                      <w:lang w:val="en-US" w:eastAsia="zh-CN"/>
                    </w:rPr>
                    <w:t>和</w:t>
                  </w:r>
                  <w:r>
                    <w:rPr>
                      <w:rFonts w:hint="eastAsia"/>
                      <w:color w:val="auto"/>
                      <w:szCs w:val="21"/>
                      <w:highlight w:val="none"/>
                    </w:rPr>
                    <w:t>隔油池废油脂</w:t>
                  </w:r>
                </w:p>
              </w:tc>
              <w:tc>
                <w:tcPr>
                  <w:tcW w:w="1030" w:type="pct"/>
                  <w:noWrap w:val="0"/>
                  <w:vAlign w:val="center"/>
                </w:tcPr>
                <w:p>
                  <w:pPr>
                    <w:adjustRightInd w:val="0"/>
                    <w:snapToGrid w:val="0"/>
                    <w:jc w:val="center"/>
                    <w:rPr>
                      <w:rFonts w:ascii="Times New Roman" w:hAnsi="Times New Roman" w:eastAsia="宋体"/>
                      <w:color w:val="auto"/>
                      <w:kern w:val="2"/>
                      <w:sz w:val="21"/>
                      <w:szCs w:val="21"/>
                      <w:highlight w:val="none"/>
                      <w:lang w:val="en-US" w:eastAsia="zh-CN" w:bidi="ar-SA"/>
                    </w:rPr>
                  </w:pPr>
                  <w:r>
                    <w:rPr>
                      <w:color w:val="auto"/>
                      <w:szCs w:val="21"/>
                      <w:highlight w:val="none"/>
                    </w:rPr>
                    <w:t>员工餐饮</w:t>
                  </w:r>
                </w:p>
              </w:tc>
              <w:tc>
                <w:tcPr>
                  <w:tcW w:w="2061" w:type="pct"/>
                  <w:noWrap w:val="0"/>
                  <w:vAlign w:val="center"/>
                </w:tcPr>
                <w:p>
                  <w:pPr>
                    <w:tabs>
                      <w:tab w:val="left" w:pos="3330"/>
                    </w:tabs>
                    <w:adjustRightInd w:val="0"/>
                    <w:snapToGrid w:val="0"/>
                    <w:jc w:val="center"/>
                    <w:rPr>
                      <w:rFonts w:ascii="Times New Roman" w:hAnsi="Times New Roman" w:eastAsia="宋体"/>
                      <w:color w:val="auto"/>
                      <w:kern w:val="2"/>
                      <w:sz w:val="21"/>
                      <w:szCs w:val="21"/>
                      <w:highlight w:val="none"/>
                      <w:lang w:val="en-US" w:eastAsia="zh-CN" w:bidi="ar-SA"/>
                    </w:rPr>
                  </w:pPr>
                  <w:r>
                    <w:rPr>
                      <w:color w:val="auto"/>
                      <w:szCs w:val="21"/>
                      <w:highlight w:val="non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kern w:val="2"/>
                      <w:sz w:val="21"/>
                      <w:szCs w:val="21"/>
                      <w:highlight w:val="none"/>
                      <w:lang w:val="en-US" w:eastAsia="zh-CN" w:bidi="ar-SA"/>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adjustRightInd w:val="0"/>
                    <w:snapToGrid w:val="0"/>
                    <w:jc w:val="center"/>
                    <w:rPr>
                      <w:rFonts w:hint="default" w:ascii="Times New Roman" w:hAnsi="Times New Roman" w:eastAsia="宋体"/>
                      <w:color w:val="auto"/>
                      <w:kern w:val="2"/>
                      <w:sz w:val="21"/>
                      <w:szCs w:val="21"/>
                      <w:highlight w:val="none"/>
                      <w:lang w:val="en-US" w:eastAsia="zh-CN" w:bidi="ar-SA"/>
                    </w:rPr>
                  </w:pPr>
                  <w:r>
                    <w:rPr>
                      <w:rFonts w:hint="eastAsia" w:ascii="Times New Roman" w:hAnsi="Times New Roman" w:eastAsia="宋体"/>
                      <w:color w:val="auto"/>
                      <w:kern w:val="2"/>
                      <w:sz w:val="21"/>
                      <w:szCs w:val="21"/>
                      <w:highlight w:val="none"/>
                      <w:lang w:val="en-US" w:eastAsia="zh-CN" w:bidi="ar-SA"/>
                    </w:rPr>
                    <w:t>废植物油</w:t>
                  </w:r>
                </w:p>
              </w:tc>
              <w:tc>
                <w:tcPr>
                  <w:tcW w:w="1030" w:type="pct"/>
                  <w:noWrap w:val="0"/>
                  <w:vAlign w:val="center"/>
                </w:tcPr>
                <w:p>
                  <w:pPr>
                    <w:adjustRightInd w:val="0"/>
                    <w:snapToGrid w:val="0"/>
                    <w:jc w:val="center"/>
                    <w:rPr>
                      <w:rFonts w:hint="default" w:ascii="Times New Roman" w:hAnsi="Times New Roman" w:eastAsia="宋体"/>
                      <w:color w:val="auto"/>
                      <w:kern w:val="2"/>
                      <w:sz w:val="21"/>
                      <w:szCs w:val="21"/>
                      <w:highlight w:val="none"/>
                      <w:lang w:val="en-US" w:eastAsia="zh-CN" w:bidi="ar-SA"/>
                    </w:rPr>
                  </w:pPr>
                  <w:r>
                    <w:rPr>
                      <w:rFonts w:hint="eastAsia" w:ascii="Times New Roman" w:hAnsi="Times New Roman" w:eastAsia="宋体"/>
                      <w:color w:val="auto"/>
                      <w:kern w:val="2"/>
                      <w:sz w:val="21"/>
                      <w:szCs w:val="21"/>
                      <w:highlight w:val="none"/>
                      <w:lang w:val="en-US" w:eastAsia="zh-CN" w:bidi="ar-SA"/>
                    </w:rPr>
                    <w:t>压榨</w:t>
                  </w:r>
                </w:p>
              </w:tc>
              <w:tc>
                <w:tcPr>
                  <w:tcW w:w="2061" w:type="pct"/>
                  <w:noWrap w:val="0"/>
                  <w:vAlign w:val="center"/>
                </w:tcPr>
                <w:p>
                  <w:pPr>
                    <w:tabs>
                      <w:tab w:val="left" w:pos="3330"/>
                    </w:tabs>
                    <w:adjustRightInd w:val="0"/>
                    <w:snapToGrid w:val="0"/>
                    <w:jc w:val="center"/>
                    <w:rPr>
                      <w:rFonts w:ascii="Times New Roman" w:hAnsi="Times New Roman" w:eastAsia="宋体"/>
                      <w:color w:val="auto"/>
                      <w:kern w:val="2"/>
                      <w:sz w:val="21"/>
                      <w:szCs w:val="21"/>
                      <w:highlight w:val="none"/>
                      <w:lang w:val="en-US" w:eastAsia="zh-CN" w:bidi="ar-SA"/>
                    </w:rPr>
                  </w:pPr>
                  <w:r>
                    <w:rPr>
                      <w:color w:val="auto"/>
                      <w:szCs w:val="21"/>
                      <w:highlight w:val="non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kern w:val="2"/>
                      <w:sz w:val="21"/>
                      <w:szCs w:val="21"/>
                      <w:highlight w:val="none"/>
                      <w:lang w:val="en-US" w:eastAsia="zh-CN" w:bidi="ar-SA"/>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adjustRightInd w:val="0"/>
                    <w:snapToGrid w:val="0"/>
                    <w:jc w:val="center"/>
                    <w:rPr>
                      <w:rFonts w:hint="default" w:ascii="Times New Roman" w:hAnsi="Times New Roman" w:eastAsia="宋体"/>
                      <w:color w:val="auto"/>
                      <w:kern w:val="2"/>
                      <w:sz w:val="21"/>
                      <w:szCs w:val="21"/>
                      <w:highlight w:val="none"/>
                      <w:lang w:val="en-US" w:eastAsia="zh-CN" w:bidi="ar-SA"/>
                    </w:rPr>
                  </w:pPr>
                  <w:r>
                    <w:rPr>
                      <w:rFonts w:hint="eastAsia" w:ascii="Times New Roman" w:hAnsi="Times New Roman" w:eastAsia="宋体"/>
                      <w:color w:val="auto"/>
                      <w:kern w:val="2"/>
                      <w:sz w:val="21"/>
                      <w:szCs w:val="21"/>
                      <w:highlight w:val="none"/>
                      <w:lang w:val="en-US" w:eastAsia="zh-CN" w:bidi="ar-SA"/>
                    </w:rPr>
                    <w:t>废油纸</w:t>
                  </w:r>
                </w:p>
              </w:tc>
              <w:tc>
                <w:tcPr>
                  <w:tcW w:w="1030" w:type="pct"/>
                  <w:noWrap w:val="0"/>
                  <w:vAlign w:val="center"/>
                </w:tcPr>
                <w:p>
                  <w:pPr>
                    <w:adjustRightInd w:val="0"/>
                    <w:snapToGrid w:val="0"/>
                    <w:jc w:val="center"/>
                    <w:rPr>
                      <w:rFonts w:hint="default" w:ascii="Times New Roman" w:hAnsi="Times New Roman" w:eastAsia="宋体"/>
                      <w:color w:val="auto"/>
                      <w:kern w:val="2"/>
                      <w:sz w:val="21"/>
                      <w:szCs w:val="21"/>
                      <w:highlight w:val="none"/>
                      <w:lang w:val="en-US" w:eastAsia="zh-CN" w:bidi="ar-SA"/>
                    </w:rPr>
                  </w:pPr>
                  <w:r>
                    <w:rPr>
                      <w:rFonts w:hint="eastAsia" w:ascii="Times New Roman" w:hAnsi="Times New Roman" w:eastAsia="宋体"/>
                      <w:color w:val="auto"/>
                      <w:kern w:val="2"/>
                      <w:sz w:val="21"/>
                      <w:szCs w:val="21"/>
                      <w:highlight w:val="none"/>
                      <w:lang w:val="en-US" w:eastAsia="zh-CN" w:bidi="ar-SA"/>
                    </w:rPr>
                    <w:t>斩拌</w:t>
                  </w:r>
                </w:p>
              </w:tc>
              <w:tc>
                <w:tcPr>
                  <w:tcW w:w="2061" w:type="pct"/>
                  <w:noWrap w:val="0"/>
                  <w:vAlign w:val="center"/>
                </w:tcPr>
                <w:p>
                  <w:pPr>
                    <w:tabs>
                      <w:tab w:val="left" w:pos="3330"/>
                    </w:tabs>
                    <w:adjustRightInd w:val="0"/>
                    <w:snapToGrid w:val="0"/>
                    <w:jc w:val="center"/>
                    <w:rPr>
                      <w:rFonts w:ascii="Times New Roman" w:hAnsi="Times New Roman" w:eastAsia="宋体"/>
                      <w:color w:val="auto"/>
                      <w:kern w:val="2"/>
                      <w:sz w:val="21"/>
                      <w:szCs w:val="21"/>
                      <w:highlight w:val="none"/>
                      <w:lang w:val="en-US" w:eastAsia="zh-CN" w:bidi="ar-SA"/>
                    </w:rPr>
                  </w:pPr>
                  <w:r>
                    <w:rPr>
                      <w:color w:val="auto"/>
                      <w:szCs w:val="21"/>
                      <w:highlight w:val="non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345" w:type="pct"/>
                  <w:vMerge w:val="continue"/>
                  <w:noWrap w:val="0"/>
                  <w:vAlign w:val="center"/>
                </w:tcPr>
                <w:p>
                  <w:pPr>
                    <w:tabs>
                      <w:tab w:val="left" w:pos="3330"/>
                    </w:tabs>
                    <w:adjustRightInd w:val="0"/>
                    <w:snapToGrid w:val="0"/>
                    <w:jc w:val="center"/>
                    <w:rPr>
                      <w:color w:val="auto"/>
                      <w:kern w:val="2"/>
                      <w:sz w:val="21"/>
                      <w:szCs w:val="21"/>
                      <w:highlight w:val="none"/>
                      <w:lang w:val="en-US" w:eastAsia="zh-CN" w:bidi="ar-SA"/>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栅渣</w:t>
                  </w:r>
                </w:p>
              </w:tc>
              <w:tc>
                <w:tcPr>
                  <w:tcW w:w="1030" w:type="pct"/>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废水处理</w:t>
                  </w:r>
                </w:p>
              </w:tc>
              <w:tc>
                <w:tcPr>
                  <w:tcW w:w="2061" w:type="pct"/>
                  <w:noWrap w:val="0"/>
                  <w:vAlign w:val="center"/>
                </w:tcPr>
                <w:p>
                  <w:pPr>
                    <w:tabs>
                      <w:tab w:val="left" w:pos="3330"/>
                    </w:tabs>
                    <w:adjustRightInd w:val="0"/>
                    <w:snapToGrid w:val="0"/>
                    <w:jc w:val="center"/>
                    <w:rPr>
                      <w:color w:val="auto"/>
                      <w:szCs w:val="21"/>
                      <w:highlight w:val="none"/>
                    </w:rPr>
                  </w:pPr>
                  <w:r>
                    <w:rPr>
                      <w:color w:val="auto"/>
                      <w:szCs w:val="21"/>
                      <w:highlight w:val="non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kern w:val="2"/>
                      <w:sz w:val="21"/>
                      <w:szCs w:val="21"/>
                      <w:highlight w:val="none"/>
                      <w:lang w:val="en-US" w:eastAsia="zh-CN" w:bidi="ar-SA"/>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adjustRightInd w:val="0"/>
                    <w:snapToGrid w:val="0"/>
                    <w:jc w:val="center"/>
                    <w:rPr>
                      <w:color w:val="auto"/>
                      <w:szCs w:val="21"/>
                      <w:highlight w:val="none"/>
                    </w:rPr>
                  </w:pPr>
                  <w:r>
                    <w:rPr>
                      <w:rFonts w:hint="eastAsia"/>
                      <w:color w:val="auto"/>
                      <w:szCs w:val="21"/>
                      <w:highlight w:val="none"/>
                    </w:rPr>
                    <w:t>污泥</w:t>
                  </w:r>
                </w:p>
              </w:tc>
              <w:tc>
                <w:tcPr>
                  <w:tcW w:w="1030" w:type="pct"/>
                  <w:noWrap w:val="0"/>
                  <w:vAlign w:val="center"/>
                </w:tcPr>
                <w:p>
                  <w:pPr>
                    <w:adjustRightInd w:val="0"/>
                    <w:snapToGrid w:val="0"/>
                    <w:jc w:val="center"/>
                    <w:rPr>
                      <w:color w:val="auto"/>
                      <w:szCs w:val="21"/>
                      <w:highlight w:val="none"/>
                    </w:rPr>
                  </w:pPr>
                  <w:r>
                    <w:rPr>
                      <w:rFonts w:hint="eastAsia"/>
                      <w:color w:val="auto"/>
                      <w:szCs w:val="21"/>
                      <w:highlight w:val="none"/>
                      <w:lang w:val="en-US" w:eastAsia="zh-CN"/>
                    </w:rPr>
                    <w:t>废水处理</w:t>
                  </w:r>
                </w:p>
              </w:tc>
              <w:tc>
                <w:tcPr>
                  <w:tcW w:w="2061" w:type="pct"/>
                  <w:noWrap w:val="0"/>
                  <w:vAlign w:val="center"/>
                </w:tcPr>
                <w:p>
                  <w:pPr>
                    <w:tabs>
                      <w:tab w:val="left" w:pos="3330"/>
                    </w:tabs>
                    <w:adjustRightInd w:val="0"/>
                    <w:snapToGrid w:val="0"/>
                    <w:jc w:val="center"/>
                    <w:rPr>
                      <w:color w:val="auto"/>
                      <w:szCs w:val="21"/>
                      <w:highlight w:val="none"/>
                    </w:rPr>
                  </w:pPr>
                  <w:r>
                    <w:rPr>
                      <w:color w:val="auto"/>
                      <w:szCs w:val="21"/>
                      <w:highlight w:val="non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kern w:val="2"/>
                      <w:sz w:val="21"/>
                      <w:szCs w:val="21"/>
                      <w:highlight w:val="none"/>
                      <w:lang w:val="en-US" w:eastAsia="zh-CN" w:bidi="ar-SA"/>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pStyle w:val="57"/>
                    <w:rPr>
                      <w:rFonts w:hint="eastAsia"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废离子交换树脂</w:t>
                  </w:r>
                </w:p>
              </w:tc>
              <w:tc>
                <w:tcPr>
                  <w:tcW w:w="1030" w:type="pct"/>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锅炉运行</w:t>
                  </w:r>
                </w:p>
              </w:tc>
              <w:tc>
                <w:tcPr>
                  <w:tcW w:w="2061" w:type="pct"/>
                  <w:noWrap w:val="0"/>
                  <w:vAlign w:val="center"/>
                </w:tcPr>
                <w:p>
                  <w:pPr>
                    <w:tabs>
                      <w:tab w:val="left" w:pos="3330"/>
                    </w:tabs>
                    <w:adjustRightInd w:val="0"/>
                    <w:snapToGrid w:val="0"/>
                    <w:jc w:val="center"/>
                    <w:rPr>
                      <w:color w:val="auto"/>
                      <w:szCs w:val="21"/>
                      <w:highlight w:val="none"/>
                    </w:rPr>
                  </w:pPr>
                  <w:r>
                    <w:rPr>
                      <w:color w:val="auto"/>
                      <w:szCs w:val="21"/>
                      <w:highlight w:val="none"/>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kern w:val="2"/>
                      <w:sz w:val="21"/>
                      <w:szCs w:val="21"/>
                      <w:highlight w:val="none"/>
                      <w:lang w:val="en-US" w:eastAsia="zh-CN" w:bidi="ar-SA"/>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pStyle w:val="57"/>
                    <w:rPr>
                      <w:rFonts w:hint="eastAsia" w:ascii="Times New Roman" w:hAnsi="Times New Roman" w:eastAsia="宋体" w:cs="Times New Roman"/>
                      <w:color w:val="auto"/>
                      <w:sz w:val="21"/>
                      <w:szCs w:val="21"/>
                      <w:highlight w:val="none"/>
                      <w:lang w:val="en-US" w:eastAsia="zh-CN" w:bidi="ar-SA"/>
                    </w:rPr>
                  </w:pPr>
                  <w:r>
                    <w:rPr>
                      <w:color w:val="auto"/>
                      <w:szCs w:val="21"/>
                      <w:highlight w:val="none"/>
                    </w:rPr>
                    <w:t>废机油</w:t>
                  </w:r>
                </w:p>
              </w:tc>
              <w:tc>
                <w:tcPr>
                  <w:tcW w:w="1030" w:type="pct"/>
                  <w:noWrap w:val="0"/>
                  <w:vAlign w:val="center"/>
                </w:tcPr>
                <w:p>
                  <w:pPr>
                    <w:pStyle w:val="57"/>
                    <w:rPr>
                      <w:rFonts w:hint="eastAsia" w:ascii="Times New Roman" w:hAnsi="Times New Roman" w:eastAsia="Times New Roman" w:cs="Times New Roman"/>
                      <w:color w:val="auto"/>
                      <w:sz w:val="21"/>
                      <w:szCs w:val="21"/>
                      <w:highlight w:val="none"/>
                      <w:lang w:val="en-US" w:eastAsia="zh-CN" w:bidi="ar-SA"/>
                    </w:rPr>
                  </w:pPr>
                  <w:r>
                    <w:rPr>
                      <w:color w:val="auto"/>
                      <w:szCs w:val="21"/>
                      <w:highlight w:val="none"/>
                    </w:rPr>
                    <w:t>生产维护</w:t>
                  </w:r>
                </w:p>
              </w:tc>
              <w:tc>
                <w:tcPr>
                  <w:tcW w:w="2061" w:type="pct"/>
                  <w:noWrap w:val="0"/>
                  <w:vAlign w:val="center"/>
                </w:tcPr>
                <w:p>
                  <w:pPr>
                    <w:tabs>
                      <w:tab w:val="left" w:pos="3330"/>
                    </w:tabs>
                    <w:adjustRightInd w:val="0"/>
                    <w:snapToGrid w:val="0"/>
                    <w:jc w:val="center"/>
                    <w:rPr>
                      <w:rFonts w:ascii="Times New Roman" w:hAnsi="Times New Roman" w:eastAsia="宋体"/>
                      <w:color w:val="auto"/>
                      <w:kern w:val="2"/>
                      <w:sz w:val="21"/>
                      <w:szCs w:val="21"/>
                      <w:highlight w:val="none"/>
                      <w:lang w:val="en-US" w:eastAsia="zh-CN" w:bidi="ar-SA"/>
                    </w:rPr>
                  </w:pPr>
                  <w:r>
                    <w:rPr>
                      <w:color w:val="auto"/>
                      <w:szCs w:val="21"/>
                      <w:highlight w:val="none"/>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kern w:val="2"/>
                      <w:sz w:val="21"/>
                      <w:szCs w:val="21"/>
                      <w:highlight w:val="none"/>
                      <w:lang w:val="en-US" w:eastAsia="zh-CN" w:bidi="ar-SA"/>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pStyle w:val="57"/>
                    <w:rPr>
                      <w:rFonts w:hint="eastAsia" w:ascii="Times New Roman" w:hAnsi="Times New Roman" w:eastAsia="宋体" w:cs="Times New Roman"/>
                      <w:color w:val="auto"/>
                      <w:sz w:val="21"/>
                      <w:szCs w:val="21"/>
                      <w:highlight w:val="none"/>
                      <w:lang w:val="en-US" w:eastAsia="zh-CN" w:bidi="ar-SA"/>
                    </w:rPr>
                  </w:pPr>
                  <w:r>
                    <w:rPr>
                      <w:color w:val="auto"/>
                      <w:szCs w:val="21"/>
                      <w:highlight w:val="none"/>
                    </w:rPr>
                    <w:t>废机油桶</w:t>
                  </w:r>
                </w:p>
              </w:tc>
              <w:tc>
                <w:tcPr>
                  <w:tcW w:w="1030" w:type="pct"/>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color w:val="auto"/>
                      <w:szCs w:val="21"/>
                      <w:highlight w:val="none"/>
                    </w:rPr>
                    <w:t>生产维护</w:t>
                  </w:r>
                </w:p>
              </w:tc>
              <w:tc>
                <w:tcPr>
                  <w:tcW w:w="2061" w:type="pct"/>
                  <w:noWrap w:val="0"/>
                  <w:vAlign w:val="center"/>
                </w:tcPr>
                <w:p>
                  <w:pPr>
                    <w:tabs>
                      <w:tab w:val="left" w:pos="3330"/>
                    </w:tabs>
                    <w:adjustRightInd w:val="0"/>
                    <w:snapToGrid w:val="0"/>
                    <w:jc w:val="center"/>
                    <w:rPr>
                      <w:rFonts w:ascii="Times New Roman" w:hAnsi="Times New Roman" w:eastAsia="宋体"/>
                      <w:color w:val="auto"/>
                      <w:kern w:val="2"/>
                      <w:sz w:val="21"/>
                      <w:szCs w:val="21"/>
                      <w:highlight w:val="none"/>
                      <w:lang w:val="en-US" w:eastAsia="zh-CN" w:bidi="ar-SA"/>
                    </w:rPr>
                  </w:pPr>
                  <w:r>
                    <w:rPr>
                      <w:color w:val="auto"/>
                      <w:szCs w:val="21"/>
                      <w:highlight w:val="none"/>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kern w:val="2"/>
                      <w:sz w:val="21"/>
                      <w:szCs w:val="21"/>
                      <w:highlight w:val="none"/>
                      <w:lang w:val="en-US" w:eastAsia="zh-CN" w:bidi="ar-SA"/>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pStyle w:val="57"/>
                    <w:rPr>
                      <w:rFonts w:hint="eastAsia" w:ascii="Times New Roman" w:hAnsi="Times New Roman" w:eastAsia="宋体" w:cs="Times New Roman"/>
                      <w:color w:val="auto"/>
                      <w:sz w:val="21"/>
                      <w:szCs w:val="21"/>
                      <w:highlight w:val="none"/>
                      <w:lang w:val="en-US" w:eastAsia="zh-CN" w:bidi="ar-SA"/>
                    </w:rPr>
                  </w:pPr>
                  <w:r>
                    <w:rPr>
                      <w:color w:val="auto"/>
                      <w:szCs w:val="21"/>
                      <w:highlight w:val="none"/>
                    </w:rPr>
                    <w:t>废含油抹布</w:t>
                  </w:r>
                  <w:r>
                    <w:rPr>
                      <w:rFonts w:hint="eastAsia" w:eastAsia="宋体"/>
                      <w:color w:val="auto"/>
                      <w:szCs w:val="21"/>
                      <w:highlight w:val="none"/>
                      <w:lang w:val="en-US" w:eastAsia="zh-CN"/>
                    </w:rPr>
                    <w:t>、</w:t>
                  </w:r>
                  <w:r>
                    <w:rPr>
                      <w:color w:val="auto"/>
                      <w:szCs w:val="21"/>
                      <w:highlight w:val="none"/>
                    </w:rPr>
                    <w:t>手套</w:t>
                  </w:r>
                </w:p>
              </w:tc>
              <w:tc>
                <w:tcPr>
                  <w:tcW w:w="1030" w:type="pct"/>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color w:val="auto"/>
                      <w:szCs w:val="21"/>
                      <w:highlight w:val="none"/>
                    </w:rPr>
                    <w:t>生产维护</w:t>
                  </w:r>
                </w:p>
              </w:tc>
              <w:tc>
                <w:tcPr>
                  <w:tcW w:w="2061" w:type="pct"/>
                  <w:noWrap w:val="0"/>
                  <w:vAlign w:val="center"/>
                </w:tcPr>
                <w:p>
                  <w:pPr>
                    <w:tabs>
                      <w:tab w:val="left" w:pos="3330"/>
                    </w:tabs>
                    <w:adjustRightInd w:val="0"/>
                    <w:snapToGrid w:val="0"/>
                    <w:jc w:val="center"/>
                    <w:rPr>
                      <w:rFonts w:ascii="Times New Roman" w:hAnsi="Times New Roman" w:eastAsia="宋体"/>
                      <w:color w:val="auto"/>
                      <w:kern w:val="2"/>
                      <w:sz w:val="21"/>
                      <w:szCs w:val="21"/>
                      <w:highlight w:val="none"/>
                      <w:lang w:val="en-US" w:eastAsia="zh-CN" w:bidi="ar-SA"/>
                    </w:rPr>
                  </w:pPr>
                  <w:r>
                    <w:rPr>
                      <w:color w:val="auto"/>
                      <w:szCs w:val="21"/>
                      <w:highlight w:val="none"/>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kern w:val="2"/>
                      <w:sz w:val="21"/>
                      <w:szCs w:val="21"/>
                      <w:highlight w:val="none"/>
                      <w:lang w:val="en-US" w:eastAsia="zh-CN" w:bidi="ar-SA"/>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废无尘布</w:t>
                  </w:r>
                </w:p>
              </w:tc>
              <w:tc>
                <w:tcPr>
                  <w:tcW w:w="1030" w:type="pct"/>
                  <w:noWrap w:val="0"/>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酒精擦拭</w:t>
                  </w:r>
                </w:p>
              </w:tc>
              <w:tc>
                <w:tcPr>
                  <w:tcW w:w="2061" w:type="pct"/>
                  <w:noWrap w:val="0"/>
                  <w:vAlign w:val="center"/>
                </w:tcPr>
                <w:p>
                  <w:pPr>
                    <w:tabs>
                      <w:tab w:val="left" w:pos="3330"/>
                    </w:tabs>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pPr>
                    <w:tabs>
                      <w:tab w:val="left" w:pos="3330"/>
                    </w:tabs>
                    <w:adjustRightInd w:val="0"/>
                    <w:snapToGrid w:val="0"/>
                    <w:jc w:val="center"/>
                    <w:rPr>
                      <w:color w:val="auto"/>
                      <w:kern w:val="2"/>
                      <w:sz w:val="21"/>
                      <w:szCs w:val="21"/>
                      <w:highlight w:val="none"/>
                      <w:lang w:val="en-US" w:eastAsia="zh-CN" w:bidi="ar-SA"/>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adjustRightInd w:val="0"/>
                    <w:snapToGrid w:val="0"/>
                    <w:jc w:val="center"/>
                    <w:rPr>
                      <w:rFonts w:hint="default"/>
                      <w:color w:val="auto"/>
                      <w:szCs w:val="21"/>
                      <w:highlight w:val="none"/>
                      <w:lang w:val="en-US" w:eastAsia="zh-CN"/>
                    </w:rPr>
                  </w:pPr>
                  <w:r>
                    <w:rPr>
                      <w:rFonts w:hint="default"/>
                      <w:color w:val="auto"/>
                      <w:szCs w:val="21"/>
                      <w:highlight w:val="none"/>
                      <w:lang w:val="en-US" w:eastAsia="zh-CN"/>
                    </w:rPr>
                    <w:t>沾染危险物质的废包装物</w:t>
                  </w:r>
                </w:p>
              </w:tc>
              <w:tc>
                <w:tcPr>
                  <w:tcW w:w="1030" w:type="pct"/>
                  <w:noWrap w:val="0"/>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危险物质包装</w:t>
                  </w:r>
                </w:p>
              </w:tc>
              <w:tc>
                <w:tcPr>
                  <w:tcW w:w="2061" w:type="pct"/>
                  <w:noWrap w:val="0"/>
                  <w:vAlign w:val="center"/>
                </w:tcPr>
                <w:p>
                  <w:pPr>
                    <w:tabs>
                      <w:tab w:val="left" w:pos="3330"/>
                    </w:tabs>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top"/>
                </w:tcPr>
                <w:p>
                  <w:pPr>
                    <w:tabs>
                      <w:tab w:val="left" w:pos="3330"/>
                    </w:tabs>
                    <w:adjustRightInd w:val="0"/>
                    <w:snapToGrid w:val="0"/>
                    <w:jc w:val="center"/>
                    <w:rPr>
                      <w:rFonts w:hint="eastAsia"/>
                      <w:color w:val="auto"/>
                      <w:kern w:val="2"/>
                      <w:sz w:val="21"/>
                      <w:szCs w:val="21"/>
                      <w:highlight w:val="none"/>
                      <w:lang w:val="en-US" w:eastAsia="zh-CN" w:bidi="ar-SA"/>
                    </w:rPr>
                  </w:pPr>
                </w:p>
              </w:tc>
              <w:tc>
                <w:tcPr>
                  <w:tcW w:w="281" w:type="pct"/>
                  <w:vMerge w:val="continue"/>
                  <w:noWrap w:val="0"/>
                  <w:vAlign w:val="center"/>
                </w:tcPr>
                <w:p>
                  <w:pPr>
                    <w:tabs>
                      <w:tab w:val="left" w:pos="3330"/>
                    </w:tabs>
                    <w:adjustRightInd w:val="0"/>
                    <w:snapToGrid w:val="0"/>
                    <w:jc w:val="center"/>
                    <w:rPr>
                      <w:color w:val="auto"/>
                      <w:szCs w:val="21"/>
                      <w:highlight w:val="none"/>
                    </w:rPr>
                  </w:pPr>
                </w:p>
              </w:tc>
              <w:tc>
                <w:tcPr>
                  <w:tcW w:w="1281"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实验废液</w:t>
                  </w:r>
                </w:p>
              </w:tc>
              <w:tc>
                <w:tcPr>
                  <w:tcW w:w="1030"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化验</w:t>
                  </w:r>
                </w:p>
              </w:tc>
              <w:tc>
                <w:tcPr>
                  <w:tcW w:w="2061" w:type="pct"/>
                  <w:noWrap w:val="0"/>
                  <w:vAlign w:val="center"/>
                </w:tcPr>
                <w:p>
                  <w:pPr>
                    <w:tabs>
                      <w:tab w:val="left" w:pos="3330"/>
                    </w:tabs>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危险废物</w:t>
                  </w:r>
                </w:p>
              </w:tc>
            </w:tr>
          </w:tbl>
          <w:p>
            <w:pPr>
              <w:jc w:val="center"/>
              <w:rPr>
                <w:color w:val="auto"/>
                <w:highlight w:val="none"/>
              </w:rPr>
            </w:pPr>
          </w:p>
          <w:p>
            <w:pPr>
              <w:jc w:val="center"/>
              <w:rPr>
                <w:color w:val="auto"/>
                <w:highlight w:val="none"/>
              </w:rPr>
            </w:pPr>
          </w:p>
          <w:p>
            <w:pPr>
              <w:jc w:val="center"/>
              <w:rPr>
                <w:color w:val="auto"/>
                <w:highlight w:val="none"/>
              </w:rPr>
            </w:pPr>
          </w:p>
          <w:p>
            <w:pPr>
              <w:jc w:val="center"/>
              <w:rPr>
                <w:color w:val="auto"/>
                <w:highlight w:val="none"/>
              </w:rPr>
            </w:pPr>
          </w:p>
          <w:p>
            <w:pPr>
              <w:jc w:val="center"/>
              <w:rPr>
                <w:color w:val="auto"/>
                <w:highlight w:val="none"/>
              </w:rPr>
            </w:pPr>
          </w:p>
          <w:p>
            <w:pPr>
              <w:jc w:val="center"/>
              <w:rPr>
                <w:color w:val="auto"/>
                <w:highlight w:val="none"/>
              </w:rPr>
            </w:pPr>
          </w:p>
          <w:p>
            <w:pPr>
              <w:adjustRightInd w:val="0"/>
              <w:snapToGrid w:val="0"/>
              <w:spacing w:line="360" w:lineRule="auto"/>
              <w:ind w:firstLine="420" w:firstLineChars="200"/>
              <w:rPr>
                <w:rFonts w:ascii="宋体" w:hAnsi="宋体"/>
                <w:bCs/>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4" w:type="dxa"/>
            <w:noWrap w:val="0"/>
            <w:vAlign w:val="center"/>
          </w:tcPr>
          <w:p>
            <w:pPr>
              <w:pStyle w:val="19"/>
              <w:adjustRightInd w:val="0"/>
              <w:snapToGrid w:val="0"/>
              <w:spacing w:before="0" w:beforeAutospacing="0" w:after="0" w:afterAutospacing="0"/>
              <w:jc w:val="center"/>
              <w:rPr>
                <w:rFonts w:cs="宋体"/>
                <w:color w:val="auto"/>
                <w:sz w:val="21"/>
                <w:szCs w:val="21"/>
                <w:highlight w:val="none"/>
              </w:rPr>
            </w:pPr>
            <w:r>
              <w:rPr>
                <w:rFonts w:hint="eastAsia" w:cs="宋体"/>
                <w:bCs/>
                <w:color w:val="auto"/>
                <w:kern w:val="2"/>
                <w:sz w:val="21"/>
                <w:szCs w:val="21"/>
                <w:highlight w:val="none"/>
              </w:rPr>
              <w:t>与项目有关的原有环境污染问题</w:t>
            </w:r>
          </w:p>
        </w:tc>
        <w:tc>
          <w:tcPr>
            <w:tcW w:w="8636" w:type="dxa"/>
            <w:noWrap w:val="0"/>
            <w:vAlign w:val="top"/>
          </w:tcPr>
          <w:p>
            <w:pPr>
              <w:widowControl/>
              <w:spacing w:line="360" w:lineRule="auto"/>
              <w:jc w:val="left"/>
              <w:rPr>
                <w:rFonts w:hint="default" w:ascii="Times New Roman" w:hAnsi="Times New Roman" w:eastAsia="宋体" w:cs="Times New Roman"/>
                <w:b/>
                <w:color w:val="auto"/>
                <w:kern w:val="0"/>
                <w:sz w:val="24"/>
                <w:szCs w:val="24"/>
                <w:highlight w:val="none"/>
                <w:lang w:val="en-US" w:eastAsia="zh-CN" w:bidi="ar"/>
              </w:rPr>
            </w:pPr>
            <w:r>
              <w:rPr>
                <w:rFonts w:hint="eastAsia" w:ascii="Times New Roman" w:hAnsi="Times New Roman" w:eastAsia="宋体" w:cs="Times New Roman"/>
                <w:b/>
                <w:color w:val="auto"/>
                <w:kern w:val="0"/>
                <w:sz w:val="24"/>
                <w:szCs w:val="24"/>
                <w:highlight w:val="none"/>
                <w:lang w:val="en-US" w:eastAsia="zh-CN" w:bidi="ar"/>
              </w:rPr>
              <w:t>1、现有项目环评手续情况</w:t>
            </w:r>
          </w:p>
          <w:p>
            <w:pPr>
              <w:pStyle w:val="41"/>
              <w:bidi w:val="0"/>
              <w:rPr>
                <w:rFonts w:hint="eastAsia" w:eastAsia="宋体"/>
                <w:b/>
                <w:bCs/>
                <w:color w:val="auto"/>
                <w:szCs w:val="21"/>
                <w:highlight w:val="none"/>
                <w:shd w:val="clear" w:color="auto" w:fill="FFFFFF"/>
                <w:lang w:val="en-US" w:eastAsia="zh-CN"/>
              </w:rPr>
            </w:pPr>
            <w:r>
              <w:rPr>
                <w:b/>
                <w:bCs/>
                <w:color w:val="auto"/>
                <w:szCs w:val="21"/>
                <w:highlight w:val="none"/>
                <w:shd w:val="clear" w:color="auto" w:fill="FFFFFF"/>
              </w:rPr>
              <w:t>表2-</w:t>
            </w:r>
            <w:r>
              <w:rPr>
                <w:rFonts w:hint="eastAsia"/>
                <w:b/>
                <w:bCs/>
                <w:color w:val="auto"/>
                <w:szCs w:val="21"/>
                <w:highlight w:val="none"/>
                <w:shd w:val="clear" w:color="auto" w:fill="FFFFFF"/>
                <w:lang w:val="en-US" w:eastAsia="zh-CN"/>
              </w:rPr>
              <w:t>12</w:t>
            </w:r>
            <w:r>
              <w:rPr>
                <w:b/>
                <w:bCs/>
                <w:color w:val="auto"/>
                <w:szCs w:val="21"/>
                <w:highlight w:val="none"/>
                <w:shd w:val="clear" w:color="auto" w:fill="FFFFFF"/>
              </w:rPr>
              <w:t xml:space="preserve">  </w:t>
            </w:r>
            <w:r>
              <w:rPr>
                <w:rFonts w:hint="eastAsia"/>
                <w:b/>
                <w:bCs/>
                <w:color w:val="auto"/>
                <w:szCs w:val="21"/>
                <w:highlight w:val="none"/>
                <w:shd w:val="clear" w:color="auto" w:fill="FFFFFF"/>
              </w:rPr>
              <w:t>现有项目环</w:t>
            </w:r>
            <w:r>
              <w:rPr>
                <w:rFonts w:hint="eastAsia"/>
                <w:b/>
                <w:bCs/>
                <w:color w:val="auto"/>
                <w:szCs w:val="21"/>
                <w:highlight w:val="none"/>
                <w:shd w:val="clear" w:color="auto" w:fill="FFFFFF"/>
                <w:lang w:val="en-US" w:eastAsia="zh-CN"/>
              </w:rPr>
              <w:t>保</w:t>
            </w:r>
            <w:r>
              <w:rPr>
                <w:rFonts w:hint="eastAsia"/>
                <w:b/>
                <w:bCs/>
                <w:color w:val="auto"/>
                <w:szCs w:val="21"/>
                <w:highlight w:val="none"/>
                <w:shd w:val="clear" w:color="auto" w:fill="FFFFFF"/>
              </w:rPr>
              <w:t>手续情况</w:t>
            </w:r>
            <w:r>
              <w:rPr>
                <w:rFonts w:hint="eastAsia"/>
                <w:b/>
                <w:bCs/>
                <w:color w:val="auto"/>
                <w:szCs w:val="21"/>
                <w:highlight w:val="none"/>
                <w:shd w:val="clear" w:color="auto" w:fill="FFFFFF"/>
                <w:lang w:val="en-US" w:eastAsia="zh-CN"/>
              </w:rPr>
              <w:t>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9"/>
              <w:gridCol w:w="2085"/>
              <w:gridCol w:w="1197"/>
              <w:gridCol w:w="1117"/>
              <w:gridCol w:w="2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pct"/>
                  <w:noWrap w:val="0"/>
                  <w:vAlign w:val="center"/>
                </w:tcPr>
                <w:p>
                  <w:pPr>
                    <w:adjustRightInd w:val="0"/>
                    <w:snapToGrid w:val="0"/>
                    <w:jc w:val="center"/>
                    <w:rPr>
                      <w:rFonts w:hint="default" w:eastAsia="宋体"/>
                      <w:b/>
                      <w:bCs/>
                      <w:color w:val="auto"/>
                      <w:szCs w:val="21"/>
                      <w:highlight w:val="none"/>
                      <w:lang w:val="en-US" w:eastAsia="zh-CN"/>
                    </w:rPr>
                  </w:pPr>
                  <w:r>
                    <w:rPr>
                      <w:rFonts w:hint="eastAsia"/>
                      <w:b/>
                      <w:bCs/>
                      <w:color w:val="auto"/>
                      <w:szCs w:val="21"/>
                      <w:highlight w:val="none"/>
                      <w:lang w:val="en-US" w:eastAsia="zh-CN"/>
                    </w:rPr>
                    <w:t>项目名称</w:t>
                  </w:r>
                </w:p>
              </w:tc>
              <w:tc>
                <w:tcPr>
                  <w:tcW w:w="1240" w:type="pct"/>
                  <w:noWrap w:val="0"/>
                  <w:vAlign w:val="center"/>
                </w:tcPr>
                <w:p>
                  <w:pPr>
                    <w:adjustRightInd w:val="0"/>
                    <w:snapToGrid w:val="0"/>
                    <w:jc w:val="center"/>
                    <w:rPr>
                      <w:rFonts w:hint="default" w:eastAsia="宋体"/>
                      <w:b/>
                      <w:bCs/>
                      <w:color w:val="auto"/>
                      <w:szCs w:val="21"/>
                      <w:highlight w:val="none"/>
                      <w:lang w:val="en-US" w:eastAsia="zh-CN"/>
                    </w:rPr>
                  </w:pPr>
                  <w:r>
                    <w:rPr>
                      <w:rFonts w:hint="eastAsia"/>
                      <w:b/>
                      <w:bCs/>
                      <w:color w:val="auto"/>
                      <w:szCs w:val="21"/>
                      <w:highlight w:val="none"/>
                      <w:lang w:val="en-US" w:eastAsia="zh-CN"/>
                    </w:rPr>
                    <w:t>环评批复及情况</w:t>
                  </w:r>
                </w:p>
              </w:tc>
              <w:tc>
                <w:tcPr>
                  <w:tcW w:w="712" w:type="pct"/>
                  <w:noWrap w:val="0"/>
                  <w:vAlign w:val="center"/>
                </w:tcPr>
                <w:p>
                  <w:pPr>
                    <w:adjustRightInd w:val="0"/>
                    <w:snapToGrid w:val="0"/>
                    <w:jc w:val="center"/>
                    <w:rPr>
                      <w:rFonts w:hint="default" w:eastAsia="宋体"/>
                      <w:b/>
                      <w:bCs/>
                      <w:color w:val="auto"/>
                      <w:szCs w:val="21"/>
                      <w:highlight w:val="none"/>
                      <w:lang w:val="en-US" w:eastAsia="zh-CN"/>
                    </w:rPr>
                  </w:pPr>
                  <w:r>
                    <w:rPr>
                      <w:rFonts w:hint="eastAsia"/>
                      <w:b/>
                      <w:bCs/>
                      <w:color w:val="auto"/>
                      <w:szCs w:val="21"/>
                      <w:highlight w:val="none"/>
                      <w:lang w:val="en-US" w:eastAsia="zh-CN"/>
                    </w:rPr>
                    <w:t>项目实施情况</w:t>
                  </w:r>
                </w:p>
              </w:tc>
              <w:tc>
                <w:tcPr>
                  <w:tcW w:w="664" w:type="pct"/>
                  <w:noWrap w:val="0"/>
                  <w:vAlign w:val="center"/>
                </w:tcPr>
                <w:p>
                  <w:pPr>
                    <w:adjustRightInd w:val="0"/>
                    <w:snapToGrid w:val="0"/>
                    <w:jc w:val="center"/>
                    <w:rPr>
                      <w:rFonts w:hint="default" w:eastAsia="宋体"/>
                      <w:b/>
                      <w:bCs/>
                      <w:color w:val="auto"/>
                      <w:kern w:val="2"/>
                      <w:sz w:val="21"/>
                      <w:szCs w:val="21"/>
                      <w:highlight w:val="none"/>
                      <w:lang w:val="en-US" w:eastAsia="zh-CN" w:bidi="ar-SA"/>
                    </w:rPr>
                  </w:pPr>
                  <w:r>
                    <w:rPr>
                      <w:rFonts w:hint="eastAsia" w:eastAsia="宋体"/>
                      <w:b/>
                      <w:bCs/>
                      <w:color w:val="auto"/>
                      <w:kern w:val="2"/>
                      <w:sz w:val="21"/>
                      <w:szCs w:val="21"/>
                      <w:highlight w:val="none"/>
                      <w:lang w:val="en-US" w:eastAsia="zh-CN" w:bidi="ar-SA"/>
                    </w:rPr>
                    <w:t>项目竣工环保验收情况</w:t>
                  </w:r>
                </w:p>
              </w:tc>
              <w:tc>
                <w:tcPr>
                  <w:tcW w:w="1312" w:type="pct"/>
                  <w:noWrap w:val="0"/>
                  <w:vAlign w:val="center"/>
                </w:tcPr>
                <w:p>
                  <w:pPr>
                    <w:adjustRightInd w:val="0"/>
                    <w:snapToGrid w:val="0"/>
                    <w:jc w:val="center"/>
                    <w:rPr>
                      <w:rFonts w:hint="default" w:eastAsia="宋体"/>
                      <w:b/>
                      <w:bCs/>
                      <w:color w:val="auto"/>
                      <w:szCs w:val="21"/>
                      <w:highlight w:val="none"/>
                      <w:lang w:val="en-US" w:eastAsia="zh-CN"/>
                    </w:rPr>
                  </w:pPr>
                  <w:r>
                    <w:rPr>
                      <w:rFonts w:hint="eastAsia" w:eastAsia="宋体"/>
                      <w:b/>
                      <w:bCs/>
                      <w:color w:val="auto"/>
                      <w:szCs w:val="21"/>
                      <w:highlight w:val="none"/>
                      <w:lang w:val="en-US" w:eastAsia="zh-CN"/>
                    </w:rPr>
                    <w:t>排污许可情况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070" w:type="pct"/>
                  <w:noWrap w:val="0"/>
                  <w:vAlign w:val="center"/>
                </w:tcPr>
                <w:p>
                  <w:pPr>
                    <w:adjustRightInd w:val="0"/>
                    <w:snapToGrid w:val="0"/>
                    <w:jc w:val="center"/>
                    <w:rPr>
                      <w:color w:val="auto"/>
                      <w:szCs w:val="21"/>
                      <w:highlight w:val="none"/>
                    </w:rPr>
                  </w:pPr>
                  <w:r>
                    <w:rPr>
                      <w:rFonts w:hint="eastAsia"/>
                      <w:color w:val="auto"/>
                      <w:szCs w:val="21"/>
                      <w:highlight w:val="none"/>
                    </w:rPr>
                    <w:t>四川省胡婆婆食品有限责任公司新建项目</w:t>
                  </w:r>
                </w:p>
              </w:tc>
              <w:tc>
                <w:tcPr>
                  <w:tcW w:w="1240" w:type="pct"/>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原巴中市环境保护局恩阳分局以“恩环审批〔2019〕6号”审批</w:t>
                  </w:r>
                </w:p>
              </w:tc>
              <w:tc>
                <w:tcPr>
                  <w:tcW w:w="712" w:type="pct"/>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已实施</w:t>
                  </w:r>
                </w:p>
              </w:tc>
              <w:tc>
                <w:tcPr>
                  <w:tcW w:w="664" w:type="pct"/>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已验收</w:t>
                  </w:r>
                </w:p>
              </w:tc>
              <w:tc>
                <w:tcPr>
                  <w:tcW w:w="1312" w:type="pct"/>
                  <w:noWrap w:val="0"/>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已办理《排污许可证》（证书编号：91511900L077917763</w:t>
                  </w:r>
                </w:p>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001W）</w:t>
                  </w:r>
                </w:p>
              </w:tc>
            </w:tr>
          </w:tbl>
          <w:p>
            <w:pPr>
              <w:widowControl/>
              <w:spacing w:line="360" w:lineRule="auto"/>
              <w:jc w:val="left"/>
              <w:rPr>
                <w:rFonts w:hint="default" w:ascii="Times New Roman" w:hAnsi="Times New Roman" w:eastAsia="宋体" w:cs="Times New Roman"/>
                <w:b/>
                <w:color w:val="auto"/>
                <w:kern w:val="0"/>
                <w:sz w:val="24"/>
                <w:szCs w:val="24"/>
                <w:highlight w:val="none"/>
                <w:lang w:val="en-US" w:eastAsia="zh-CN" w:bidi="ar"/>
              </w:rPr>
            </w:pPr>
            <w:r>
              <w:rPr>
                <w:rFonts w:hint="eastAsia" w:ascii="Times New Roman" w:hAnsi="Times New Roman" w:eastAsia="宋体" w:cs="Times New Roman"/>
                <w:b/>
                <w:color w:val="auto"/>
                <w:kern w:val="0"/>
                <w:sz w:val="24"/>
                <w:szCs w:val="24"/>
                <w:highlight w:val="none"/>
                <w:lang w:val="en-US" w:eastAsia="zh-CN" w:bidi="ar"/>
              </w:rPr>
              <w:t>2、现有项目污染物排放情况</w:t>
            </w:r>
          </w:p>
          <w:p>
            <w:pPr>
              <w:adjustRightInd w:val="0"/>
              <w:snapToGrid w:val="0"/>
              <w:spacing w:line="360" w:lineRule="auto"/>
              <w:ind w:firstLine="482" w:firstLineChars="200"/>
              <w:rPr>
                <w:rFonts w:hint="eastAsia"/>
                <w:b/>
                <w:color w:val="auto"/>
                <w:sz w:val="24"/>
                <w:highlight w:val="none"/>
              </w:rPr>
            </w:pPr>
            <w:r>
              <w:rPr>
                <w:rFonts w:hint="eastAsia"/>
                <w:b/>
                <w:color w:val="auto"/>
                <w:sz w:val="24"/>
                <w:highlight w:val="none"/>
              </w:rPr>
              <w:t>（1）废气</w:t>
            </w:r>
          </w:p>
          <w:p>
            <w:pPr>
              <w:adjustRightInd w:val="0"/>
              <w:snapToGrid w:val="0"/>
              <w:spacing w:line="360" w:lineRule="auto"/>
              <w:ind w:firstLine="482" w:firstLineChars="200"/>
              <w:rPr>
                <w:rFonts w:hint="eastAsia" w:ascii="Times New Roman" w:hAnsi="Times New Roman" w:eastAsia="宋体" w:cs="Times New Roman"/>
                <w:color w:val="auto"/>
                <w:sz w:val="24"/>
                <w:highlight w:val="none"/>
              </w:rPr>
            </w:pPr>
            <w:r>
              <w:rPr>
                <w:rFonts w:hint="eastAsia"/>
                <w:b/>
                <w:color w:val="auto"/>
                <w:sz w:val="24"/>
                <w:highlight w:val="none"/>
              </w:rPr>
              <w:t>①废气排放情况</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1）天然气燃烧废气：现有项目炒制工序所需能源由天然气提供，会产生天然气燃烧废气，主要污染因子为SO</w:t>
            </w:r>
            <w:r>
              <w:rPr>
                <w:rFonts w:hint="eastAsia" w:ascii="Times New Roman" w:hAnsi="Times New Roman" w:eastAsia="宋体" w:cs="Times New Roman"/>
                <w:color w:val="auto"/>
                <w:sz w:val="24"/>
                <w:highlight w:val="none"/>
                <w:vertAlign w:val="subscript"/>
                <w:lang w:val="en-US" w:eastAsia="zh-CN"/>
              </w:rPr>
              <w:t>2</w:t>
            </w:r>
            <w:r>
              <w:rPr>
                <w:rFonts w:hint="eastAsia" w:ascii="Times New Roman" w:hAnsi="Times New Roman" w:eastAsia="宋体" w:cs="Times New Roman"/>
                <w:color w:val="auto"/>
                <w:sz w:val="24"/>
                <w:highlight w:val="none"/>
                <w:lang w:val="en-US" w:eastAsia="zh-CN"/>
              </w:rPr>
              <w:t>、NOx、颗粒物。现有项目使用一个锅炉，天然气燃烧废气经10m高排气筒</w:t>
            </w:r>
            <w:r>
              <w:rPr>
                <w:rFonts w:hint="eastAsia" w:hAnsi="宋体"/>
                <w:bCs/>
                <w:color w:val="auto"/>
                <w:sz w:val="24"/>
                <w:highlight w:val="none"/>
              </w:rPr>
              <w:t>（排气筒编号DA001）</w:t>
            </w:r>
            <w:r>
              <w:rPr>
                <w:rFonts w:hint="eastAsia" w:ascii="Times New Roman" w:hAnsi="Times New Roman" w:eastAsia="宋体" w:cs="Times New Roman"/>
                <w:color w:val="auto"/>
                <w:sz w:val="24"/>
                <w:highlight w:val="none"/>
                <w:lang w:val="en-US" w:eastAsia="zh-CN"/>
              </w:rPr>
              <w:t>排放。</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2）油炸油烟：现有项目在油炸工序上方设置油烟收集罩，再经油烟净化器处理后通过15m的排气筒</w:t>
            </w:r>
            <w:r>
              <w:rPr>
                <w:rFonts w:hint="eastAsia" w:hAnsi="宋体"/>
                <w:bCs/>
                <w:color w:val="auto"/>
                <w:sz w:val="24"/>
                <w:highlight w:val="none"/>
              </w:rPr>
              <w:t>（排气筒编号DA00</w:t>
            </w:r>
            <w:r>
              <w:rPr>
                <w:rFonts w:hint="eastAsia" w:hAnsi="宋体"/>
                <w:bCs/>
                <w:color w:val="auto"/>
                <w:sz w:val="24"/>
                <w:highlight w:val="none"/>
                <w:lang w:val="en-US" w:eastAsia="zh-CN"/>
              </w:rPr>
              <w:t>3</w:t>
            </w:r>
            <w:r>
              <w:rPr>
                <w:rFonts w:hint="eastAsia" w:hAnsi="宋体"/>
                <w:bCs/>
                <w:color w:val="auto"/>
                <w:sz w:val="24"/>
                <w:highlight w:val="none"/>
              </w:rPr>
              <w:t>）</w:t>
            </w:r>
            <w:r>
              <w:rPr>
                <w:rFonts w:hint="eastAsia" w:ascii="Times New Roman" w:hAnsi="Times New Roman" w:eastAsia="宋体" w:cs="Times New Roman"/>
                <w:color w:val="auto"/>
                <w:sz w:val="24"/>
                <w:highlight w:val="none"/>
                <w:lang w:val="en-US" w:eastAsia="zh-CN"/>
              </w:rPr>
              <w:t>通往楼顶排放。</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3）粉尘：现有项目配料、斩拌、拌料会产生少量粉尘，通过</w:t>
            </w:r>
            <w:r>
              <w:rPr>
                <w:rFonts w:hint="eastAsia" w:ascii="Times New Roman" w:hAnsi="Times New Roman" w:eastAsia="宋体" w:cs="Times New Roman"/>
                <w:b w:val="0"/>
                <w:bCs w:val="0"/>
                <w:color w:val="auto"/>
                <w:kern w:val="2"/>
                <w:sz w:val="24"/>
                <w:highlight w:val="none"/>
                <w:lang w:val="en-US" w:eastAsia="zh-CN"/>
              </w:rPr>
              <w:t>加强车间通风，无组织排放。</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4）水蒸气：现有项目水蒸气产生于</w:t>
            </w:r>
            <w:r>
              <w:rPr>
                <w:rFonts w:hint="eastAsia" w:ascii="Times New Roman" w:hAnsi="Times New Roman" w:eastAsia="宋体" w:cs="Times New Roman"/>
                <w:b w:val="0"/>
                <w:bCs w:val="0"/>
                <w:color w:val="auto"/>
                <w:kern w:val="2"/>
                <w:sz w:val="24"/>
                <w:highlight w:val="none"/>
                <w:lang w:val="en-US" w:eastAsia="zh-CN"/>
              </w:rPr>
              <w:t>卤制、烘烤和灭菌工艺，水蒸气冷凝后用于地面清洁。</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5）异味：现有项目异味来自于卤制和烘烤工艺，主要为原辅材料本身产生的异味，</w:t>
            </w:r>
            <w:r>
              <w:rPr>
                <w:rFonts w:hint="eastAsia" w:ascii="Times New Roman" w:hAnsi="Times New Roman" w:eastAsia="宋体" w:cs="Times New Roman"/>
                <w:b w:val="0"/>
                <w:bCs w:val="0"/>
                <w:color w:val="auto"/>
                <w:kern w:val="2"/>
                <w:sz w:val="24"/>
                <w:highlight w:val="none"/>
                <w:lang w:val="en-US" w:eastAsia="zh-CN"/>
              </w:rPr>
              <w:t>加强车间通风，无组织排放。</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6）喷码废气：现有项目喷码废气无组织排放。</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7）热封废气：</w:t>
            </w:r>
            <w:r>
              <w:rPr>
                <w:rFonts w:hint="eastAsia" w:ascii="Times New Roman" w:hAnsi="Times New Roman" w:eastAsia="宋体" w:cs="Times New Roman"/>
                <w:color w:val="auto"/>
                <w:sz w:val="24"/>
                <w:highlight w:val="none"/>
                <w:lang w:val="en-US" w:eastAsia="zh-CN"/>
              </w:rPr>
              <w:t>现有项目</w:t>
            </w:r>
            <w:r>
              <w:rPr>
                <w:rFonts w:hint="eastAsia" w:ascii="Times New Roman" w:hAnsi="Times New Roman" w:eastAsia="宋体" w:cs="Times New Roman"/>
                <w:b w:val="0"/>
                <w:bCs w:val="0"/>
                <w:color w:val="auto"/>
                <w:sz w:val="24"/>
                <w:highlight w:val="none"/>
                <w:lang w:val="en-US" w:eastAsia="zh-CN"/>
              </w:rPr>
              <w:t>热封废气</w:t>
            </w:r>
            <w:r>
              <w:rPr>
                <w:rFonts w:hint="eastAsia" w:ascii="Times New Roman" w:hAnsi="Times New Roman" w:eastAsia="宋体" w:cs="Times New Roman"/>
                <w:color w:val="auto"/>
                <w:sz w:val="24"/>
                <w:highlight w:val="none"/>
                <w:lang w:val="en-US" w:eastAsia="zh-CN"/>
              </w:rPr>
              <w:t>无组织排放。</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8）酒精擦拭废气：现有项目酒精擦拭废气无组织排放。</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9）臭氧消毒废气：现有项目臭氧消毒废气无组织排放。</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10）污水处理站恶臭：现有项目污水处理站厌氧分解产生NH</w:t>
            </w:r>
            <w:r>
              <w:rPr>
                <w:rFonts w:hint="eastAsia" w:ascii="Times New Roman" w:hAnsi="Times New Roman" w:eastAsia="宋体" w:cs="Times New Roman"/>
                <w:color w:val="auto"/>
                <w:sz w:val="24"/>
                <w:highlight w:val="none"/>
                <w:vertAlign w:val="subscript"/>
                <w:lang w:val="en-US" w:eastAsia="zh-CN"/>
              </w:rPr>
              <w:t>3</w:t>
            </w:r>
            <w:r>
              <w:rPr>
                <w:rFonts w:hint="eastAsia" w:ascii="Times New Roman" w:hAnsi="Times New Roman" w:eastAsia="宋体" w:cs="Times New Roman"/>
                <w:color w:val="auto"/>
                <w:sz w:val="24"/>
                <w:highlight w:val="none"/>
                <w:lang w:val="en-US" w:eastAsia="zh-CN"/>
              </w:rPr>
              <w:t>、H</w:t>
            </w:r>
            <w:r>
              <w:rPr>
                <w:rFonts w:hint="eastAsia" w:ascii="Times New Roman" w:hAnsi="Times New Roman" w:eastAsia="宋体" w:cs="Times New Roman"/>
                <w:color w:val="auto"/>
                <w:sz w:val="24"/>
                <w:highlight w:val="none"/>
                <w:vertAlign w:val="subscript"/>
                <w:lang w:val="en-US" w:eastAsia="zh-CN"/>
              </w:rPr>
              <w:t>2</w:t>
            </w:r>
            <w:r>
              <w:rPr>
                <w:rFonts w:hint="eastAsia" w:ascii="Times New Roman" w:hAnsi="Times New Roman" w:eastAsia="宋体" w:cs="Times New Roman"/>
                <w:color w:val="auto"/>
                <w:sz w:val="24"/>
                <w:highlight w:val="none"/>
                <w:lang w:val="en-US" w:eastAsia="zh-CN"/>
              </w:rPr>
              <w:t>S、臭气浓度等恶臭气体，污水处理站加盖板密闭，盖板上预留进、出气口，并在周围种植绿化带，通过植物的吸附和阻隔，降低恶臭影响。</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11）食堂油烟：经油烟净化器处理后通过15m的排气筒</w:t>
            </w:r>
            <w:r>
              <w:rPr>
                <w:rFonts w:hint="eastAsia" w:hAnsi="宋体"/>
                <w:bCs/>
                <w:color w:val="auto"/>
                <w:sz w:val="24"/>
                <w:highlight w:val="none"/>
              </w:rPr>
              <w:t>（排气筒编号DA00</w:t>
            </w:r>
            <w:r>
              <w:rPr>
                <w:rFonts w:hint="eastAsia" w:hAnsi="宋体"/>
                <w:bCs/>
                <w:color w:val="auto"/>
                <w:sz w:val="24"/>
                <w:highlight w:val="none"/>
                <w:lang w:val="en-US" w:eastAsia="zh-CN"/>
              </w:rPr>
              <w:t>2</w:t>
            </w:r>
            <w:r>
              <w:rPr>
                <w:rFonts w:hint="eastAsia" w:hAnsi="宋体"/>
                <w:bCs/>
                <w:color w:val="auto"/>
                <w:sz w:val="24"/>
                <w:highlight w:val="none"/>
              </w:rPr>
              <w:t>）</w:t>
            </w:r>
            <w:r>
              <w:rPr>
                <w:rFonts w:hint="eastAsia" w:ascii="Times New Roman" w:hAnsi="Times New Roman" w:eastAsia="宋体" w:cs="Times New Roman"/>
                <w:color w:val="auto"/>
                <w:sz w:val="24"/>
                <w:highlight w:val="none"/>
                <w:lang w:val="en-US" w:eastAsia="zh-CN"/>
              </w:rPr>
              <w:t>通往楼顶排放。</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12）化验室挥发性废气：现有项目设有化验室，涉及的实验药品有</w:t>
            </w:r>
            <w:r>
              <w:rPr>
                <w:rFonts w:hint="eastAsia" w:ascii="宋体" w:hAnsi="宋体"/>
                <w:color w:val="auto"/>
                <w:sz w:val="24"/>
                <w:szCs w:val="24"/>
                <w:highlight w:val="none"/>
              </w:rPr>
              <w:t>硫酸、盐酸、酚酞、硼酸、甲基红等，</w:t>
            </w:r>
            <w:r>
              <w:rPr>
                <w:rFonts w:hint="eastAsia" w:ascii="宋体" w:hAnsi="宋体"/>
                <w:color w:val="auto"/>
                <w:sz w:val="24"/>
                <w:szCs w:val="24"/>
                <w:highlight w:val="none"/>
                <w:lang w:val="en-US" w:eastAsia="zh-CN"/>
              </w:rPr>
              <w:t>部分具有挥发性。现有项目化验药品</w:t>
            </w:r>
            <w:r>
              <w:rPr>
                <w:rFonts w:hint="eastAsia"/>
                <w:b w:val="0"/>
                <w:bCs w:val="0"/>
                <w:color w:val="auto"/>
                <w:kern w:val="0"/>
                <w:sz w:val="24"/>
                <w:highlight w:val="none"/>
                <w:lang w:val="en-US" w:eastAsia="zh-CN"/>
              </w:rPr>
              <w:t>使用量较小，</w:t>
            </w:r>
            <w:r>
              <w:rPr>
                <w:rFonts w:hint="eastAsia" w:ascii="宋体" w:hAnsi="宋体"/>
                <w:color w:val="auto"/>
                <w:sz w:val="24"/>
                <w:szCs w:val="24"/>
                <w:highlight w:val="none"/>
                <w:lang w:val="en-US" w:eastAsia="zh-CN"/>
              </w:rPr>
              <w:t>化验室废气产生量较小，无组织排放，</w:t>
            </w:r>
            <w:r>
              <w:rPr>
                <w:rFonts w:hint="eastAsia" w:ascii="Times New Roman" w:hAnsi="Times New Roman" w:eastAsia="宋体" w:cs="Times New Roman"/>
                <w:color w:val="auto"/>
                <w:sz w:val="24"/>
                <w:highlight w:val="none"/>
                <w:lang w:val="en-US" w:eastAsia="zh-CN"/>
              </w:rPr>
              <w:t>经机械抽风排出。</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0"/>
              <w:gridCol w:w="4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8" w:hRule="atLeast"/>
              </w:trPr>
              <w:tc>
                <w:tcPr>
                  <w:tcW w:w="25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Cs w:val="21"/>
                      <w:highlight w:val="none"/>
                      <w:shd w:val="clear" w:color="auto" w:fill="FFFFFF"/>
                    </w:rPr>
                  </w:pPr>
                  <w:r>
                    <w:rPr>
                      <w:color w:val="auto"/>
                      <w:highlight w:val="none"/>
                    </w:rPr>
                    <w:drawing>
                      <wp:inline distT="0" distB="0" distL="114300" distR="114300">
                        <wp:extent cx="2453640" cy="3313430"/>
                        <wp:effectExtent l="0" t="0" r="3810" b="1270"/>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pic:cNvPicPr>
                                  <a:picLocks noChangeAspect="1"/>
                                </pic:cNvPicPr>
                              </pic:nvPicPr>
                              <pic:blipFill>
                                <a:blip r:embed="rId26"/>
                                <a:stretch>
                                  <a:fillRect/>
                                </a:stretch>
                              </pic:blipFill>
                              <pic:spPr>
                                <a:xfrm>
                                  <a:off x="0" y="0"/>
                                  <a:ext cx="2453640" cy="3313430"/>
                                </a:xfrm>
                                <a:prstGeom prst="rect">
                                  <a:avLst/>
                                </a:prstGeom>
                                <a:noFill/>
                                <a:ln>
                                  <a:noFill/>
                                </a:ln>
                              </pic:spPr>
                            </pic:pic>
                          </a:graphicData>
                        </a:graphic>
                      </wp:inline>
                    </w:drawing>
                  </w:r>
                </w:p>
              </w:tc>
              <w:tc>
                <w:tcPr>
                  <w:tcW w:w="25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Cs w:val="21"/>
                      <w:highlight w:val="none"/>
                      <w:shd w:val="clear" w:color="auto" w:fill="FFFFFF"/>
                      <w:lang w:eastAsia="zh-CN"/>
                    </w:rPr>
                  </w:pPr>
                  <w:r>
                    <w:rPr>
                      <w:rFonts w:hint="eastAsia" w:ascii="Times New Roman" w:hAnsi="Times New Roman" w:eastAsia="宋体" w:cs="Times New Roman"/>
                      <w:bCs/>
                      <w:color w:val="auto"/>
                      <w:szCs w:val="21"/>
                      <w:highlight w:val="none"/>
                      <w:shd w:val="clear" w:color="auto" w:fill="FFFFFF"/>
                      <w:lang w:eastAsia="zh-CN"/>
                    </w:rPr>
                    <w:drawing>
                      <wp:inline distT="0" distB="0" distL="114300" distR="114300">
                        <wp:extent cx="2530475" cy="3374390"/>
                        <wp:effectExtent l="0" t="0" r="3175" b="16510"/>
                        <wp:docPr id="7" name="图片 30" descr="lADPJw1WWmjhSHzNA-DNAug_744_992.jp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0" descr="lADPJw1WWmjhSHzNA-DNAug_744_992.jpg_720x720q90g"/>
                                <pic:cNvPicPr>
                                  <a:picLocks noChangeAspect="1"/>
                                </pic:cNvPicPr>
                              </pic:nvPicPr>
                              <pic:blipFill>
                                <a:blip r:embed="rId27"/>
                                <a:stretch>
                                  <a:fillRect/>
                                </a:stretch>
                              </pic:blipFill>
                              <pic:spPr>
                                <a:xfrm>
                                  <a:off x="0" y="0"/>
                                  <a:ext cx="2530475" cy="33743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5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21"/>
                      <w:highlight w:val="none"/>
                      <w:shd w:val="clear" w:color="auto" w:fill="FFFFFF"/>
                      <w:lang w:val="en-US" w:eastAsia="zh-CN"/>
                    </w:rPr>
                  </w:pPr>
                  <w:r>
                    <w:rPr>
                      <w:rFonts w:hint="eastAsia" w:ascii="Times New Roman" w:hAnsi="Times New Roman" w:eastAsia="宋体" w:cs="Times New Roman"/>
                      <w:bCs/>
                      <w:color w:val="auto"/>
                      <w:szCs w:val="21"/>
                      <w:highlight w:val="none"/>
                      <w:shd w:val="clear" w:color="auto" w:fill="FFFFFF"/>
                      <w:lang w:val="en-US" w:eastAsia="zh-CN"/>
                    </w:rPr>
                    <w:t>食堂油烟排气筒</w:t>
                  </w:r>
                </w:p>
              </w:tc>
              <w:tc>
                <w:tcPr>
                  <w:tcW w:w="25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21"/>
                      <w:highlight w:val="none"/>
                      <w:shd w:val="clear" w:color="auto" w:fill="FFFFFF"/>
                      <w:lang w:val="en-US" w:eastAsia="zh-CN"/>
                    </w:rPr>
                  </w:pPr>
                  <w:r>
                    <w:rPr>
                      <w:rFonts w:hint="eastAsia" w:ascii="Times New Roman" w:hAnsi="Times New Roman" w:eastAsia="宋体" w:cs="Times New Roman"/>
                      <w:bCs/>
                      <w:color w:val="auto"/>
                      <w:szCs w:val="21"/>
                      <w:highlight w:val="none"/>
                      <w:shd w:val="clear" w:color="auto" w:fill="FFFFFF"/>
                      <w:lang w:val="en-US" w:eastAsia="zh-CN"/>
                    </w:rPr>
                    <w:t>锅炉排气筒</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auto"/>
                <w:sz w:val="24"/>
                <w:highlight w:val="none"/>
              </w:rPr>
            </w:pPr>
            <w:r>
              <w:rPr>
                <w:rFonts w:hint="eastAsia" w:eastAsia="宋体"/>
                <w:b/>
                <w:bCs w:val="0"/>
                <w:color w:val="auto"/>
                <w:szCs w:val="21"/>
                <w:highlight w:val="none"/>
                <w:shd w:val="clear" w:color="auto" w:fill="FFFFFF"/>
                <w:lang w:val="en-US" w:eastAsia="zh-CN"/>
              </w:rPr>
              <w:t>图2-7  废气相关</w:t>
            </w:r>
            <w:r>
              <w:rPr>
                <w:rFonts w:hint="eastAsia" w:eastAsia="宋体"/>
                <w:b/>
                <w:bCs w:val="0"/>
                <w:color w:val="auto"/>
                <w:szCs w:val="21"/>
                <w:highlight w:val="none"/>
                <w:shd w:val="clear" w:color="auto" w:fill="FFFFFF"/>
              </w:rPr>
              <w:t>现场照片</w:t>
            </w:r>
          </w:p>
          <w:p>
            <w:pPr>
              <w:adjustRightInd w:val="0"/>
              <w:snapToGrid w:val="0"/>
              <w:spacing w:line="360" w:lineRule="auto"/>
              <w:ind w:firstLine="482" w:firstLineChars="200"/>
              <w:rPr>
                <w:b/>
                <w:color w:val="auto"/>
                <w:sz w:val="24"/>
                <w:highlight w:val="none"/>
              </w:rPr>
            </w:pPr>
            <w:r>
              <w:rPr>
                <w:rFonts w:hint="eastAsia"/>
                <w:b/>
                <w:color w:val="auto"/>
                <w:sz w:val="24"/>
                <w:highlight w:val="none"/>
              </w:rPr>
              <w:t>②废气达标性分析</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根据</w:t>
            </w:r>
            <w:r>
              <w:rPr>
                <w:rFonts w:hint="eastAsia" w:ascii="宋体" w:hAnsi="宋体"/>
                <w:color w:val="auto"/>
                <w:sz w:val="24"/>
                <w:szCs w:val="24"/>
                <w:highlight w:val="none"/>
                <w:lang w:val="en-US" w:eastAsia="zh-CN"/>
              </w:rPr>
              <w:t>四川省胡婆婆食品有限责任</w:t>
            </w:r>
            <w:r>
              <w:rPr>
                <w:rFonts w:hint="eastAsia" w:ascii="Times New Roman" w:hAnsi="Times New Roman" w:eastAsia="宋体" w:cs="Times New Roman"/>
                <w:b w:val="0"/>
                <w:bCs/>
                <w:color w:val="auto"/>
                <w:sz w:val="24"/>
                <w:highlight w:val="none"/>
                <w:lang w:val="en-US" w:eastAsia="zh-CN"/>
              </w:rPr>
              <w:t>公司例行监测报告，现有项目废气监测结果如下。</w:t>
            </w:r>
          </w:p>
          <w:p>
            <w:pPr>
              <w:pStyle w:val="41"/>
              <w:bidi w:val="0"/>
              <w:rPr>
                <w:rFonts w:hint="default"/>
                <w:b/>
                <w:bCs/>
                <w:color w:val="auto"/>
                <w:kern w:val="0"/>
                <w:szCs w:val="21"/>
                <w:highlight w:val="none"/>
                <w:lang w:val="en-US" w:eastAsia="zh-CN"/>
              </w:rPr>
            </w:pPr>
            <w:r>
              <w:rPr>
                <w:rFonts w:hint="eastAsia"/>
                <w:color w:val="auto"/>
                <w:highlight w:val="none"/>
              </w:rPr>
              <w:t>表</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13</w:t>
            </w:r>
            <w:r>
              <w:rPr>
                <w:rFonts w:hint="eastAsia"/>
                <w:color w:val="auto"/>
                <w:highlight w:val="none"/>
              </w:rPr>
              <w:t xml:space="preserve">  </w:t>
            </w:r>
            <w:r>
              <w:rPr>
                <w:rFonts w:hint="eastAsia"/>
                <w:color w:val="auto"/>
                <w:highlight w:val="none"/>
                <w:lang w:val="en-US" w:eastAsia="zh-CN"/>
              </w:rPr>
              <w:t>锅炉</w:t>
            </w:r>
            <w:r>
              <w:rPr>
                <w:rFonts w:hint="eastAsia"/>
                <w:b/>
                <w:bCs/>
                <w:color w:val="auto"/>
                <w:kern w:val="0"/>
                <w:szCs w:val="21"/>
                <w:highlight w:val="none"/>
                <w:lang w:val="en-US" w:eastAsia="zh-CN"/>
              </w:rPr>
              <w:t>废气监测结果表1</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426"/>
              <w:gridCol w:w="446"/>
              <w:gridCol w:w="779"/>
              <w:gridCol w:w="1004"/>
              <w:gridCol w:w="1004"/>
              <w:gridCol w:w="1005"/>
              <w:gridCol w:w="1004"/>
              <w:gridCol w:w="925"/>
              <w:gridCol w:w="531"/>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点位编号</w:t>
                  </w:r>
                </w:p>
              </w:tc>
              <w:tc>
                <w:tcPr>
                  <w:tcW w:w="427" w:type="dxa"/>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点位名称</w:t>
                  </w:r>
                </w:p>
              </w:tc>
              <w:tc>
                <w:tcPr>
                  <w:tcW w:w="1170" w:type="dxa"/>
                  <w:gridSpan w:val="2"/>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检测项目</w:t>
                  </w:r>
                </w:p>
              </w:tc>
              <w:tc>
                <w:tcPr>
                  <w:tcW w:w="840" w:type="dxa"/>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单位</w:t>
                  </w:r>
                </w:p>
              </w:tc>
              <w:tc>
                <w:tcPr>
                  <w:tcW w:w="4586" w:type="dxa"/>
                  <w:gridSpan w:val="5"/>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检测结果</w:t>
                  </w:r>
                </w:p>
              </w:tc>
              <w:tc>
                <w:tcPr>
                  <w:tcW w:w="531" w:type="dxa"/>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标准限值</w:t>
                  </w:r>
                </w:p>
              </w:tc>
              <w:tc>
                <w:tcPr>
                  <w:tcW w:w="427" w:type="dxa"/>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1170" w:type="dxa"/>
                  <w:gridSpan w:val="2"/>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840" w:type="dxa"/>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4586" w:type="dxa"/>
                  <w:gridSpan w:val="5"/>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2022.05.26</w:t>
                  </w:r>
                </w:p>
              </w:tc>
              <w:tc>
                <w:tcPr>
                  <w:tcW w:w="531"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1170" w:type="dxa"/>
                  <w:gridSpan w:val="2"/>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840" w:type="dxa"/>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915"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第一次</w:t>
                  </w:r>
                </w:p>
              </w:tc>
              <w:tc>
                <w:tcPr>
                  <w:tcW w:w="1005"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第二次</w:t>
                  </w:r>
                </w:p>
              </w:tc>
              <w:tc>
                <w:tcPr>
                  <w:tcW w:w="1020"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第三次</w:t>
                  </w:r>
                </w:p>
              </w:tc>
              <w:tc>
                <w:tcPr>
                  <w:tcW w:w="750"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均值</w:t>
                  </w:r>
                </w:p>
              </w:tc>
              <w:tc>
                <w:tcPr>
                  <w:tcW w:w="896"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最大值</w:t>
                  </w:r>
                </w:p>
              </w:tc>
              <w:tc>
                <w:tcPr>
                  <w:tcW w:w="531"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427"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锅炉废气排放口</w:t>
                  </w:r>
                </w:p>
              </w:tc>
              <w:tc>
                <w:tcPr>
                  <w:tcW w:w="1170" w:type="dxa"/>
                  <w:gridSpan w:val="2"/>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排气筒高度</w:t>
                  </w:r>
                </w:p>
              </w:tc>
              <w:tc>
                <w:tcPr>
                  <w:tcW w:w="84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m</w:t>
                  </w:r>
                </w:p>
              </w:tc>
              <w:tc>
                <w:tcPr>
                  <w:tcW w:w="4586" w:type="dxa"/>
                  <w:gridSpan w:val="5"/>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w:t>
                  </w:r>
                </w:p>
              </w:tc>
              <w:tc>
                <w:tcPr>
                  <w:tcW w:w="53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42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74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含氧量</w:t>
                  </w:r>
                </w:p>
              </w:tc>
              <w:tc>
                <w:tcPr>
                  <w:tcW w:w="84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91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12.3</w:t>
                  </w:r>
                </w:p>
              </w:tc>
              <w:tc>
                <w:tcPr>
                  <w:tcW w:w="100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12.3</w:t>
                  </w:r>
                </w:p>
              </w:tc>
              <w:tc>
                <w:tcPr>
                  <w:tcW w:w="102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12.6</w:t>
                  </w:r>
                </w:p>
              </w:tc>
              <w:tc>
                <w:tcPr>
                  <w:tcW w:w="7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12.4</w:t>
                  </w:r>
                </w:p>
              </w:tc>
              <w:tc>
                <w:tcPr>
                  <w:tcW w:w="89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53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42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74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实测浓度</w:t>
                  </w:r>
                </w:p>
              </w:tc>
              <w:tc>
                <w:tcPr>
                  <w:tcW w:w="840" w:type="dxa"/>
                  <w:noWrap w:val="0"/>
                  <w:vAlign w:val="center"/>
                </w:tcPr>
                <w:p>
                  <w:pPr>
                    <w:adjustRightInd w:val="0"/>
                    <w:snapToGrid w:val="0"/>
                    <w:jc w:val="center"/>
                    <w:rPr>
                      <w:rFonts w:hint="default" w:ascii="Times New Roman" w:hAnsi="Times New Roman" w:eastAsia="宋体" w:cs="Times New Roman"/>
                      <w:color w:val="auto"/>
                      <w:szCs w:val="21"/>
                      <w:highlight w:val="none"/>
                      <w:vertAlign w:val="superscript"/>
                      <w:lang w:val="en-US" w:eastAsia="zh-CN"/>
                    </w:rPr>
                  </w:pPr>
                  <w:r>
                    <w:rPr>
                      <w:rFonts w:hint="eastAsia" w:ascii="Times New Roman" w:hAnsi="Times New Roman" w:eastAsia="宋体" w:cs="Times New Roman"/>
                      <w:color w:val="auto"/>
                      <w:szCs w:val="21"/>
                      <w:highlight w:val="none"/>
                      <w:lang w:val="en-US" w:eastAsia="zh-CN"/>
                    </w:rPr>
                    <w:t>mg/m</w:t>
                  </w:r>
                  <w:r>
                    <w:rPr>
                      <w:rFonts w:hint="eastAsia" w:ascii="Times New Roman" w:hAnsi="Times New Roman" w:eastAsia="宋体" w:cs="Times New Roman"/>
                      <w:color w:val="auto"/>
                      <w:szCs w:val="21"/>
                      <w:highlight w:val="none"/>
                      <w:vertAlign w:val="superscript"/>
                      <w:lang w:val="en-US" w:eastAsia="zh-CN"/>
                    </w:rPr>
                    <w:t>3</w:t>
                  </w:r>
                </w:p>
              </w:tc>
              <w:tc>
                <w:tcPr>
                  <w:tcW w:w="915" w:type="dxa"/>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&lt;20</w:t>
                  </w:r>
                </w:p>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（5.46）</w:t>
                  </w:r>
                </w:p>
              </w:tc>
              <w:tc>
                <w:tcPr>
                  <w:tcW w:w="1005" w:type="dxa"/>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&lt;20</w:t>
                  </w:r>
                </w:p>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（6.04）</w:t>
                  </w:r>
                </w:p>
              </w:tc>
              <w:tc>
                <w:tcPr>
                  <w:tcW w:w="1020" w:type="dxa"/>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&lt;20</w:t>
                  </w:r>
                </w:p>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（5.75）</w:t>
                  </w:r>
                </w:p>
              </w:tc>
              <w:tc>
                <w:tcPr>
                  <w:tcW w:w="750" w:type="dxa"/>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&lt;20</w:t>
                  </w:r>
                </w:p>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（5.75）</w:t>
                  </w:r>
                </w:p>
              </w:tc>
              <w:tc>
                <w:tcPr>
                  <w:tcW w:w="89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53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42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74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排放浓度</w:t>
                  </w:r>
                </w:p>
              </w:tc>
              <w:tc>
                <w:tcPr>
                  <w:tcW w:w="84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vertAlign w:val="superscript"/>
                      <w:lang w:val="en-US" w:eastAsia="zh-CN" w:bidi="ar-SA"/>
                    </w:rPr>
                  </w:pPr>
                  <w:r>
                    <w:rPr>
                      <w:rFonts w:hint="eastAsia" w:ascii="Times New Roman" w:hAnsi="Times New Roman" w:eastAsia="宋体" w:cs="Times New Roman"/>
                      <w:color w:val="auto"/>
                      <w:szCs w:val="21"/>
                      <w:highlight w:val="none"/>
                      <w:lang w:val="en-US" w:eastAsia="zh-CN"/>
                    </w:rPr>
                    <w:t>mg/m</w:t>
                  </w:r>
                  <w:r>
                    <w:rPr>
                      <w:rFonts w:hint="eastAsia" w:ascii="Times New Roman" w:hAnsi="Times New Roman" w:eastAsia="宋体" w:cs="Times New Roman"/>
                      <w:color w:val="auto"/>
                      <w:szCs w:val="21"/>
                      <w:highlight w:val="none"/>
                      <w:vertAlign w:val="superscript"/>
                      <w:lang w:val="en-US" w:eastAsia="zh-CN"/>
                    </w:rPr>
                    <w:t>3</w:t>
                  </w:r>
                </w:p>
              </w:tc>
              <w:tc>
                <w:tcPr>
                  <w:tcW w:w="91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11.0</w:t>
                  </w:r>
                </w:p>
              </w:tc>
              <w:tc>
                <w:tcPr>
                  <w:tcW w:w="100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12.1</w:t>
                  </w:r>
                </w:p>
              </w:tc>
              <w:tc>
                <w:tcPr>
                  <w:tcW w:w="102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12.0</w:t>
                  </w:r>
                </w:p>
              </w:tc>
              <w:tc>
                <w:tcPr>
                  <w:tcW w:w="7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11.7</w:t>
                  </w:r>
                </w:p>
              </w:tc>
              <w:tc>
                <w:tcPr>
                  <w:tcW w:w="89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53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p>
              </w:tc>
              <w:tc>
                <w:tcPr>
                  <w:tcW w:w="42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74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排放速率</w:t>
                  </w:r>
                </w:p>
              </w:tc>
              <w:tc>
                <w:tcPr>
                  <w:tcW w:w="84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kg/h</w:t>
                  </w:r>
                </w:p>
              </w:tc>
              <w:tc>
                <w:tcPr>
                  <w:tcW w:w="915" w:type="dxa"/>
                  <w:noWrap w:val="0"/>
                  <w:vAlign w:val="center"/>
                </w:tcPr>
                <w:p>
                  <w:pPr>
                    <w:adjustRightInd w:val="0"/>
                    <w:snapToGrid w:val="0"/>
                    <w:jc w:val="center"/>
                    <w:rPr>
                      <w:rFonts w:hint="default" w:ascii="Times New Roman" w:hAnsi="Times New Roman" w:eastAsia="宋体" w:cs="Times New Roman"/>
                      <w:color w:val="auto"/>
                      <w:szCs w:val="21"/>
                      <w:highlight w:val="none"/>
                      <w:vertAlign w:val="superscript"/>
                      <w:lang w:val="en-US" w:eastAsia="zh-CN"/>
                    </w:rPr>
                  </w:pPr>
                  <w:r>
                    <w:rPr>
                      <w:rFonts w:hint="eastAsia" w:ascii="Times New Roman" w:hAnsi="Times New Roman" w:eastAsia="宋体" w:cs="Times New Roman"/>
                      <w:color w:val="auto"/>
                      <w:szCs w:val="21"/>
                      <w:highlight w:val="none"/>
                      <w:lang w:val="en-US" w:eastAsia="zh-CN"/>
                    </w:rPr>
                    <w:t>2.2</w:t>
                  </w:r>
                  <w:r>
                    <w:rPr>
                      <w:rFonts w:hint="default" w:ascii="Arial" w:hAnsi="Arial" w:eastAsia="宋体" w:cs="Arial"/>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10</w:t>
                  </w:r>
                  <w:r>
                    <w:rPr>
                      <w:rFonts w:hint="eastAsia" w:ascii="Times New Roman" w:hAnsi="Times New Roman" w:eastAsia="宋体" w:cs="Times New Roman"/>
                      <w:color w:val="auto"/>
                      <w:szCs w:val="21"/>
                      <w:highlight w:val="none"/>
                      <w:vertAlign w:val="superscript"/>
                      <w:lang w:val="en-US" w:eastAsia="zh-CN"/>
                    </w:rPr>
                    <w:t>-2</w:t>
                  </w:r>
                </w:p>
              </w:tc>
              <w:tc>
                <w:tcPr>
                  <w:tcW w:w="100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2.3</w:t>
                  </w:r>
                  <w:r>
                    <w:rPr>
                      <w:rFonts w:hint="default" w:ascii="Arial" w:hAnsi="Arial" w:eastAsia="宋体" w:cs="Arial"/>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10</w:t>
                  </w:r>
                  <w:r>
                    <w:rPr>
                      <w:rFonts w:hint="eastAsia" w:ascii="Times New Roman" w:hAnsi="Times New Roman" w:eastAsia="宋体" w:cs="Times New Roman"/>
                      <w:color w:val="auto"/>
                      <w:szCs w:val="21"/>
                      <w:highlight w:val="none"/>
                      <w:vertAlign w:val="superscript"/>
                      <w:lang w:val="en-US" w:eastAsia="zh-CN"/>
                    </w:rPr>
                    <w:t>-2</w:t>
                  </w:r>
                </w:p>
              </w:tc>
              <w:tc>
                <w:tcPr>
                  <w:tcW w:w="102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2.3</w:t>
                  </w:r>
                  <w:r>
                    <w:rPr>
                      <w:rFonts w:hint="default" w:ascii="Arial" w:hAnsi="Arial" w:eastAsia="宋体" w:cs="Arial"/>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10</w:t>
                  </w:r>
                  <w:r>
                    <w:rPr>
                      <w:rFonts w:hint="eastAsia" w:ascii="Times New Roman" w:hAnsi="Times New Roman" w:eastAsia="宋体" w:cs="Times New Roman"/>
                      <w:color w:val="auto"/>
                      <w:szCs w:val="21"/>
                      <w:highlight w:val="none"/>
                      <w:vertAlign w:val="superscript"/>
                      <w:lang w:val="en-US" w:eastAsia="zh-CN"/>
                    </w:rPr>
                    <w:t>-2</w:t>
                  </w:r>
                </w:p>
              </w:tc>
              <w:tc>
                <w:tcPr>
                  <w:tcW w:w="7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89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2.3</w:t>
                  </w:r>
                  <w:r>
                    <w:rPr>
                      <w:rFonts w:hint="default" w:ascii="Arial" w:hAnsi="Arial" w:eastAsia="宋体" w:cs="Arial"/>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10</w:t>
                  </w:r>
                  <w:r>
                    <w:rPr>
                      <w:rFonts w:hint="eastAsia" w:ascii="Times New Roman" w:hAnsi="Times New Roman" w:eastAsia="宋体" w:cs="Times New Roman"/>
                      <w:color w:val="auto"/>
                      <w:szCs w:val="21"/>
                      <w:highlight w:val="none"/>
                      <w:vertAlign w:val="superscript"/>
                      <w:lang w:val="en-US" w:eastAsia="zh-CN"/>
                    </w:rPr>
                    <w:t>-2</w:t>
                  </w:r>
                </w:p>
              </w:tc>
              <w:tc>
                <w:tcPr>
                  <w:tcW w:w="53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42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74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标干流量</w:t>
                  </w:r>
                </w:p>
              </w:tc>
              <w:tc>
                <w:tcPr>
                  <w:tcW w:w="840" w:type="dxa"/>
                  <w:noWrap w:val="0"/>
                  <w:vAlign w:val="center"/>
                </w:tcPr>
                <w:p>
                  <w:pPr>
                    <w:adjustRightInd w:val="0"/>
                    <w:snapToGrid w:val="0"/>
                    <w:jc w:val="center"/>
                    <w:rPr>
                      <w:rFonts w:hint="default" w:ascii="Times New Roman" w:hAnsi="Times New Roman" w:eastAsia="宋体" w:cs="Times New Roman"/>
                      <w:color w:val="auto"/>
                      <w:szCs w:val="21"/>
                      <w:highlight w:val="none"/>
                      <w:vertAlign w:val="baseline"/>
                      <w:lang w:val="en-US" w:eastAsia="zh-CN"/>
                    </w:rPr>
                  </w:pPr>
                  <w:r>
                    <w:rPr>
                      <w:rFonts w:hint="eastAsia" w:ascii="Times New Roman" w:hAnsi="Times New Roman" w:eastAsia="宋体" w:cs="Times New Roman"/>
                      <w:color w:val="auto"/>
                      <w:szCs w:val="21"/>
                      <w:highlight w:val="none"/>
                      <w:lang w:val="en-US" w:eastAsia="zh-CN"/>
                    </w:rPr>
                    <w:t>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vertAlign w:val="baseline"/>
                      <w:lang w:val="en-US" w:eastAsia="zh-CN"/>
                    </w:rPr>
                    <w:t>/h</w:t>
                  </w:r>
                </w:p>
              </w:tc>
              <w:tc>
                <w:tcPr>
                  <w:tcW w:w="91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4047</w:t>
                  </w:r>
                </w:p>
              </w:tc>
              <w:tc>
                <w:tcPr>
                  <w:tcW w:w="100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3889</w:t>
                  </w:r>
                </w:p>
              </w:tc>
              <w:tc>
                <w:tcPr>
                  <w:tcW w:w="102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3999</w:t>
                  </w:r>
                </w:p>
              </w:tc>
              <w:tc>
                <w:tcPr>
                  <w:tcW w:w="7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89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53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42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restar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氮氧化物</w:t>
                  </w:r>
                </w:p>
              </w:tc>
              <w:tc>
                <w:tcPr>
                  <w:tcW w:w="743"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含氧量</w:t>
                  </w:r>
                </w:p>
              </w:tc>
              <w:tc>
                <w:tcPr>
                  <w:tcW w:w="84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c>
                <w:tcPr>
                  <w:tcW w:w="91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12.3</w:t>
                  </w:r>
                </w:p>
              </w:tc>
              <w:tc>
                <w:tcPr>
                  <w:tcW w:w="100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12.3</w:t>
                  </w:r>
                </w:p>
              </w:tc>
              <w:tc>
                <w:tcPr>
                  <w:tcW w:w="102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12.6</w:t>
                  </w:r>
                </w:p>
              </w:tc>
              <w:tc>
                <w:tcPr>
                  <w:tcW w:w="7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12.4</w:t>
                  </w:r>
                </w:p>
              </w:tc>
              <w:tc>
                <w:tcPr>
                  <w:tcW w:w="89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53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42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743"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实测浓度</w:t>
                  </w:r>
                </w:p>
              </w:tc>
              <w:tc>
                <w:tcPr>
                  <w:tcW w:w="84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vertAlign w:val="superscript"/>
                      <w:lang w:val="en-US" w:eastAsia="zh-CN" w:bidi="ar-SA"/>
                    </w:rPr>
                  </w:pPr>
                  <w:r>
                    <w:rPr>
                      <w:rFonts w:hint="eastAsia" w:ascii="Times New Roman" w:hAnsi="Times New Roman" w:eastAsia="宋体" w:cs="Times New Roman"/>
                      <w:color w:val="auto"/>
                      <w:szCs w:val="21"/>
                      <w:highlight w:val="none"/>
                      <w:lang w:val="en-US" w:eastAsia="zh-CN"/>
                    </w:rPr>
                    <w:t>mg/m</w:t>
                  </w:r>
                  <w:r>
                    <w:rPr>
                      <w:rFonts w:hint="eastAsia" w:ascii="Times New Roman" w:hAnsi="Times New Roman" w:eastAsia="宋体" w:cs="Times New Roman"/>
                      <w:color w:val="auto"/>
                      <w:szCs w:val="21"/>
                      <w:highlight w:val="none"/>
                      <w:vertAlign w:val="superscript"/>
                      <w:lang w:val="en-US" w:eastAsia="zh-CN"/>
                    </w:rPr>
                    <w:t>3</w:t>
                  </w:r>
                </w:p>
              </w:tc>
              <w:tc>
                <w:tcPr>
                  <w:tcW w:w="91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33.4</w:t>
                  </w:r>
                </w:p>
              </w:tc>
              <w:tc>
                <w:tcPr>
                  <w:tcW w:w="100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33.9</w:t>
                  </w:r>
                </w:p>
              </w:tc>
              <w:tc>
                <w:tcPr>
                  <w:tcW w:w="102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38.9</w:t>
                  </w:r>
                </w:p>
              </w:tc>
              <w:tc>
                <w:tcPr>
                  <w:tcW w:w="7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35.4</w:t>
                  </w:r>
                </w:p>
              </w:tc>
              <w:tc>
                <w:tcPr>
                  <w:tcW w:w="89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53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42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743"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排放浓度</w:t>
                  </w:r>
                </w:p>
              </w:tc>
              <w:tc>
                <w:tcPr>
                  <w:tcW w:w="84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vertAlign w:val="superscript"/>
                      <w:lang w:val="en-US" w:eastAsia="zh-CN" w:bidi="ar-SA"/>
                    </w:rPr>
                  </w:pPr>
                  <w:r>
                    <w:rPr>
                      <w:rFonts w:hint="eastAsia" w:ascii="Times New Roman" w:hAnsi="Times New Roman" w:eastAsia="宋体" w:cs="Times New Roman"/>
                      <w:color w:val="auto"/>
                      <w:szCs w:val="21"/>
                      <w:highlight w:val="none"/>
                      <w:lang w:val="en-US" w:eastAsia="zh-CN"/>
                    </w:rPr>
                    <w:t>mg/m</w:t>
                  </w:r>
                  <w:r>
                    <w:rPr>
                      <w:rFonts w:hint="eastAsia" w:ascii="Times New Roman" w:hAnsi="Times New Roman" w:eastAsia="宋体" w:cs="Times New Roman"/>
                      <w:color w:val="auto"/>
                      <w:szCs w:val="21"/>
                      <w:highlight w:val="none"/>
                      <w:vertAlign w:val="superscript"/>
                      <w:lang w:val="en-US" w:eastAsia="zh-CN"/>
                    </w:rPr>
                    <w:t>3</w:t>
                  </w:r>
                </w:p>
              </w:tc>
              <w:tc>
                <w:tcPr>
                  <w:tcW w:w="91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67</w:t>
                  </w:r>
                </w:p>
              </w:tc>
              <w:tc>
                <w:tcPr>
                  <w:tcW w:w="100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68</w:t>
                  </w:r>
                </w:p>
              </w:tc>
              <w:tc>
                <w:tcPr>
                  <w:tcW w:w="102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81</w:t>
                  </w:r>
                </w:p>
              </w:tc>
              <w:tc>
                <w:tcPr>
                  <w:tcW w:w="7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72</w:t>
                  </w:r>
                </w:p>
              </w:tc>
              <w:tc>
                <w:tcPr>
                  <w:tcW w:w="89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53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200</w:t>
                  </w:r>
                </w:p>
              </w:tc>
              <w:tc>
                <w:tcPr>
                  <w:tcW w:w="42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743"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排放速率</w:t>
                  </w:r>
                </w:p>
              </w:tc>
              <w:tc>
                <w:tcPr>
                  <w:tcW w:w="84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kg/h</w:t>
                  </w:r>
                </w:p>
              </w:tc>
              <w:tc>
                <w:tcPr>
                  <w:tcW w:w="91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0.14</w:t>
                  </w:r>
                </w:p>
              </w:tc>
              <w:tc>
                <w:tcPr>
                  <w:tcW w:w="100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0.13</w:t>
                  </w:r>
                </w:p>
              </w:tc>
              <w:tc>
                <w:tcPr>
                  <w:tcW w:w="102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0.16</w:t>
                  </w:r>
                </w:p>
              </w:tc>
              <w:tc>
                <w:tcPr>
                  <w:tcW w:w="7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89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0.16</w:t>
                  </w:r>
                </w:p>
              </w:tc>
              <w:tc>
                <w:tcPr>
                  <w:tcW w:w="53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42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743"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标干流量</w:t>
                  </w:r>
                </w:p>
              </w:tc>
              <w:tc>
                <w:tcPr>
                  <w:tcW w:w="84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Cs w:val="21"/>
                      <w:highlight w:val="none"/>
                      <w:lang w:val="en-US" w:eastAsia="zh-CN"/>
                    </w:rPr>
                    <w:t>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vertAlign w:val="baseline"/>
                      <w:lang w:val="en-US" w:eastAsia="zh-CN"/>
                    </w:rPr>
                    <w:t>/h</w:t>
                  </w:r>
                </w:p>
              </w:tc>
              <w:tc>
                <w:tcPr>
                  <w:tcW w:w="91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4047</w:t>
                  </w:r>
                </w:p>
              </w:tc>
              <w:tc>
                <w:tcPr>
                  <w:tcW w:w="100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3889</w:t>
                  </w:r>
                </w:p>
              </w:tc>
              <w:tc>
                <w:tcPr>
                  <w:tcW w:w="102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3999</w:t>
                  </w:r>
                </w:p>
              </w:tc>
              <w:tc>
                <w:tcPr>
                  <w:tcW w:w="7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89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53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42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restar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二氧化硫</w:t>
                  </w:r>
                </w:p>
              </w:tc>
              <w:tc>
                <w:tcPr>
                  <w:tcW w:w="743"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含氧量</w:t>
                  </w:r>
                </w:p>
              </w:tc>
              <w:tc>
                <w:tcPr>
                  <w:tcW w:w="84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c>
                <w:tcPr>
                  <w:tcW w:w="915"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12.3</w:t>
                  </w:r>
                </w:p>
              </w:tc>
              <w:tc>
                <w:tcPr>
                  <w:tcW w:w="1005"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12.3</w:t>
                  </w:r>
                </w:p>
              </w:tc>
              <w:tc>
                <w:tcPr>
                  <w:tcW w:w="102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12.6</w:t>
                  </w:r>
                </w:p>
              </w:tc>
              <w:tc>
                <w:tcPr>
                  <w:tcW w:w="75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12.4</w:t>
                  </w:r>
                </w:p>
              </w:tc>
              <w:tc>
                <w:tcPr>
                  <w:tcW w:w="896"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c>
                <w:tcPr>
                  <w:tcW w:w="531"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c>
                <w:tcPr>
                  <w:tcW w:w="427"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743"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实测浓度</w:t>
                  </w:r>
                </w:p>
              </w:tc>
              <w:tc>
                <w:tcPr>
                  <w:tcW w:w="84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vertAlign w:val="superscript"/>
                      <w:lang w:val="en-US" w:eastAsia="zh-CN" w:bidi="ar-SA"/>
                    </w:rPr>
                  </w:pPr>
                  <w:r>
                    <w:rPr>
                      <w:rFonts w:hint="eastAsia" w:ascii="Times New Roman" w:hAnsi="Times New Roman" w:eastAsia="宋体" w:cs="Times New Roman"/>
                      <w:color w:val="auto"/>
                      <w:szCs w:val="21"/>
                      <w:highlight w:val="none"/>
                      <w:lang w:val="en-US" w:eastAsia="zh-CN"/>
                    </w:rPr>
                    <w:t>mg/m</w:t>
                  </w:r>
                  <w:r>
                    <w:rPr>
                      <w:rFonts w:hint="eastAsia" w:ascii="Times New Roman" w:hAnsi="Times New Roman" w:eastAsia="宋体" w:cs="Times New Roman"/>
                      <w:color w:val="auto"/>
                      <w:szCs w:val="21"/>
                      <w:highlight w:val="none"/>
                      <w:vertAlign w:val="superscript"/>
                      <w:lang w:val="en-US" w:eastAsia="zh-CN"/>
                    </w:rPr>
                    <w:t>3</w:t>
                  </w:r>
                </w:p>
              </w:tc>
              <w:tc>
                <w:tcPr>
                  <w:tcW w:w="91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w:t>
                  </w:r>
                </w:p>
              </w:tc>
              <w:tc>
                <w:tcPr>
                  <w:tcW w:w="100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w:t>
                  </w:r>
                </w:p>
              </w:tc>
              <w:tc>
                <w:tcPr>
                  <w:tcW w:w="102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w:t>
                  </w:r>
                </w:p>
              </w:tc>
              <w:tc>
                <w:tcPr>
                  <w:tcW w:w="7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w:t>
                  </w:r>
                </w:p>
              </w:tc>
              <w:tc>
                <w:tcPr>
                  <w:tcW w:w="89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53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42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743"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排放浓度</w:t>
                  </w:r>
                </w:p>
              </w:tc>
              <w:tc>
                <w:tcPr>
                  <w:tcW w:w="84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vertAlign w:val="superscript"/>
                      <w:lang w:val="en-US" w:eastAsia="zh-CN" w:bidi="ar-SA"/>
                    </w:rPr>
                  </w:pPr>
                  <w:r>
                    <w:rPr>
                      <w:rFonts w:hint="eastAsia" w:ascii="Times New Roman" w:hAnsi="Times New Roman" w:eastAsia="宋体" w:cs="Times New Roman"/>
                      <w:color w:val="auto"/>
                      <w:szCs w:val="21"/>
                      <w:highlight w:val="none"/>
                      <w:lang w:val="en-US" w:eastAsia="zh-CN"/>
                    </w:rPr>
                    <w:t>mg/m</w:t>
                  </w:r>
                  <w:r>
                    <w:rPr>
                      <w:rFonts w:hint="eastAsia" w:ascii="Times New Roman" w:hAnsi="Times New Roman" w:eastAsia="宋体" w:cs="Times New Roman"/>
                      <w:color w:val="auto"/>
                      <w:szCs w:val="21"/>
                      <w:highlight w:val="none"/>
                      <w:vertAlign w:val="superscript"/>
                      <w:lang w:val="en-US" w:eastAsia="zh-CN"/>
                    </w:rPr>
                    <w:t>3</w:t>
                  </w:r>
                </w:p>
              </w:tc>
              <w:tc>
                <w:tcPr>
                  <w:tcW w:w="91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w:t>
                  </w:r>
                </w:p>
              </w:tc>
              <w:tc>
                <w:tcPr>
                  <w:tcW w:w="100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w:t>
                  </w:r>
                </w:p>
              </w:tc>
              <w:tc>
                <w:tcPr>
                  <w:tcW w:w="102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15</w:t>
                  </w:r>
                </w:p>
              </w:tc>
              <w:tc>
                <w:tcPr>
                  <w:tcW w:w="75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13</w:t>
                  </w:r>
                </w:p>
              </w:tc>
              <w:tc>
                <w:tcPr>
                  <w:tcW w:w="89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53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42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743"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排放速率</w:t>
                  </w:r>
                </w:p>
              </w:tc>
              <w:tc>
                <w:tcPr>
                  <w:tcW w:w="84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kg/h</w:t>
                  </w:r>
                </w:p>
              </w:tc>
              <w:tc>
                <w:tcPr>
                  <w:tcW w:w="915"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vertAlign w:val="superscript"/>
                      <w:lang w:val="en-US" w:eastAsia="zh-CN" w:bidi="ar-SA"/>
                    </w:rPr>
                  </w:pPr>
                  <w:r>
                    <w:rPr>
                      <w:rFonts w:hint="eastAsia" w:ascii="Times New Roman" w:hAnsi="Times New Roman" w:eastAsia="宋体" w:cs="Times New Roman"/>
                      <w:color w:val="auto"/>
                      <w:szCs w:val="21"/>
                      <w:highlight w:val="none"/>
                      <w:lang w:val="en-US" w:eastAsia="zh-CN"/>
                    </w:rPr>
                    <w:t>2.4</w:t>
                  </w:r>
                  <w:r>
                    <w:rPr>
                      <w:rFonts w:hint="default" w:ascii="Arial" w:hAnsi="Arial" w:eastAsia="宋体" w:cs="Arial"/>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10</w:t>
                  </w:r>
                  <w:r>
                    <w:rPr>
                      <w:rFonts w:hint="eastAsia" w:ascii="Times New Roman" w:hAnsi="Times New Roman" w:eastAsia="宋体" w:cs="Times New Roman"/>
                      <w:color w:val="auto"/>
                      <w:szCs w:val="21"/>
                      <w:highlight w:val="none"/>
                      <w:vertAlign w:val="superscript"/>
                      <w:lang w:val="en-US" w:eastAsia="zh-CN"/>
                    </w:rPr>
                    <w:t>-2</w:t>
                  </w:r>
                </w:p>
              </w:tc>
              <w:tc>
                <w:tcPr>
                  <w:tcW w:w="1005"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2.3</w:t>
                  </w:r>
                  <w:r>
                    <w:rPr>
                      <w:rFonts w:hint="default" w:ascii="Arial" w:hAnsi="Arial" w:eastAsia="宋体" w:cs="Arial"/>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10</w:t>
                  </w:r>
                  <w:r>
                    <w:rPr>
                      <w:rFonts w:hint="eastAsia" w:ascii="Times New Roman" w:hAnsi="Times New Roman" w:eastAsia="宋体" w:cs="Times New Roman"/>
                      <w:color w:val="auto"/>
                      <w:szCs w:val="21"/>
                      <w:highlight w:val="none"/>
                      <w:vertAlign w:val="superscript"/>
                      <w:lang w:val="en-US" w:eastAsia="zh-CN"/>
                    </w:rPr>
                    <w:t>-2</w:t>
                  </w:r>
                </w:p>
              </w:tc>
              <w:tc>
                <w:tcPr>
                  <w:tcW w:w="102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2.8</w:t>
                  </w:r>
                  <w:r>
                    <w:rPr>
                      <w:rFonts w:hint="default" w:ascii="Arial" w:hAnsi="Arial" w:eastAsia="宋体" w:cs="Arial"/>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10</w:t>
                  </w:r>
                  <w:r>
                    <w:rPr>
                      <w:rFonts w:hint="eastAsia" w:ascii="Times New Roman" w:hAnsi="Times New Roman" w:eastAsia="宋体" w:cs="Times New Roman"/>
                      <w:color w:val="auto"/>
                      <w:szCs w:val="21"/>
                      <w:highlight w:val="none"/>
                      <w:vertAlign w:val="superscript"/>
                      <w:lang w:val="en-US" w:eastAsia="zh-CN"/>
                    </w:rPr>
                    <w:t>-2</w:t>
                  </w:r>
                </w:p>
              </w:tc>
              <w:tc>
                <w:tcPr>
                  <w:tcW w:w="75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c>
                <w:tcPr>
                  <w:tcW w:w="896"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2.8</w:t>
                  </w:r>
                  <w:r>
                    <w:rPr>
                      <w:rFonts w:hint="default" w:ascii="Arial" w:hAnsi="Arial" w:eastAsia="宋体" w:cs="Arial"/>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10</w:t>
                  </w:r>
                  <w:r>
                    <w:rPr>
                      <w:rFonts w:hint="eastAsia" w:ascii="Times New Roman" w:hAnsi="Times New Roman" w:eastAsia="宋体" w:cs="Times New Roman"/>
                      <w:color w:val="auto"/>
                      <w:szCs w:val="21"/>
                      <w:highlight w:val="none"/>
                      <w:vertAlign w:val="superscript"/>
                      <w:lang w:val="en-US" w:eastAsia="zh-CN"/>
                    </w:rPr>
                    <w:t>-2</w:t>
                  </w:r>
                </w:p>
              </w:tc>
              <w:tc>
                <w:tcPr>
                  <w:tcW w:w="531"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c>
                <w:tcPr>
                  <w:tcW w:w="427"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743"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标干流量</w:t>
                  </w:r>
                </w:p>
              </w:tc>
              <w:tc>
                <w:tcPr>
                  <w:tcW w:w="84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Cs w:val="21"/>
                      <w:highlight w:val="none"/>
                      <w:lang w:val="en-US" w:eastAsia="zh-CN"/>
                    </w:rPr>
                    <w:t>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vertAlign w:val="baseline"/>
                      <w:lang w:val="en-US" w:eastAsia="zh-CN"/>
                    </w:rPr>
                    <w:t>/h</w:t>
                  </w:r>
                </w:p>
              </w:tc>
              <w:tc>
                <w:tcPr>
                  <w:tcW w:w="915"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4047</w:t>
                  </w:r>
                </w:p>
              </w:tc>
              <w:tc>
                <w:tcPr>
                  <w:tcW w:w="1005"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3889</w:t>
                  </w:r>
                </w:p>
              </w:tc>
              <w:tc>
                <w:tcPr>
                  <w:tcW w:w="102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3999</w:t>
                  </w:r>
                </w:p>
              </w:tc>
              <w:tc>
                <w:tcPr>
                  <w:tcW w:w="75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c>
                <w:tcPr>
                  <w:tcW w:w="896"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c>
                <w:tcPr>
                  <w:tcW w:w="531"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c>
                <w:tcPr>
                  <w:tcW w:w="427"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7" w:type="dxa"/>
                  <w:gridSpan w:val="12"/>
                  <w:noWrap w:val="0"/>
                  <w:vAlign w:val="center"/>
                </w:tcPr>
                <w:p>
                  <w:pPr>
                    <w:adjustRightInd w:val="0"/>
                    <w:snapToGrid w:val="0"/>
                    <w:jc w:val="both"/>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评价标准：《锅炉大气污染物排放标准》（GB13271-2014）标准限值表2中“燃气锅炉”排放标准限值</w:t>
                  </w:r>
                </w:p>
              </w:tc>
            </w:tr>
          </w:tbl>
          <w:p>
            <w:pPr>
              <w:pStyle w:val="41"/>
              <w:bidi w:val="0"/>
              <w:rPr>
                <w:rFonts w:hint="default"/>
                <w:b/>
                <w:bCs/>
                <w:color w:val="auto"/>
                <w:kern w:val="0"/>
                <w:szCs w:val="21"/>
                <w:highlight w:val="none"/>
                <w:lang w:val="en-US" w:eastAsia="zh-CN"/>
              </w:rPr>
            </w:pPr>
            <w:r>
              <w:rPr>
                <w:rFonts w:hint="eastAsia"/>
                <w:color w:val="auto"/>
                <w:highlight w:val="none"/>
              </w:rPr>
              <w:t>表</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14</w:t>
            </w:r>
            <w:r>
              <w:rPr>
                <w:rFonts w:hint="eastAsia"/>
                <w:color w:val="auto"/>
                <w:highlight w:val="none"/>
              </w:rPr>
              <w:t xml:space="preserve">  </w:t>
            </w:r>
            <w:r>
              <w:rPr>
                <w:rFonts w:hint="eastAsia"/>
                <w:color w:val="auto"/>
                <w:highlight w:val="none"/>
                <w:lang w:val="en-US" w:eastAsia="zh-CN"/>
              </w:rPr>
              <w:t>锅炉</w:t>
            </w:r>
            <w:r>
              <w:rPr>
                <w:rFonts w:hint="eastAsia"/>
                <w:b/>
                <w:bCs/>
                <w:color w:val="auto"/>
                <w:kern w:val="0"/>
                <w:szCs w:val="21"/>
                <w:highlight w:val="none"/>
                <w:lang w:val="en-US" w:eastAsia="zh-CN"/>
              </w:rPr>
              <w:t>废气监测结果表2</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035"/>
              <w:gridCol w:w="1035"/>
              <w:gridCol w:w="1035"/>
              <w:gridCol w:w="1035"/>
              <w:gridCol w:w="1035"/>
              <w:gridCol w:w="1036"/>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1"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检测日期</w:t>
                  </w:r>
                </w:p>
              </w:tc>
              <w:tc>
                <w:tcPr>
                  <w:tcW w:w="1035"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点位编号</w:t>
                  </w:r>
                </w:p>
              </w:tc>
              <w:tc>
                <w:tcPr>
                  <w:tcW w:w="1035"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点位名称</w:t>
                  </w:r>
                </w:p>
              </w:tc>
              <w:tc>
                <w:tcPr>
                  <w:tcW w:w="1035"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检测项目</w:t>
                  </w:r>
                </w:p>
              </w:tc>
              <w:tc>
                <w:tcPr>
                  <w:tcW w:w="1035"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单位</w:t>
                  </w:r>
                </w:p>
              </w:tc>
              <w:tc>
                <w:tcPr>
                  <w:tcW w:w="1035"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检测结果</w:t>
                  </w:r>
                </w:p>
              </w:tc>
              <w:tc>
                <w:tcPr>
                  <w:tcW w:w="1036" w:type="dxa"/>
                  <w:noWrap w:val="0"/>
                  <w:vAlign w:val="center"/>
                </w:tcPr>
                <w:p>
                  <w:pPr>
                    <w:adjustRightInd w:val="0"/>
                    <w:snapToGrid w:val="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szCs w:val="21"/>
                      <w:highlight w:val="none"/>
                      <w:lang w:val="en-US" w:eastAsia="zh-CN"/>
                    </w:rPr>
                    <w:t>标准限值</w:t>
                  </w:r>
                </w:p>
              </w:tc>
              <w:tc>
                <w:tcPr>
                  <w:tcW w:w="1036" w:type="dxa"/>
                  <w:noWrap w:val="0"/>
                  <w:vAlign w:val="center"/>
                </w:tcPr>
                <w:p>
                  <w:pPr>
                    <w:adjustRightInd w:val="0"/>
                    <w:snapToGrid w:val="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szCs w:val="21"/>
                      <w:highlight w:val="none"/>
                      <w:lang w:val="en-US" w:eastAsia="zh-CN"/>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2022.05.26</w:t>
                  </w:r>
                </w:p>
              </w:tc>
              <w:tc>
                <w:tcPr>
                  <w:tcW w:w="103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103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锅炉废气排放口</w:t>
                  </w:r>
                </w:p>
              </w:tc>
              <w:tc>
                <w:tcPr>
                  <w:tcW w:w="103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烟气黑度</w:t>
                  </w:r>
                </w:p>
              </w:tc>
              <w:tc>
                <w:tcPr>
                  <w:tcW w:w="103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级</w:t>
                  </w:r>
                </w:p>
              </w:tc>
              <w:tc>
                <w:tcPr>
                  <w:tcW w:w="1035"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1</w:t>
                  </w:r>
                </w:p>
              </w:tc>
              <w:tc>
                <w:tcPr>
                  <w:tcW w:w="1036"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w:t>
                  </w:r>
                </w:p>
              </w:tc>
              <w:tc>
                <w:tcPr>
                  <w:tcW w:w="1036"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8" w:type="dxa"/>
                  <w:gridSpan w:val="8"/>
                  <w:noWrap w:val="0"/>
                  <w:vAlign w:val="center"/>
                </w:tcPr>
                <w:p>
                  <w:pPr>
                    <w:adjustRightInd w:val="0"/>
                    <w:snapToGrid w:val="0"/>
                    <w:jc w:val="both"/>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评价标准：《锅炉大气污染物排放标准》（GB13271-2014）标准限值表2中“燃气锅炉”排放标准限值</w:t>
                  </w:r>
                </w:p>
              </w:tc>
            </w:tr>
          </w:tbl>
          <w:p>
            <w:pPr>
              <w:pStyle w:val="41"/>
              <w:bidi w:val="0"/>
              <w:rPr>
                <w:rFonts w:hint="default"/>
                <w:b/>
                <w:bCs/>
                <w:color w:val="auto"/>
                <w:kern w:val="0"/>
                <w:szCs w:val="21"/>
                <w:highlight w:val="none"/>
                <w:lang w:val="en-US" w:eastAsia="zh-CN"/>
              </w:rPr>
            </w:pPr>
            <w:r>
              <w:rPr>
                <w:rFonts w:hint="eastAsia"/>
                <w:color w:val="auto"/>
                <w:highlight w:val="none"/>
              </w:rPr>
              <w:t>表</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15</w:t>
            </w:r>
            <w:r>
              <w:rPr>
                <w:rFonts w:hint="eastAsia"/>
                <w:color w:val="auto"/>
                <w:highlight w:val="none"/>
              </w:rPr>
              <w:t xml:space="preserve">  </w:t>
            </w:r>
            <w:r>
              <w:rPr>
                <w:rFonts w:hint="eastAsia"/>
                <w:color w:val="auto"/>
                <w:highlight w:val="none"/>
                <w:lang w:val="en-US" w:eastAsia="zh-CN"/>
              </w:rPr>
              <w:t>无组织颗粒物废气</w:t>
            </w:r>
            <w:r>
              <w:rPr>
                <w:rFonts w:hint="eastAsia"/>
                <w:b/>
                <w:bCs/>
                <w:color w:val="auto"/>
                <w:kern w:val="0"/>
                <w:szCs w:val="21"/>
                <w:highlight w:val="none"/>
                <w:lang w:val="en-US" w:eastAsia="zh-CN"/>
              </w:rPr>
              <w:t>监测结果表</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1173"/>
              <w:gridCol w:w="524"/>
              <w:gridCol w:w="855"/>
              <w:gridCol w:w="689"/>
              <w:gridCol w:w="689"/>
              <w:gridCol w:w="689"/>
              <w:gridCol w:w="689"/>
              <w:gridCol w:w="690"/>
              <w:gridCol w:w="813"/>
              <w:gridCol w:w="492"/>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点位编号</w:t>
                  </w:r>
                </w:p>
              </w:tc>
              <w:tc>
                <w:tcPr>
                  <w:tcW w:w="701"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点位名称</w:t>
                  </w:r>
                </w:p>
              </w:tc>
              <w:tc>
                <w:tcPr>
                  <w:tcW w:w="314"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检测项目</w:t>
                  </w:r>
                </w:p>
              </w:tc>
              <w:tc>
                <w:tcPr>
                  <w:tcW w:w="511"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单位</w:t>
                  </w:r>
                </w:p>
              </w:tc>
              <w:tc>
                <w:tcPr>
                  <w:tcW w:w="2033" w:type="pct"/>
                  <w:gridSpan w:val="5"/>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检测结果</w:t>
                  </w:r>
                </w:p>
              </w:tc>
              <w:tc>
                <w:tcPr>
                  <w:tcW w:w="486"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周界外浓度最高点</w:t>
                  </w:r>
                </w:p>
              </w:tc>
              <w:tc>
                <w:tcPr>
                  <w:tcW w:w="295"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标准限值</w:t>
                  </w:r>
                </w:p>
              </w:tc>
              <w:tc>
                <w:tcPr>
                  <w:tcW w:w="384"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701"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314"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511"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2033" w:type="pct"/>
                  <w:gridSpan w:val="5"/>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2022.05.26</w:t>
                  </w:r>
                </w:p>
              </w:tc>
              <w:tc>
                <w:tcPr>
                  <w:tcW w:w="48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295"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84"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701"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314"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511"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405"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第一次</w:t>
                  </w:r>
                </w:p>
              </w:tc>
              <w:tc>
                <w:tcPr>
                  <w:tcW w:w="405"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第二次</w:t>
                  </w:r>
                </w:p>
              </w:tc>
              <w:tc>
                <w:tcPr>
                  <w:tcW w:w="405"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第三次</w:t>
                  </w:r>
                </w:p>
              </w:tc>
              <w:tc>
                <w:tcPr>
                  <w:tcW w:w="405"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第四次</w:t>
                  </w:r>
                </w:p>
              </w:tc>
              <w:tc>
                <w:tcPr>
                  <w:tcW w:w="411"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均值</w:t>
                  </w:r>
                </w:p>
              </w:tc>
              <w:tc>
                <w:tcPr>
                  <w:tcW w:w="48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295"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84"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701"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项目所在地东南侧厂界外3m处（上风向）</w:t>
                  </w:r>
                </w:p>
              </w:tc>
              <w:tc>
                <w:tcPr>
                  <w:tcW w:w="314"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511"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mg/m</w:t>
                  </w:r>
                  <w:r>
                    <w:rPr>
                      <w:rFonts w:hint="eastAsia" w:ascii="Times New Roman" w:hAnsi="Times New Roman" w:eastAsia="宋体" w:cs="Times New Roman"/>
                      <w:color w:val="auto"/>
                      <w:szCs w:val="21"/>
                      <w:highlight w:val="none"/>
                      <w:vertAlign w:val="superscript"/>
                      <w:lang w:val="en-US" w:eastAsia="zh-CN"/>
                    </w:rPr>
                    <w:t>3</w:t>
                  </w:r>
                </w:p>
              </w:tc>
              <w:tc>
                <w:tcPr>
                  <w:tcW w:w="40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0.077</w:t>
                  </w:r>
                </w:p>
              </w:tc>
              <w:tc>
                <w:tcPr>
                  <w:tcW w:w="40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0.058</w:t>
                  </w:r>
                </w:p>
              </w:tc>
              <w:tc>
                <w:tcPr>
                  <w:tcW w:w="40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0.058</w:t>
                  </w:r>
                </w:p>
              </w:tc>
              <w:tc>
                <w:tcPr>
                  <w:tcW w:w="40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0.077</w:t>
                  </w:r>
                </w:p>
              </w:tc>
              <w:tc>
                <w:tcPr>
                  <w:tcW w:w="411"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0.068</w:t>
                  </w:r>
                </w:p>
              </w:tc>
              <w:tc>
                <w:tcPr>
                  <w:tcW w:w="486"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0.212</w:t>
                  </w:r>
                </w:p>
              </w:tc>
              <w:tc>
                <w:tcPr>
                  <w:tcW w:w="295"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w:t>
                  </w:r>
                </w:p>
              </w:tc>
              <w:tc>
                <w:tcPr>
                  <w:tcW w:w="384"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701"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项目所在地东北侧厂界外3m处（下风向）</w:t>
                  </w:r>
                </w:p>
              </w:tc>
              <w:tc>
                <w:tcPr>
                  <w:tcW w:w="314"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511" w:type="pct"/>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40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0.115</w:t>
                  </w:r>
                </w:p>
              </w:tc>
              <w:tc>
                <w:tcPr>
                  <w:tcW w:w="40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0.135</w:t>
                  </w:r>
                </w:p>
              </w:tc>
              <w:tc>
                <w:tcPr>
                  <w:tcW w:w="40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0.116</w:t>
                  </w:r>
                </w:p>
              </w:tc>
              <w:tc>
                <w:tcPr>
                  <w:tcW w:w="40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0.097</w:t>
                  </w:r>
                </w:p>
              </w:tc>
              <w:tc>
                <w:tcPr>
                  <w:tcW w:w="411"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0.116</w:t>
                  </w:r>
                </w:p>
              </w:tc>
              <w:tc>
                <w:tcPr>
                  <w:tcW w:w="48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295"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84"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701"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项目所在地西北侧厂界外3m处（下风向）</w:t>
                  </w:r>
                </w:p>
              </w:tc>
              <w:tc>
                <w:tcPr>
                  <w:tcW w:w="314"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511" w:type="pct"/>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40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0.211</w:t>
                  </w:r>
                </w:p>
              </w:tc>
              <w:tc>
                <w:tcPr>
                  <w:tcW w:w="40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0.231</w:t>
                  </w:r>
                </w:p>
              </w:tc>
              <w:tc>
                <w:tcPr>
                  <w:tcW w:w="40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0.212</w:t>
                  </w:r>
                </w:p>
              </w:tc>
              <w:tc>
                <w:tcPr>
                  <w:tcW w:w="40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0.193</w:t>
                  </w:r>
                </w:p>
              </w:tc>
              <w:tc>
                <w:tcPr>
                  <w:tcW w:w="411"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0.212</w:t>
                  </w:r>
                </w:p>
              </w:tc>
              <w:tc>
                <w:tcPr>
                  <w:tcW w:w="48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295"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84"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701"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项目所在地西北侧厂界外3m处（下风向）</w:t>
                  </w:r>
                </w:p>
              </w:tc>
              <w:tc>
                <w:tcPr>
                  <w:tcW w:w="314"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511" w:type="pct"/>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40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0.153</w:t>
                  </w:r>
                </w:p>
              </w:tc>
              <w:tc>
                <w:tcPr>
                  <w:tcW w:w="40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0.173</w:t>
                  </w:r>
                </w:p>
              </w:tc>
              <w:tc>
                <w:tcPr>
                  <w:tcW w:w="40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0.154</w:t>
                  </w:r>
                </w:p>
              </w:tc>
              <w:tc>
                <w:tcPr>
                  <w:tcW w:w="40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0.135</w:t>
                  </w:r>
                </w:p>
              </w:tc>
              <w:tc>
                <w:tcPr>
                  <w:tcW w:w="411"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0.154</w:t>
                  </w:r>
                </w:p>
              </w:tc>
              <w:tc>
                <w:tcPr>
                  <w:tcW w:w="48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295"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84"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2"/>
                  <w:noWrap w:val="0"/>
                  <w:vAlign w:val="center"/>
                </w:tcPr>
                <w:p>
                  <w:pPr>
                    <w:adjustRightInd w:val="0"/>
                    <w:snapToGrid w:val="0"/>
                    <w:jc w:val="both"/>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评价标准：《大气污染物综合排放标准》（GB16297-1996）表2中无组织排放标准限值</w:t>
                  </w:r>
                </w:p>
              </w:tc>
            </w:tr>
          </w:tbl>
          <w:p>
            <w:pPr>
              <w:pStyle w:val="41"/>
              <w:bidi w:val="0"/>
              <w:rPr>
                <w:rFonts w:hint="default"/>
                <w:b/>
                <w:bCs/>
                <w:color w:val="auto"/>
                <w:kern w:val="0"/>
                <w:szCs w:val="21"/>
                <w:highlight w:val="none"/>
                <w:lang w:val="en-US" w:eastAsia="zh-CN"/>
              </w:rPr>
            </w:pPr>
            <w:r>
              <w:rPr>
                <w:rFonts w:hint="eastAsia"/>
                <w:color w:val="auto"/>
                <w:highlight w:val="none"/>
              </w:rPr>
              <w:t>表</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1</w:t>
            </w:r>
            <w:r>
              <w:rPr>
                <w:rFonts w:hint="eastAsia"/>
                <w:color w:val="auto"/>
                <w:highlight w:val="none"/>
              </w:rPr>
              <w:t xml:space="preserve">6  </w:t>
            </w:r>
            <w:r>
              <w:rPr>
                <w:rFonts w:hint="eastAsia"/>
                <w:color w:val="auto"/>
                <w:highlight w:val="none"/>
                <w:lang w:val="en-US" w:eastAsia="zh-CN"/>
              </w:rPr>
              <w:t>无组织臭气浓度</w:t>
            </w:r>
            <w:r>
              <w:rPr>
                <w:rFonts w:hint="eastAsia"/>
                <w:b/>
                <w:bCs/>
                <w:color w:val="auto"/>
                <w:kern w:val="0"/>
                <w:szCs w:val="21"/>
                <w:highlight w:val="none"/>
                <w:lang w:val="en-US" w:eastAsia="zh-CN"/>
              </w:rPr>
              <w:t>监测结果表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1287"/>
              <w:gridCol w:w="574"/>
              <w:gridCol w:w="937"/>
              <w:gridCol w:w="742"/>
              <w:gridCol w:w="742"/>
              <w:gridCol w:w="742"/>
              <w:gridCol w:w="848"/>
              <w:gridCol w:w="691"/>
              <w:gridCol w:w="665"/>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点位编号</w:t>
                  </w:r>
                </w:p>
              </w:tc>
              <w:tc>
                <w:tcPr>
                  <w:tcW w:w="765"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点位名称</w:t>
                  </w:r>
                </w:p>
              </w:tc>
              <w:tc>
                <w:tcPr>
                  <w:tcW w:w="341"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检测项目</w:t>
                  </w:r>
                </w:p>
              </w:tc>
              <w:tc>
                <w:tcPr>
                  <w:tcW w:w="557"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单位</w:t>
                  </w:r>
                </w:p>
              </w:tc>
              <w:tc>
                <w:tcPr>
                  <w:tcW w:w="1827" w:type="pct"/>
                  <w:gridSpan w:val="4"/>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检测结果</w:t>
                  </w:r>
                </w:p>
              </w:tc>
              <w:tc>
                <w:tcPr>
                  <w:tcW w:w="411"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最大测定值</w:t>
                  </w:r>
                </w:p>
              </w:tc>
              <w:tc>
                <w:tcPr>
                  <w:tcW w:w="395"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标准限值</w:t>
                  </w:r>
                </w:p>
              </w:tc>
              <w:tc>
                <w:tcPr>
                  <w:tcW w:w="407"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765"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341"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557"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1827" w:type="pct"/>
                  <w:gridSpan w:val="4"/>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2022.05.26</w:t>
                  </w:r>
                </w:p>
              </w:tc>
              <w:tc>
                <w:tcPr>
                  <w:tcW w:w="411"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95"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0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765"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341"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557"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441"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第一次</w:t>
                  </w:r>
                </w:p>
              </w:tc>
              <w:tc>
                <w:tcPr>
                  <w:tcW w:w="441"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第二次</w:t>
                  </w:r>
                </w:p>
              </w:tc>
              <w:tc>
                <w:tcPr>
                  <w:tcW w:w="441"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第三次</w:t>
                  </w:r>
                </w:p>
              </w:tc>
              <w:tc>
                <w:tcPr>
                  <w:tcW w:w="504"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第四次</w:t>
                  </w:r>
                </w:p>
              </w:tc>
              <w:tc>
                <w:tcPr>
                  <w:tcW w:w="411"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95"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0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76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项目所在地东南侧厂界外3m处（上风向）</w:t>
                  </w:r>
                </w:p>
              </w:tc>
              <w:tc>
                <w:tcPr>
                  <w:tcW w:w="341"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臭气浓度</w:t>
                  </w:r>
                </w:p>
              </w:tc>
              <w:tc>
                <w:tcPr>
                  <w:tcW w:w="557"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无量纲</w:t>
                  </w:r>
                </w:p>
              </w:tc>
              <w:tc>
                <w:tcPr>
                  <w:tcW w:w="441"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&lt;10</w:t>
                  </w:r>
                </w:p>
              </w:tc>
              <w:tc>
                <w:tcPr>
                  <w:tcW w:w="441" w:type="pct"/>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&lt;10</w:t>
                  </w:r>
                </w:p>
              </w:tc>
              <w:tc>
                <w:tcPr>
                  <w:tcW w:w="441" w:type="pct"/>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&lt;10</w:t>
                  </w:r>
                </w:p>
              </w:tc>
              <w:tc>
                <w:tcPr>
                  <w:tcW w:w="504" w:type="pct"/>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&lt;10</w:t>
                  </w:r>
                </w:p>
              </w:tc>
              <w:tc>
                <w:tcPr>
                  <w:tcW w:w="411"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&lt;10</w:t>
                  </w:r>
                </w:p>
              </w:tc>
              <w:tc>
                <w:tcPr>
                  <w:tcW w:w="395"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p>
              </w:tc>
              <w:tc>
                <w:tcPr>
                  <w:tcW w:w="407"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76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项目所在地东北侧厂界外3m处（下风向）</w:t>
                  </w:r>
                </w:p>
              </w:tc>
              <w:tc>
                <w:tcPr>
                  <w:tcW w:w="341"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557" w:type="pct"/>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441"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&lt;10</w:t>
                  </w:r>
                </w:p>
              </w:tc>
              <w:tc>
                <w:tcPr>
                  <w:tcW w:w="441"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&lt;10</w:t>
                  </w:r>
                </w:p>
              </w:tc>
              <w:tc>
                <w:tcPr>
                  <w:tcW w:w="441"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&lt;10</w:t>
                  </w:r>
                </w:p>
              </w:tc>
              <w:tc>
                <w:tcPr>
                  <w:tcW w:w="504"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&lt;10</w:t>
                  </w:r>
                </w:p>
              </w:tc>
              <w:tc>
                <w:tcPr>
                  <w:tcW w:w="411"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95"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0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76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项目所在地西北侧厂界外3m处（下风向）</w:t>
                  </w:r>
                </w:p>
              </w:tc>
              <w:tc>
                <w:tcPr>
                  <w:tcW w:w="341"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557" w:type="pct"/>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441"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&lt;10</w:t>
                  </w:r>
                </w:p>
              </w:tc>
              <w:tc>
                <w:tcPr>
                  <w:tcW w:w="441"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&lt;10</w:t>
                  </w:r>
                </w:p>
              </w:tc>
              <w:tc>
                <w:tcPr>
                  <w:tcW w:w="441"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&lt;10</w:t>
                  </w:r>
                </w:p>
              </w:tc>
              <w:tc>
                <w:tcPr>
                  <w:tcW w:w="504"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&lt;10</w:t>
                  </w:r>
                </w:p>
              </w:tc>
              <w:tc>
                <w:tcPr>
                  <w:tcW w:w="411"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95"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0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76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项目所在地西北侧厂界外3m处（下风向）</w:t>
                  </w:r>
                </w:p>
              </w:tc>
              <w:tc>
                <w:tcPr>
                  <w:tcW w:w="341"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557" w:type="pct"/>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441"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&lt;10</w:t>
                  </w:r>
                </w:p>
              </w:tc>
              <w:tc>
                <w:tcPr>
                  <w:tcW w:w="441"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&lt;10</w:t>
                  </w:r>
                </w:p>
              </w:tc>
              <w:tc>
                <w:tcPr>
                  <w:tcW w:w="441"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&lt;10</w:t>
                  </w:r>
                </w:p>
              </w:tc>
              <w:tc>
                <w:tcPr>
                  <w:tcW w:w="504"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&lt;10</w:t>
                  </w:r>
                </w:p>
              </w:tc>
              <w:tc>
                <w:tcPr>
                  <w:tcW w:w="411"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95"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07"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r>
          </w:tbl>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w:t>
            </w:r>
            <w:r>
              <w:rPr>
                <w:rFonts w:hint="eastAsia" w:ascii="宋体" w:hAnsi="宋体"/>
                <w:color w:val="auto"/>
                <w:sz w:val="24"/>
                <w:szCs w:val="24"/>
                <w:highlight w:val="none"/>
                <w:lang w:val="en-US" w:eastAsia="zh-CN"/>
              </w:rPr>
              <w:t>四川省胡婆婆食品有限责任</w:t>
            </w:r>
            <w:r>
              <w:rPr>
                <w:rFonts w:hint="eastAsia" w:ascii="Times New Roman" w:hAnsi="Times New Roman" w:eastAsia="宋体" w:cs="Times New Roman"/>
                <w:b w:val="0"/>
                <w:bCs/>
                <w:color w:val="auto"/>
                <w:sz w:val="24"/>
                <w:highlight w:val="none"/>
                <w:lang w:val="en-US" w:eastAsia="zh-CN"/>
              </w:rPr>
              <w:t>公司新建项目竣工环境保护验收监测报告</w:t>
            </w:r>
            <w:r>
              <w:rPr>
                <w:rFonts w:hint="eastAsia" w:ascii="Times New Roman" w:hAnsi="Times New Roman" w:eastAsia="宋体" w:cs="Times New Roman"/>
                <w:color w:val="auto"/>
                <w:sz w:val="24"/>
                <w:highlight w:val="none"/>
                <w:lang w:val="en-US" w:eastAsia="zh-CN"/>
              </w:rPr>
              <w:t>，</w:t>
            </w:r>
            <w:r>
              <w:rPr>
                <w:rFonts w:hint="eastAsia"/>
                <w:bCs/>
                <w:color w:val="auto"/>
                <w:sz w:val="24"/>
                <w:highlight w:val="none"/>
              </w:rPr>
              <w:t>现有项目</w:t>
            </w:r>
            <w:r>
              <w:rPr>
                <w:rFonts w:hint="eastAsia"/>
                <w:bCs/>
                <w:color w:val="auto"/>
                <w:sz w:val="24"/>
                <w:highlight w:val="none"/>
                <w:lang w:val="en-US" w:eastAsia="zh-CN"/>
              </w:rPr>
              <w:t>废气</w:t>
            </w:r>
            <w:r>
              <w:rPr>
                <w:rFonts w:hint="eastAsia"/>
                <w:bCs/>
                <w:color w:val="auto"/>
                <w:sz w:val="24"/>
                <w:highlight w:val="none"/>
              </w:rPr>
              <w:t>监测结果如下。</w:t>
            </w:r>
          </w:p>
          <w:p>
            <w:pPr>
              <w:pStyle w:val="41"/>
              <w:bidi w:val="0"/>
              <w:rPr>
                <w:rFonts w:hint="default"/>
                <w:b/>
                <w:bCs/>
                <w:color w:val="auto"/>
                <w:kern w:val="0"/>
                <w:szCs w:val="21"/>
                <w:highlight w:val="none"/>
                <w:lang w:val="en-US" w:eastAsia="zh-CN"/>
              </w:rPr>
            </w:pPr>
            <w:r>
              <w:rPr>
                <w:rFonts w:hint="eastAsia"/>
                <w:color w:val="auto"/>
                <w:highlight w:val="none"/>
              </w:rPr>
              <w:t>表</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17</w:t>
            </w:r>
            <w:r>
              <w:rPr>
                <w:rFonts w:hint="eastAsia"/>
                <w:color w:val="auto"/>
                <w:highlight w:val="none"/>
              </w:rPr>
              <w:t xml:space="preserve">  </w:t>
            </w:r>
            <w:r>
              <w:rPr>
                <w:rFonts w:hint="eastAsia"/>
                <w:color w:val="auto"/>
                <w:highlight w:val="none"/>
                <w:lang w:val="en-US" w:eastAsia="zh-CN"/>
              </w:rPr>
              <w:t>油烟</w:t>
            </w:r>
            <w:r>
              <w:rPr>
                <w:rFonts w:hint="eastAsia"/>
                <w:b/>
                <w:bCs/>
                <w:color w:val="auto"/>
                <w:kern w:val="0"/>
                <w:szCs w:val="21"/>
                <w:highlight w:val="none"/>
                <w:lang w:val="en-US" w:eastAsia="zh-CN"/>
              </w:rPr>
              <w:t>监测结果表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1414"/>
              <w:gridCol w:w="874"/>
              <w:gridCol w:w="875"/>
              <w:gridCol w:w="875"/>
              <w:gridCol w:w="875"/>
              <w:gridCol w:w="875"/>
              <w:gridCol w:w="878"/>
              <w:gridCol w:w="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46"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检测点位</w:t>
                  </w:r>
                </w:p>
              </w:tc>
              <w:tc>
                <w:tcPr>
                  <w:tcW w:w="841"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检测项目</w:t>
                  </w:r>
                </w:p>
              </w:tc>
              <w:tc>
                <w:tcPr>
                  <w:tcW w:w="3122" w:type="pct"/>
                  <w:gridSpan w:val="6"/>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2019年6月28日</w:t>
                  </w:r>
                </w:p>
              </w:tc>
              <w:tc>
                <w:tcPr>
                  <w:tcW w:w="388"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646"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841"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520"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1次</w:t>
                  </w:r>
                </w:p>
              </w:tc>
              <w:tc>
                <w:tcPr>
                  <w:tcW w:w="520"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2次</w:t>
                  </w:r>
                </w:p>
              </w:tc>
              <w:tc>
                <w:tcPr>
                  <w:tcW w:w="520"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3次</w:t>
                  </w:r>
                </w:p>
              </w:tc>
              <w:tc>
                <w:tcPr>
                  <w:tcW w:w="520"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4次</w:t>
                  </w:r>
                </w:p>
              </w:tc>
              <w:tc>
                <w:tcPr>
                  <w:tcW w:w="520"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5次</w:t>
                  </w:r>
                </w:p>
              </w:tc>
              <w:tc>
                <w:tcPr>
                  <w:tcW w:w="52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平均值</w:t>
                  </w:r>
                </w:p>
              </w:tc>
              <w:tc>
                <w:tcPr>
                  <w:tcW w:w="388"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2#食堂油烟废气排气筒（排气罩灶面总投影面积5.4m</w:t>
                  </w:r>
                  <w:r>
                    <w:rPr>
                      <w:rFonts w:hint="eastAsia" w:ascii="Times New Roman" w:hAnsi="Times New Roman" w:eastAsia="宋体" w:cs="Times New Roman"/>
                      <w:color w:val="auto"/>
                      <w:szCs w:val="21"/>
                      <w:highlight w:val="none"/>
                      <w:vertAlign w:val="superscript"/>
                      <w:lang w:val="en-US" w:eastAsia="zh-CN"/>
                    </w:rPr>
                    <w:t>2</w:t>
                  </w:r>
                  <w:r>
                    <w:rPr>
                      <w:rFonts w:hint="eastAsia" w:ascii="Times New Roman" w:hAnsi="Times New Roman" w:eastAsia="宋体" w:cs="Times New Roman"/>
                      <w:color w:val="auto"/>
                      <w:szCs w:val="21"/>
                      <w:highlight w:val="none"/>
                      <w:lang w:val="en-US" w:eastAsia="zh-CN"/>
                    </w:rPr>
                    <w:t>）</w:t>
                  </w:r>
                </w:p>
              </w:tc>
              <w:tc>
                <w:tcPr>
                  <w:tcW w:w="841"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实测排风量（m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vertAlign w:val="baseline"/>
                      <w:lang w:val="en-US" w:eastAsia="zh-CN"/>
                    </w:rPr>
                    <w:t>/h</w:t>
                  </w:r>
                  <w:r>
                    <w:rPr>
                      <w:rFonts w:hint="eastAsia" w:ascii="Times New Roman" w:hAnsi="Times New Roman" w:eastAsia="宋体" w:cs="Times New Roman"/>
                      <w:color w:val="auto"/>
                      <w:szCs w:val="21"/>
                      <w:highlight w:val="none"/>
                      <w:lang w:val="en-US" w:eastAsia="zh-CN"/>
                    </w:rPr>
                    <w:t>）</w:t>
                  </w:r>
                </w:p>
              </w:tc>
              <w:tc>
                <w:tcPr>
                  <w:tcW w:w="520"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9036</w:t>
                  </w:r>
                </w:p>
              </w:tc>
              <w:tc>
                <w:tcPr>
                  <w:tcW w:w="520"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9098</w:t>
                  </w:r>
                </w:p>
              </w:tc>
              <w:tc>
                <w:tcPr>
                  <w:tcW w:w="520"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8967</w:t>
                  </w:r>
                </w:p>
              </w:tc>
              <w:tc>
                <w:tcPr>
                  <w:tcW w:w="520"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9023</w:t>
                  </w:r>
                </w:p>
              </w:tc>
              <w:tc>
                <w:tcPr>
                  <w:tcW w:w="520"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9023</w:t>
                  </w:r>
                </w:p>
              </w:tc>
              <w:tc>
                <w:tcPr>
                  <w:tcW w:w="520"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c>
                <w:tcPr>
                  <w:tcW w:w="388"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841"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基准灶头数量（个）</w:t>
                  </w:r>
                </w:p>
              </w:tc>
              <w:tc>
                <w:tcPr>
                  <w:tcW w:w="3122" w:type="pct"/>
                  <w:gridSpan w:val="6"/>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388"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841"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油烟折算排放浓度（mg/m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w:t>
                  </w:r>
                </w:p>
              </w:tc>
              <w:tc>
                <w:tcPr>
                  <w:tcW w:w="52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0.191</w:t>
                  </w:r>
                </w:p>
              </w:tc>
              <w:tc>
                <w:tcPr>
                  <w:tcW w:w="52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0.434</w:t>
                  </w:r>
                </w:p>
              </w:tc>
              <w:tc>
                <w:tcPr>
                  <w:tcW w:w="52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0.182</w:t>
                  </w:r>
                </w:p>
              </w:tc>
              <w:tc>
                <w:tcPr>
                  <w:tcW w:w="52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0.628</w:t>
                  </w:r>
                </w:p>
              </w:tc>
              <w:tc>
                <w:tcPr>
                  <w:tcW w:w="52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0.386</w:t>
                  </w:r>
                </w:p>
              </w:tc>
              <w:tc>
                <w:tcPr>
                  <w:tcW w:w="52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0.364</w:t>
                  </w:r>
                </w:p>
              </w:tc>
              <w:tc>
                <w:tcPr>
                  <w:tcW w:w="388"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3#炒制油烟废气排气筒（排气罩灶面总投影面积8.0m</w:t>
                  </w:r>
                  <w:r>
                    <w:rPr>
                      <w:rFonts w:hint="eastAsia" w:ascii="Times New Roman" w:hAnsi="Times New Roman" w:eastAsia="宋体" w:cs="Times New Roman"/>
                      <w:color w:val="auto"/>
                      <w:szCs w:val="21"/>
                      <w:highlight w:val="none"/>
                      <w:vertAlign w:val="superscript"/>
                      <w:lang w:val="en-US" w:eastAsia="zh-CN"/>
                    </w:rPr>
                    <w:t>2</w:t>
                  </w:r>
                  <w:r>
                    <w:rPr>
                      <w:rFonts w:hint="eastAsia" w:ascii="Times New Roman" w:hAnsi="Times New Roman" w:eastAsia="宋体" w:cs="Times New Roman"/>
                      <w:color w:val="auto"/>
                      <w:szCs w:val="21"/>
                      <w:highlight w:val="none"/>
                      <w:lang w:val="en-US" w:eastAsia="zh-CN"/>
                    </w:rPr>
                    <w:t>）</w:t>
                  </w:r>
                </w:p>
              </w:tc>
              <w:tc>
                <w:tcPr>
                  <w:tcW w:w="841"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实测排风量（m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vertAlign w:val="baseline"/>
                      <w:lang w:val="en-US" w:eastAsia="zh-CN"/>
                    </w:rPr>
                    <w:t>/h</w:t>
                  </w:r>
                  <w:r>
                    <w:rPr>
                      <w:rFonts w:hint="eastAsia" w:ascii="Times New Roman" w:hAnsi="Times New Roman" w:eastAsia="宋体" w:cs="Times New Roman"/>
                      <w:color w:val="auto"/>
                      <w:szCs w:val="21"/>
                      <w:highlight w:val="none"/>
                      <w:lang w:val="en-US" w:eastAsia="zh-CN"/>
                    </w:rPr>
                    <w:t>）</w:t>
                  </w:r>
                </w:p>
              </w:tc>
              <w:tc>
                <w:tcPr>
                  <w:tcW w:w="52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15481</w:t>
                  </w:r>
                </w:p>
              </w:tc>
              <w:tc>
                <w:tcPr>
                  <w:tcW w:w="52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15510</w:t>
                  </w:r>
                </w:p>
              </w:tc>
              <w:tc>
                <w:tcPr>
                  <w:tcW w:w="52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15546</w:t>
                  </w:r>
                </w:p>
              </w:tc>
              <w:tc>
                <w:tcPr>
                  <w:tcW w:w="52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15597</w:t>
                  </w:r>
                </w:p>
              </w:tc>
              <w:tc>
                <w:tcPr>
                  <w:tcW w:w="52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15624</w:t>
                  </w:r>
                </w:p>
              </w:tc>
              <w:tc>
                <w:tcPr>
                  <w:tcW w:w="52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388"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841"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基准灶头数量（个）</w:t>
                  </w:r>
                </w:p>
              </w:tc>
              <w:tc>
                <w:tcPr>
                  <w:tcW w:w="3122" w:type="pct"/>
                  <w:gridSpan w:val="6"/>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388"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841"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油烟折算排放浓度（mg/m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w:t>
                  </w:r>
                </w:p>
              </w:tc>
              <w:tc>
                <w:tcPr>
                  <w:tcW w:w="52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0.163</w:t>
                  </w:r>
                </w:p>
              </w:tc>
              <w:tc>
                <w:tcPr>
                  <w:tcW w:w="52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0.220</w:t>
                  </w:r>
                </w:p>
              </w:tc>
              <w:tc>
                <w:tcPr>
                  <w:tcW w:w="52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0.132</w:t>
                  </w:r>
                </w:p>
              </w:tc>
              <w:tc>
                <w:tcPr>
                  <w:tcW w:w="52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0.200</w:t>
                  </w:r>
                </w:p>
              </w:tc>
              <w:tc>
                <w:tcPr>
                  <w:tcW w:w="52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0.332</w:t>
                  </w:r>
                </w:p>
              </w:tc>
              <w:tc>
                <w:tcPr>
                  <w:tcW w:w="52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0.209</w:t>
                  </w:r>
                </w:p>
              </w:tc>
              <w:tc>
                <w:tcPr>
                  <w:tcW w:w="388"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p>
              </w:tc>
            </w:tr>
          </w:tbl>
          <w:p>
            <w:pPr>
              <w:adjustRightInd w:val="0"/>
              <w:snapToGrid w:val="0"/>
              <w:spacing w:line="360" w:lineRule="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*备注：执行《饮食业油烟排放标准（试行）》（GB18483-2001）表2中排放限值。</w:t>
            </w:r>
          </w:p>
          <w:p>
            <w:pPr>
              <w:pStyle w:val="41"/>
              <w:bidi w:val="0"/>
              <w:rPr>
                <w:rFonts w:hint="default"/>
                <w:b/>
                <w:bCs/>
                <w:color w:val="auto"/>
                <w:kern w:val="0"/>
                <w:szCs w:val="21"/>
                <w:highlight w:val="none"/>
                <w:vertAlign w:val="baseline"/>
                <w:lang w:val="en-US" w:eastAsia="zh-CN"/>
              </w:rPr>
            </w:pPr>
            <w:r>
              <w:rPr>
                <w:rFonts w:hint="eastAsia"/>
                <w:color w:val="auto"/>
                <w:highlight w:val="none"/>
              </w:rPr>
              <w:t>表</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18</w:t>
            </w:r>
            <w:r>
              <w:rPr>
                <w:rFonts w:hint="eastAsia"/>
                <w:color w:val="auto"/>
                <w:highlight w:val="none"/>
              </w:rPr>
              <w:t xml:space="preserve">  </w:t>
            </w:r>
            <w:r>
              <w:rPr>
                <w:rFonts w:hint="eastAsia"/>
                <w:color w:val="auto"/>
                <w:highlight w:val="none"/>
                <w:lang w:val="en-US" w:eastAsia="zh-CN"/>
              </w:rPr>
              <w:t>无组织氨和硫化氢废气</w:t>
            </w:r>
            <w:r>
              <w:rPr>
                <w:rFonts w:hint="eastAsia"/>
                <w:b/>
                <w:bCs/>
                <w:color w:val="auto"/>
                <w:kern w:val="0"/>
                <w:szCs w:val="21"/>
                <w:highlight w:val="none"/>
                <w:lang w:val="en-US" w:eastAsia="zh-CN"/>
              </w:rPr>
              <w:t>监测结果表     单位：mg/m</w:t>
            </w:r>
            <w:r>
              <w:rPr>
                <w:rFonts w:hint="eastAsia"/>
                <w:b/>
                <w:bCs/>
                <w:color w:val="auto"/>
                <w:kern w:val="0"/>
                <w:szCs w:val="21"/>
                <w:highlight w:val="none"/>
                <w:vertAlign w:val="superscript"/>
                <w:lang w:val="en-US" w:eastAsia="zh-CN"/>
              </w:rPr>
              <w:t>3</w:t>
            </w:r>
          </w:p>
          <w:tbl>
            <w:tblPr>
              <w:tblStyle w:val="22"/>
              <w:tblW w:w="8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1203"/>
              <w:gridCol w:w="1203"/>
              <w:gridCol w:w="1203"/>
              <w:gridCol w:w="1203"/>
              <w:gridCol w:w="1203"/>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检测时间</w:t>
                  </w:r>
                </w:p>
              </w:tc>
              <w:tc>
                <w:tcPr>
                  <w:tcW w:w="1203"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检测项目</w:t>
                  </w:r>
                </w:p>
              </w:tc>
              <w:tc>
                <w:tcPr>
                  <w:tcW w:w="1203"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频次</w:t>
                  </w:r>
                </w:p>
              </w:tc>
              <w:tc>
                <w:tcPr>
                  <w:tcW w:w="1203"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1#项目下风向</w:t>
                  </w:r>
                </w:p>
              </w:tc>
              <w:tc>
                <w:tcPr>
                  <w:tcW w:w="1203"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2#项目下风向</w:t>
                  </w:r>
                </w:p>
              </w:tc>
              <w:tc>
                <w:tcPr>
                  <w:tcW w:w="1203"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3#项目下风向</w:t>
                  </w:r>
                </w:p>
              </w:tc>
              <w:tc>
                <w:tcPr>
                  <w:tcW w:w="1203"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最高浓度限值（1小时均值）*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2019年6月26日</w:t>
                  </w:r>
                </w:p>
              </w:tc>
              <w:tc>
                <w:tcPr>
                  <w:tcW w:w="1203"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氨</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1次</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0.06</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0.04</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0.08</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2次</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0.03</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0.07</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0.06</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3次</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0.02</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0.09</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0.09</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4次</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0.04</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0.05</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0.10</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最高值</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0.06</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0.09</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0.10</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硫化氢</w:t>
                  </w:r>
                </w:p>
              </w:tc>
              <w:tc>
                <w:tcPr>
                  <w:tcW w:w="1203"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1次</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0.003</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0.004</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0.004</w:t>
                  </w:r>
                </w:p>
              </w:tc>
              <w:tc>
                <w:tcPr>
                  <w:tcW w:w="1203"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2次</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0.005</w:t>
                  </w:r>
                </w:p>
              </w:tc>
              <w:tc>
                <w:tcPr>
                  <w:tcW w:w="120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0.004</w:t>
                  </w:r>
                </w:p>
              </w:tc>
              <w:tc>
                <w:tcPr>
                  <w:tcW w:w="1203"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0.004</w:t>
                  </w:r>
                </w:p>
              </w:tc>
              <w:tc>
                <w:tcPr>
                  <w:tcW w:w="1203"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3次</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0.003</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0.004</w:t>
                  </w:r>
                </w:p>
              </w:tc>
              <w:tc>
                <w:tcPr>
                  <w:tcW w:w="1203" w:type="dxa"/>
                  <w:noWrap w:val="0"/>
                  <w:vAlign w:val="top"/>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0.004</w:t>
                  </w:r>
                </w:p>
              </w:tc>
              <w:tc>
                <w:tcPr>
                  <w:tcW w:w="1203"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4次</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0.005</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0.004</w:t>
                  </w:r>
                </w:p>
              </w:tc>
              <w:tc>
                <w:tcPr>
                  <w:tcW w:w="1203" w:type="dxa"/>
                  <w:noWrap w:val="0"/>
                  <w:vAlign w:val="top"/>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0.004</w:t>
                  </w:r>
                </w:p>
              </w:tc>
              <w:tc>
                <w:tcPr>
                  <w:tcW w:w="1203"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最高值</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0.005</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0.004</w:t>
                  </w:r>
                </w:p>
              </w:tc>
              <w:tc>
                <w:tcPr>
                  <w:tcW w:w="1203" w:type="dxa"/>
                  <w:noWrap w:val="0"/>
                  <w:vAlign w:val="top"/>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0.004</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restar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2019年6月28日</w:t>
                  </w:r>
                </w:p>
              </w:tc>
              <w:tc>
                <w:tcPr>
                  <w:tcW w:w="1203" w:type="dxa"/>
                  <w:vMerge w:val="restar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氨</w:t>
                  </w:r>
                </w:p>
              </w:tc>
              <w:tc>
                <w:tcPr>
                  <w:tcW w:w="1203"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1次</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0.07</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0.13</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0.12</w:t>
                  </w:r>
                </w:p>
              </w:tc>
              <w:tc>
                <w:tcPr>
                  <w:tcW w:w="1203"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2次</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0.14</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0.15</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0.08</w:t>
                  </w:r>
                </w:p>
              </w:tc>
              <w:tc>
                <w:tcPr>
                  <w:tcW w:w="1203"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3次</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0.09</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0.12</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0.08</w:t>
                  </w:r>
                </w:p>
              </w:tc>
              <w:tc>
                <w:tcPr>
                  <w:tcW w:w="1203"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4次</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0.06</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0.13</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0.11</w:t>
                  </w:r>
                </w:p>
              </w:tc>
              <w:tc>
                <w:tcPr>
                  <w:tcW w:w="1203"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最高值</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0.14</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0.15</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0.12</w:t>
                  </w:r>
                </w:p>
              </w:tc>
              <w:tc>
                <w:tcPr>
                  <w:tcW w:w="1203"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vMerge w:val="restar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硫化氢</w:t>
                  </w:r>
                </w:p>
              </w:tc>
              <w:tc>
                <w:tcPr>
                  <w:tcW w:w="1203"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1次</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0.003</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0.004</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0.004</w:t>
                  </w:r>
                </w:p>
              </w:tc>
              <w:tc>
                <w:tcPr>
                  <w:tcW w:w="1203"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2次</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0.003</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0.004</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0.005</w:t>
                  </w:r>
                </w:p>
              </w:tc>
              <w:tc>
                <w:tcPr>
                  <w:tcW w:w="1203"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3次</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0.004</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0.004</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0.004</w:t>
                  </w:r>
                </w:p>
              </w:tc>
              <w:tc>
                <w:tcPr>
                  <w:tcW w:w="1203"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4次</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0.004</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0.004</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0.004</w:t>
                  </w:r>
                </w:p>
              </w:tc>
              <w:tc>
                <w:tcPr>
                  <w:tcW w:w="1203"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vMerge w:val="continue"/>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203"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最高值</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0.004</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0.004</w:t>
                  </w:r>
                </w:p>
              </w:tc>
              <w:tc>
                <w:tcPr>
                  <w:tcW w:w="1203" w:type="dxa"/>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0.005</w:t>
                  </w:r>
                </w:p>
              </w:tc>
              <w:tc>
                <w:tcPr>
                  <w:tcW w:w="1203" w:type="dxa"/>
                  <w:noWrap w:val="0"/>
                  <w:vAlign w:val="top"/>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0.06</w:t>
                  </w:r>
                </w:p>
              </w:tc>
            </w:tr>
          </w:tbl>
          <w:p>
            <w:pPr>
              <w:adjustRightInd w:val="0"/>
              <w:snapToGrid w:val="0"/>
              <w:spacing w:line="360" w:lineRule="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*备注：氨、硫化氢执行《恶臭污染物废气排放标准》（GB14554-93）表1中二级新改扩建排放限值。</w:t>
            </w:r>
          </w:p>
          <w:p>
            <w:pPr>
              <w:adjustRightInd w:val="0"/>
              <w:snapToGrid w:val="0"/>
              <w:spacing w:line="360" w:lineRule="auto"/>
              <w:ind w:firstLine="480" w:firstLineChars="200"/>
              <w:rPr>
                <w:rFonts w:hint="eastAsia"/>
                <w:b/>
                <w:color w:val="auto"/>
                <w:sz w:val="24"/>
                <w:highlight w:val="none"/>
              </w:rPr>
            </w:pPr>
            <w:r>
              <w:rPr>
                <w:rFonts w:hint="eastAsia" w:ascii="Times New Roman" w:hAnsi="Times New Roman" w:eastAsia="宋体" w:cs="Times New Roman"/>
                <w:bCs/>
                <w:color w:val="auto"/>
                <w:sz w:val="24"/>
                <w:highlight w:val="none"/>
                <w:lang w:val="en-US" w:eastAsia="zh-CN"/>
              </w:rPr>
              <w:t>综上，现有项目有组织废气中天然气燃烧废气的颗粒物、二氧化硫、氮氧化物排放浓度满足</w:t>
            </w:r>
            <w:r>
              <w:rPr>
                <w:color w:val="auto"/>
                <w:sz w:val="24"/>
                <w:highlight w:val="none"/>
              </w:rPr>
              <w:t>《锅炉大气污染物排放标准》（GB 13271-2014）</w:t>
            </w:r>
            <w:r>
              <w:rPr>
                <w:rFonts w:hint="eastAsia"/>
                <w:color w:val="auto"/>
                <w:sz w:val="24"/>
                <w:highlight w:val="none"/>
              </w:rPr>
              <w:t>表2中相关标准</w:t>
            </w:r>
            <w:r>
              <w:rPr>
                <w:rFonts w:hint="eastAsia"/>
                <w:color w:val="auto"/>
                <w:sz w:val="24"/>
                <w:highlight w:val="none"/>
                <w:lang w:eastAsia="zh-CN"/>
              </w:rPr>
              <w:t>，</w:t>
            </w:r>
            <w:r>
              <w:rPr>
                <w:rFonts w:hint="eastAsia"/>
                <w:color w:val="auto"/>
                <w:sz w:val="24"/>
                <w:highlight w:val="none"/>
                <w:lang w:val="en-US" w:eastAsia="zh-CN"/>
              </w:rPr>
              <w:t>油炸油烟和食堂油烟排放浓度满足</w:t>
            </w:r>
            <w:r>
              <w:rPr>
                <w:color w:val="auto"/>
                <w:sz w:val="24"/>
                <w:highlight w:val="none"/>
              </w:rPr>
              <w:t>《饮食业油烟排放标准（试行）》（GB18483-2001）中的相关规定</w:t>
            </w:r>
            <w:r>
              <w:rPr>
                <w:rFonts w:hint="eastAsia"/>
                <w:color w:val="auto"/>
                <w:sz w:val="24"/>
                <w:highlight w:val="none"/>
                <w:lang w:eastAsia="zh-CN"/>
              </w:rPr>
              <w:t>；</w:t>
            </w:r>
            <w:r>
              <w:rPr>
                <w:rFonts w:hint="eastAsia"/>
                <w:color w:val="auto"/>
                <w:sz w:val="24"/>
                <w:highlight w:val="none"/>
                <w:lang w:val="en-US" w:eastAsia="zh-CN"/>
              </w:rPr>
              <w:t>无组织废气中颗粒物排放浓度满足《大气污染物综合排放标准》（GB16297-1996）表2中标准，氨、硫化氢、臭气浓度满足《恶臭污染物排放标准》（GB14554-1993）表1中二级标准要求。因此，现有项目废气能达标排放。</w:t>
            </w:r>
          </w:p>
          <w:p>
            <w:pPr>
              <w:adjustRightInd w:val="0"/>
              <w:snapToGrid w:val="0"/>
              <w:spacing w:line="360" w:lineRule="auto"/>
              <w:ind w:firstLine="482" w:firstLineChars="200"/>
              <w:rPr>
                <w:rFonts w:hint="eastAsia"/>
                <w:b/>
                <w:color w:val="auto"/>
                <w:sz w:val="24"/>
                <w:highlight w:val="none"/>
              </w:rPr>
            </w:pPr>
            <w:r>
              <w:rPr>
                <w:rFonts w:hint="eastAsia"/>
                <w:b/>
                <w:color w:val="auto"/>
                <w:sz w:val="24"/>
                <w:highlight w:val="none"/>
              </w:rPr>
              <w:t>（2）废水</w:t>
            </w:r>
          </w:p>
          <w:p>
            <w:pPr>
              <w:adjustRightInd w:val="0"/>
              <w:snapToGrid w:val="0"/>
              <w:spacing w:line="360" w:lineRule="auto"/>
              <w:ind w:firstLine="482" w:firstLineChars="200"/>
              <w:rPr>
                <w:rFonts w:hint="eastAsia"/>
                <w:b/>
                <w:color w:val="auto"/>
                <w:sz w:val="24"/>
                <w:highlight w:val="none"/>
              </w:rPr>
            </w:pPr>
            <w:r>
              <w:rPr>
                <w:rFonts w:hint="eastAsia"/>
                <w:b/>
                <w:color w:val="auto"/>
                <w:sz w:val="24"/>
                <w:highlight w:val="none"/>
              </w:rPr>
              <w:t>①废水排放情况</w:t>
            </w:r>
          </w:p>
          <w:p>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lang w:val="en-US" w:eastAsia="zh-CN"/>
              </w:rPr>
              <w:t>现有</w:t>
            </w:r>
            <w:r>
              <w:rPr>
                <w:rFonts w:hint="eastAsia"/>
                <w:bCs/>
                <w:color w:val="auto"/>
                <w:sz w:val="24"/>
                <w:highlight w:val="none"/>
              </w:rPr>
              <w:t>项目雨污分流，雨水排入雨水管道；食堂废水经隔油池隔油后，生活污水</w:t>
            </w:r>
            <w:r>
              <w:rPr>
                <w:rFonts w:hint="eastAsia"/>
                <w:bCs/>
                <w:color w:val="auto"/>
                <w:sz w:val="24"/>
                <w:highlight w:val="none"/>
                <w:lang w:val="en-US" w:eastAsia="zh-CN"/>
              </w:rPr>
              <w:t>经预处理池处理后，</w:t>
            </w:r>
            <w:r>
              <w:rPr>
                <w:rFonts w:hint="eastAsia"/>
                <w:bCs/>
                <w:color w:val="auto"/>
                <w:sz w:val="24"/>
                <w:highlight w:val="none"/>
              </w:rPr>
              <w:t>再同</w:t>
            </w:r>
            <w:r>
              <w:rPr>
                <w:rFonts w:hint="eastAsia"/>
                <w:bCs/>
                <w:color w:val="auto"/>
                <w:sz w:val="24"/>
                <w:highlight w:val="none"/>
                <w:lang w:val="en-US" w:eastAsia="zh-CN"/>
              </w:rPr>
              <w:t>生产废气</w:t>
            </w:r>
            <w:r>
              <w:rPr>
                <w:rFonts w:hint="eastAsia"/>
                <w:bCs/>
                <w:color w:val="auto"/>
                <w:sz w:val="24"/>
                <w:highlight w:val="none"/>
              </w:rPr>
              <w:t>进入污水处理站，经处理后的废水达到《</w:t>
            </w:r>
            <w:r>
              <w:rPr>
                <w:rFonts w:hint="eastAsia"/>
                <w:bCs/>
                <w:color w:val="auto"/>
                <w:sz w:val="24"/>
                <w:highlight w:val="none"/>
                <w:lang w:val="en-US" w:eastAsia="zh-CN"/>
              </w:rPr>
              <w:t>污水综合</w:t>
            </w:r>
            <w:r>
              <w:rPr>
                <w:rFonts w:hint="eastAsia"/>
                <w:bCs/>
                <w:color w:val="auto"/>
                <w:sz w:val="24"/>
                <w:highlight w:val="none"/>
              </w:rPr>
              <w:t>排放标准》</w:t>
            </w:r>
            <w:r>
              <w:rPr>
                <w:rFonts w:hint="eastAsia"/>
                <w:bCs/>
                <w:color w:val="auto"/>
                <w:sz w:val="24"/>
                <w:highlight w:val="none"/>
                <w:lang w:eastAsia="zh-CN"/>
              </w:rPr>
              <w:t>（</w:t>
            </w:r>
            <w:r>
              <w:rPr>
                <w:rFonts w:hint="eastAsia"/>
                <w:bCs/>
                <w:color w:val="auto"/>
                <w:sz w:val="24"/>
                <w:highlight w:val="none"/>
              </w:rPr>
              <w:t>GB</w:t>
            </w:r>
            <w:r>
              <w:rPr>
                <w:rFonts w:hint="eastAsia"/>
                <w:bCs/>
                <w:color w:val="auto"/>
                <w:sz w:val="24"/>
                <w:highlight w:val="none"/>
                <w:lang w:val="en-US" w:eastAsia="zh-CN"/>
              </w:rPr>
              <w:t>8978-1996</w:t>
            </w:r>
            <w:r>
              <w:rPr>
                <w:rFonts w:hint="eastAsia"/>
                <w:bCs/>
                <w:color w:val="auto"/>
                <w:sz w:val="24"/>
                <w:highlight w:val="none"/>
                <w:lang w:eastAsia="zh-CN"/>
              </w:rPr>
              <w:t>）</w:t>
            </w:r>
            <w:r>
              <w:rPr>
                <w:rFonts w:hint="eastAsia"/>
                <w:bCs/>
                <w:color w:val="auto"/>
                <w:sz w:val="24"/>
                <w:highlight w:val="none"/>
              </w:rPr>
              <w:t>中</w:t>
            </w:r>
            <w:r>
              <w:rPr>
                <w:rFonts w:hint="eastAsia"/>
                <w:bCs/>
                <w:color w:val="auto"/>
                <w:sz w:val="24"/>
                <w:highlight w:val="none"/>
                <w:lang w:val="en-US" w:eastAsia="zh-CN"/>
              </w:rPr>
              <w:t>三级</w:t>
            </w:r>
            <w:r>
              <w:rPr>
                <w:rFonts w:hint="eastAsia"/>
                <w:bCs/>
                <w:color w:val="auto"/>
                <w:sz w:val="24"/>
                <w:highlight w:val="none"/>
              </w:rPr>
              <w:t>标准后进入市政管网，</w:t>
            </w:r>
            <w:r>
              <w:rPr>
                <w:rFonts w:hint="eastAsia"/>
                <w:bCs/>
                <w:color w:val="auto"/>
                <w:sz w:val="24"/>
                <w:highlight w:val="none"/>
                <w:lang w:val="en-US" w:eastAsia="zh-CN"/>
              </w:rPr>
              <w:t>通过市政管网</w:t>
            </w:r>
            <w:r>
              <w:rPr>
                <w:rFonts w:hint="eastAsia"/>
                <w:bCs/>
                <w:color w:val="auto"/>
                <w:sz w:val="24"/>
                <w:highlight w:val="none"/>
              </w:rPr>
              <w:t>排入园区污水处理厂处理达到《城镇污水处理厂污染物排放标准》（GB18918-2002）一级A标准后排入</w:t>
            </w:r>
            <w:r>
              <w:rPr>
                <w:rFonts w:hint="eastAsia"/>
                <w:bCs/>
                <w:color w:val="auto"/>
                <w:sz w:val="24"/>
                <w:highlight w:val="none"/>
                <w:lang w:val="en-US" w:eastAsia="zh-CN"/>
              </w:rPr>
              <w:t>大坝河</w:t>
            </w:r>
            <w:r>
              <w:rPr>
                <w:rFonts w:hint="eastAsia"/>
                <w:bCs/>
                <w:color w:val="auto"/>
                <w:sz w:val="24"/>
                <w:highlight w:val="none"/>
              </w:rPr>
              <w:t>。</w:t>
            </w:r>
          </w:p>
          <w:p>
            <w:pPr>
              <w:adjustRightInd w:val="0"/>
              <w:snapToGrid w:val="0"/>
              <w:spacing w:line="360" w:lineRule="auto"/>
              <w:ind w:firstLine="480" w:firstLineChars="200"/>
              <w:rPr>
                <w:rFonts w:hint="default" w:eastAsia="宋体"/>
                <w:bCs/>
                <w:color w:val="auto"/>
                <w:sz w:val="24"/>
                <w:highlight w:val="none"/>
                <w:vertAlign w:val="baseline"/>
                <w:lang w:val="en-US" w:eastAsia="zh-CN"/>
              </w:rPr>
            </w:pPr>
            <w:r>
              <w:rPr>
                <w:rFonts w:hint="eastAsia"/>
                <w:bCs/>
                <w:color w:val="auto"/>
                <w:sz w:val="24"/>
                <w:highlight w:val="none"/>
                <w:lang w:val="en-US" w:eastAsia="zh-CN"/>
              </w:rPr>
              <w:t>现有</w:t>
            </w:r>
            <w:r>
              <w:rPr>
                <w:rFonts w:hint="eastAsia"/>
                <w:bCs/>
                <w:color w:val="auto"/>
                <w:sz w:val="24"/>
                <w:highlight w:val="none"/>
              </w:rPr>
              <w:t>项目</w:t>
            </w:r>
            <w:r>
              <w:rPr>
                <w:rFonts w:hint="eastAsia"/>
                <w:bCs/>
                <w:color w:val="auto"/>
                <w:sz w:val="24"/>
                <w:highlight w:val="none"/>
                <w:lang w:val="en-US" w:eastAsia="zh-CN"/>
              </w:rPr>
              <w:t>污水处理站处理规模为500m</w:t>
            </w:r>
            <w:r>
              <w:rPr>
                <w:rFonts w:hint="eastAsia"/>
                <w:bCs/>
                <w:color w:val="auto"/>
                <w:sz w:val="24"/>
                <w:highlight w:val="none"/>
                <w:vertAlign w:val="superscript"/>
                <w:lang w:val="en-US" w:eastAsia="zh-CN"/>
              </w:rPr>
              <w:t>3</w:t>
            </w:r>
            <w:r>
              <w:rPr>
                <w:rFonts w:hint="eastAsia"/>
                <w:bCs/>
                <w:color w:val="auto"/>
                <w:sz w:val="24"/>
                <w:highlight w:val="none"/>
                <w:vertAlign w:val="baseline"/>
                <w:lang w:val="en-US" w:eastAsia="zh-CN"/>
              </w:rPr>
              <w:t>/d，处理工艺为“格栅渠+调节池+气浮+厌氧池+A/O池+二沉池+排放渠”工艺。</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4"/>
              <w:gridCol w:w="4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Cs w:val="21"/>
                      <w:highlight w:val="none"/>
                      <w:shd w:val="clear" w:color="auto" w:fill="FFFFFF"/>
                      <w:lang w:eastAsia="zh-CN"/>
                    </w:rPr>
                  </w:pPr>
                  <w:r>
                    <w:rPr>
                      <w:rFonts w:hint="eastAsia" w:ascii="Times New Roman" w:hAnsi="Times New Roman" w:eastAsia="宋体" w:cs="Times New Roman"/>
                      <w:bCs/>
                      <w:color w:val="auto"/>
                      <w:szCs w:val="21"/>
                      <w:highlight w:val="none"/>
                      <w:shd w:val="clear" w:color="auto" w:fill="FFFFFF"/>
                      <w:lang w:eastAsia="zh-CN"/>
                    </w:rPr>
                    <w:drawing>
                      <wp:inline distT="0" distB="0" distL="114300" distR="114300">
                        <wp:extent cx="2530475" cy="1901190"/>
                        <wp:effectExtent l="0" t="0" r="3175" b="3810"/>
                        <wp:docPr id="8" name="图片 28" descr="lADPJwKt3nqNyIzNAjjNAvQ_756_568.jp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 descr="lADPJwKt3nqNyIzNAjjNAvQ_756_568.jpg_720x720q90g"/>
                                <pic:cNvPicPr>
                                  <a:picLocks noChangeAspect="1"/>
                                </pic:cNvPicPr>
                              </pic:nvPicPr>
                              <pic:blipFill>
                                <a:blip r:embed="rId28"/>
                                <a:stretch>
                                  <a:fillRect/>
                                </a:stretch>
                              </pic:blipFill>
                              <pic:spPr>
                                <a:xfrm>
                                  <a:off x="0" y="0"/>
                                  <a:ext cx="2530475" cy="1901190"/>
                                </a:xfrm>
                                <a:prstGeom prst="rect">
                                  <a:avLst/>
                                </a:prstGeom>
                                <a:noFill/>
                                <a:ln>
                                  <a:noFill/>
                                </a:ln>
                              </pic:spPr>
                            </pic:pic>
                          </a:graphicData>
                        </a:graphic>
                      </wp:inline>
                    </w:drawing>
                  </w:r>
                </w:p>
              </w:tc>
              <w:tc>
                <w:tcPr>
                  <w:tcW w:w="25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Cs w:val="21"/>
                      <w:highlight w:val="none"/>
                      <w:shd w:val="clear" w:color="auto" w:fill="FFFFFF"/>
                      <w:lang w:eastAsia="zh-CN"/>
                    </w:rPr>
                  </w:pPr>
                  <w:r>
                    <w:rPr>
                      <w:rFonts w:hint="eastAsia" w:ascii="Times New Roman" w:hAnsi="Times New Roman" w:eastAsia="宋体" w:cs="Times New Roman"/>
                      <w:bCs/>
                      <w:color w:val="auto"/>
                      <w:szCs w:val="21"/>
                      <w:highlight w:val="none"/>
                      <w:shd w:val="clear" w:color="auto" w:fill="FFFFFF"/>
                      <w:lang w:eastAsia="zh-CN"/>
                    </w:rPr>
                    <w:drawing>
                      <wp:inline distT="0" distB="0" distL="114300" distR="114300">
                        <wp:extent cx="2530475" cy="1901190"/>
                        <wp:effectExtent l="0" t="0" r="3175" b="3810"/>
                        <wp:docPr id="9" name="图片 29" descr="lADPJx8Z06DByH3NAjjNAvQ_756_568.jp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 descr="lADPJx8Z06DByH3NAjjNAvQ_756_568.jpg_720x720q90g"/>
                                <pic:cNvPicPr>
                                  <a:picLocks noChangeAspect="1"/>
                                </pic:cNvPicPr>
                              </pic:nvPicPr>
                              <pic:blipFill>
                                <a:blip r:embed="rId29"/>
                                <a:stretch>
                                  <a:fillRect/>
                                </a:stretch>
                              </pic:blipFill>
                              <pic:spPr>
                                <a:xfrm>
                                  <a:off x="0" y="0"/>
                                  <a:ext cx="2530475" cy="19011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21"/>
                      <w:highlight w:val="none"/>
                      <w:shd w:val="clear" w:color="auto" w:fill="FFFFFF"/>
                      <w:lang w:val="en-US" w:eastAsia="zh-CN"/>
                    </w:rPr>
                  </w:pPr>
                  <w:r>
                    <w:rPr>
                      <w:rFonts w:hint="eastAsia" w:ascii="Times New Roman" w:hAnsi="Times New Roman" w:eastAsia="宋体" w:cs="Times New Roman"/>
                      <w:bCs/>
                      <w:color w:val="auto"/>
                      <w:szCs w:val="21"/>
                      <w:highlight w:val="none"/>
                      <w:shd w:val="clear" w:color="auto" w:fill="FFFFFF"/>
                      <w:lang w:val="en-US" w:eastAsia="zh-CN"/>
                    </w:rPr>
                    <w:t>污水处理站</w:t>
                  </w:r>
                </w:p>
              </w:tc>
              <w:tc>
                <w:tcPr>
                  <w:tcW w:w="25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21"/>
                      <w:highlight w:val="none"/>
                      <w:shd w:val="clear" w:color="auto" w:fill="FFFFFF"/>
                      <w:lang w:val="en-US" w:eastAsia="zh-CN"/>
                    </w:rPr>
                  </w:pPr>
                  <w:r>
                    <w:rPr>
                      <w:rFonts w:hint="eastAsia" w:ascii="Times New Roman" w:hAnsi="Times New Roman" w:eastAsia="宋体" w:cs="Times New Roman"/>
                      <w:bCs/>
                      <w:color w:val="auto"/>
                      <w:szCs w:val="21"/>
                      <w:highlight w:val="none"/>
                      <w:shd w:val="clear" w:color="auto" w:fill="FFFFFF"/>
                      <w:lang w:val="en-US" w:eastAsia="zh-CN"/>
                    </w:rPr>
                    <w:t>排水口</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auto"/>
                <w:sz w:val="24"/>
                <w:highlight w:val="none"/>
              </w:rPr>
            </w:pPr>
            <w:r>
              <w:rPr>
                <w:rFonts w:hint="eastAsia" w:eastAsia="宋体"/>
                <w:b/>
                <w:bCs w:val="0"/>
                <w:color w:val="auto"/>
                <w:szCs w:val="21"/>
                <w:highlight w:val="none"/>
                <w:shd w:val="clear" w:color="auto" w:fill="FFFFFF"/>
                <w:lang w:val="en-US" w:eastAsia="zh-CN"/>
              </w:rPr>
              <w:t>图2-8  废水相关</w:t>
            </w:r>
            <w:r>
              <w:rPr>
                <w:rFonts w:hint="eastAsia" w:eastAsia="宋体"/>
                <w:b/>
                <w:bCs w:val="0"/>
                <w:color w:val="auto"/>
                <w:szCs w:val="21"/>
                <w:highlight w:val="none"/>
                <w:shd w:val="clear" w:color="auto" w:fill="FFFFFF"/>
              </w:rPr>
              <w:t>现场照片</w:t>
            </w:r>
          </w:p>
          <w:p>
            <w:pPr>
              <w:adjustRightInd w:val="0"/>
              <w:snapToGrid w:val="0"/>
              <w:spacing w:line="360" w:lineRule="auto"/>
              <w:ind w:firstLine="482" w:firstLineChars="200"/>
              <w:rPr>
                <w:b/>
                <w:color w:val="auto"/>
                <w:sz w:val="24"/>
                <w:highlight w:val="none"/>
              </w:rPr>
            </w:pPr>
            <w:r>
              <w:rPr>
                <w:rFonts w:hint="eastAsia"/>
                <w:b/>
                <w:color w:val="auto"/>
                <w:sz w:val="24"/>
                <w:highlight w:val="none"/>
              </w:rPr>
              <w:t>②废水达标性分析</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根据</w:t>
            </w:r>
            <w:r>
              <w:rPr>
                <w:rFonts w:hint="eastAsia" w:ascii="宋体" w:hAnsi="宋体"/>
                <w:color w:val="auto"/>
                <w:sz w:val="24"/>
                <w:szCs w:val="24"/>
                <w:highlight w:val="none"/>
                <w:lang w:val="en-US" w:eastAsia="zh-CN"/>
              </w:rPr>
              <w:t>四川省胡婆婆食品有限责任</w:t>
            </w:r>
            <w:r>
              <w:rPr>
                <w:rFonts w:hint="eastAsia" w:ascii="Times New Roman" w:hAnsi="Times New Roman" w:eastAsia="宋体" w:cs="Times New Roman"/>
                <w:b w:val="0"/>
                <w:bCs/>
                <w:color w:val="auto"/>
                <w:sz w:val="24"/>
                <w:highlight w:val="none"/>
                <w:lang w:val="en-US" w:eastAsia="zh-CN"/>
              </w:rPr>
              <w:t>公司例行监测报告，现有项目废水监测结果如下。</w:t>
            </w:r>
          </w:p>
          <w:p>
            <w:pPr>
              <w:pStyle w:val="41"/>
              <w:bidi w:val="0"/>
              <w:rPr>
                <w:rFonts w:hint="default"/>
                <w:b/>
                <w:bCs/>
                <w:color w:val="auto"/>
                <w:kern w:val="0"/>
                <w:szCs w:val="21"/>
                <w:highlight w:val="none"/>
                <w:lang w:val="en-US" w:eastAsia="zh-CN"/>
              </w:rPr>
            </w:pPr>
            <w:r>
              <w:rPr>
                <w:rFonts w:hint="eastAsia"/>
                <w:color w:val="auto"/>
                <w:highlight w:val="none"/>
              </w:rPr>
              <w:t>表</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19</w:t>
            </w:r>
            <w:r>
              <w:rPr>
                <w:rFonts w:hint="eastAsia"/>
                <w:color w:val="auto"/>
                <w:highlight w:val="none"/>
              </w:rPr>
              <w:t xml:space="preserve">  </w:t>
            </w:r>
            <w:r>
              <w:rPr>
                <w:rFonts w:hint="eastAsia"/>
                <w:b/>
                <w:bCs/>
                <w:color w:val="auto"/>
                <w:kern w:val="0"/>
                <w:szCs w:val="21"/>
                <w:highlight w:val="none"/>
                <w:lang w:val="en-US" w:eastAsia="zh-CN"/>
              </w:rPr>
              <w:t>废水监测结果表1</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756"/>
              <w:gridCol w:w="872"/>
              <w:gridCol w:w="672"/>
              <w:gridCol w:w="914"/>
              <w:gridCol w:w="914"/>
              <w:gridCol w:w="914"/>
              <w:gridCol w:w="1066"/>
              <w:gridCol w:w="773"/>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点位编号</w:t>
                  </w:r>
                </w:p>
              </w:tc>
              <w:tc>
                <w:tcPr>
                  <w:tcW w:w="450"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点位名称</w:t>
                  </w:r>
                </w:p>
              </w:tc>
              <w:tc>
                <w:tcPr>
                  <w:tcW w:w="519"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检测项目</w:t>
                  </w:r>
                </w:p>
              </w:tc>
              <w:tc>
                <w:tcPr>
                  <w:tcW w:w="400"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单位</w:t>
                  </w:r>
                </w:p>
              </w:tc>
              <w:tc>
                <w:tcPr>
                  <w:tcW w:w="2266" w:type="pct"/>
                  <w:gridSpan w:val="4"/>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检测结果</w:t>
                  </w:r>
                </w:p>
              </w:tc>
              <w:tc>
                <w:tcPr>
                  <w:tcW w:w="459"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标准限值</w:t>
                  </w:r>
                </w:p>
              </w:tc>
              <w:tc>
                <w:tcPr>
                  <w:tcW w:w="453" w:type="pct"/>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450"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519"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400"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2266" w:type="pct"/>
                  <w:gridSpan w:val="4"/>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2022.05.27</w:t>
                  </w:r>
                </w:p>
              </w:tc>
              <w:tc>
                <w:tcPr>
                  <w:tcW w:w="459"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53"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450"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519"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400" w:type="pct"/>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544"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第一次</w:t>
                  </w:r>
                </w:p>
              </w:tc>
              <w:tc>
                <w:tcPr>
                  <w:tcW w:w="544"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第二次</w:t>
                  </w:r>
                </w:p>
              </w:tc>
              <w:tc>
                <w:tcPr>
                  <w:tcW w:w="544"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第三次</w:t>
                  </w:r>
                </w:p>
              </w:tc>
              <w:tc>
                <w:tcPr>
                  <w:tcW w:w="633"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均值/范围</w:t>
                  </w:r>
                </w:p>
              </w:tc>
              <w:tc>
                <w:tcPr>
                  <w:tcW w:w="459"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53"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450"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污水排放口</w:t>
                  </w:r>
                </w:p>
              </w:tc>
              <w:tc>
                <w:tcPr>
                  <w:tcW w:w="51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pH</w:t>
                  </w:r>
                </w:p>
              </w:tc>
              <w:tc>
                <w:tcPr>
                  <w:tcW w:w="40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无量纲</w:t>
                  </w:r>
                </w:p>
              </w:tc>
              <w:tc>
                <w:tcPr>
                  <w:tcW w:w="544"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8.14</w:t>
                  </w:r>
                </w:p>
              </w:tc>
              <w:tc>
                <w:tcPr>
                  <w:tcW w:w="544"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8.13</w:t>
                  </w:r>
                </w:p>
              </w:tc>
              <w:tc>
                <w:tcPr>
                  <w:tcW w:w="544"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8.12</w:t>
                  </w:r>
                </w:p>
              </w:tc>
              <w:tc>
                <w:tcPr>
                  <w:tcW w:w="63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8.12~8.14</w:t>
                  </w:r>
                </w:p>
              </w:tc>
              <w:tc>
                <w:tcPr>
                  <w:tcW w:w="77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6~9</w:t>
                  </w:r>
                </w:p>
              </w:tc>
              <w:tc>
                <w:tcPr>
                  <w:tcW w:w="45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5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51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悬浮物</w:t>
                  </w:r>
                </w:p>
              </w:tc>
              <w:tc>
                <w:tcPr>
                  <w:tcW w:w="40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mg/L</w:t>
                  </w:r>
                </w:p>
              </w:tc>
              <w:tc>
                <w:tcPr>
                  <w:tcW w:w="544"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126</w:t>
                  </w:r>
                </w:p>
              </w:tc>
              <w:tc>
                <w:tcPr>
                  <w:tcW w:w="544"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109</w:t>
                  </w:r>
                </w:p>
              </w:tc>
              <w:tc>
                <w:tcPr>
                  <w:tcW w:w="544"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113</w:t>
                  </w:r>
                </w:p>
              </w:tc>
              <w:tc>
                <w:tcPr>
                  <w:tcW w:w="63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116</w:t>
                  </w:r>
                </w:p>
              </w:tc>
              <w:tc>
                <w:tcPr>
                  <w:tcW w:w="77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400</w:t>
                  </w:r>
                </w:p>
              </w:tc>
              <w:tc>
                <w:tcPr>
                  <w:tcW w:w="45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5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51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化学需氧量</w:t>
                  </w:r>
                </w:p>
              </w:tc>
              <w:tc>
                <w:tcPr>
                  <w:tcW w:w="40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mg/L</w:t>
                  </w:r>
                </w:p>
              </w:tc>
              <w:tc>
                <w:tcPr>
                  <w:tcW w:w="544"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142</w:t>
                  </w:r>
                </w:p>
              </w:tc>
              <w:tc>
                <w:tcPr>
                  <w:tcW w:w="544"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137</w:t>
                  </w:r>
                </w:p>
              </w:tc>
              <w:tc>
                <w:tcPr>
                  <w:tcW w:w="544"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133</w:t>
                  </w:r>
                </w:p>
              </w:tc>
              <w:tc>
                <w:tcPr>
                  <w:tcW w:w="63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137</w:t>
                  </w:r>
                </w:p>
              </w:tc>
              <w:tc>
                <w:tcPr>
                  <w:tcW w:w="77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500</w:t>
                  </w:r>
                </w:p>
              </w:tc>
              <w:tc>
                <w:tcPr>
                  <w:tcW w:w="45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5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51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五日生化需氧量</w:t>
                  </w:r>
                </w:p>
              </w:tc>
              <w:tc>
                <w:tcPr>
                  <w:tcW w:w="40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mg/L</w:t>
                  </w:r>
                </w:p>
              </w:tc>
              <w:tc>
                <w:tcPr>
                  <w:tcW w:w="544"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31.2</w:t>
                  </w:r>
                </w:p>
              </w:tc>
              <w:tc>
                <w:tcPr>
                  <w:tcW w:w="544"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26.3</w:t>
                  </w:r>
                </w:p>
              </w:tc>
              <w:tc>
                <w:tcPr>
                  <w:tcW w:w="544"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28.1</w:t>
                  </w:r>
                </w:p>
              </w:tc>
              <w:tc>
                <w:tcPr>
                  <w:tcW w:w="63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28.5</w:t>
                  </w:r>
                </w:p>
              </w:tc>
              <w:tc>
                <w:tcPr>
                  <w:tcW w:w="77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300</w:t>
                  </w:r>
                </w:p>
              </w:tc>
              <w:tc>
                <w:tcPr>
                  <w:tcW w:w="45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5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51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氨氮</w:t>
                  </w:r>
                </w:p>
              </w:tc>
              <w:tc>
                <w:tcPr>
                  <w:tcW w:w="40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mg/L</w:t>
                  </w:r>
                </w:p>
              </w:tc>
              <w:tc>
                <w:tcPr>
                  <w:tcW w:w="544"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17.0</w:t>
                  </w:r>
                </w:p>
              </w:tc>
              <w:tc>
                <w:tcPr>
                  <w:tcW w:w="544"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17.4</w:t>
                  </w:r>
                </w:p>
              </w:tc>
              <w:tc>
                <w:tcPr>
                  <w:tcW w:w="544"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17.1</w:t>
                  </w:r>
                </w:p>
              </w:tc>
              <w:tc>
                <w:tcPr>
                  <w:tcW w:w="63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17.2</w:t>
                  </w:r>
                </w:p>
              </w:tc>
              <w:tc>
                <w:tcPr>
                  <w:tcW w:w="77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45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450"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51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动植物油</w:t>
                  </w:r>
                </w:p>
              </w:tc>
              <w:tc>
                <w:tcPr>
                  <w:tcW w:w="40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mg/L</w:t>
                  </w:r>
                </w:p>
              </w:tc>
              <w:tc>
                <w:tcPr>
                  <w:tcW w:w="544"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0.13</w:t>
                  </w:r>
                </w:p>
              </w:tc>
              <w:tc>
                <w:tcPr>
                  <w:tcW w:w="544"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0.15</w:t>
                  </w:r>
                </w:p>
              </w:tc>
              <w:tc>
                <w:tcPr>
                  <w:tcW w:w="544"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0.13</w:t>
                  </w:r>
                </w:p>
              </w:tc>
              <w:tc>
                <w:tcPr>
                  <w:tcW w:w="63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0.14</w:t>
                  </w:r>
                </w:p>
              </w:tc>
              <w:tc>
                <w:tcPr>
                  <w:tcW w:w="773"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100</w:t>
                  </w:r>
                </w:p>
              </w:tc>
              <w:tc>
                <w:tcPr>
                  <w:tcW w:w="45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noWrap w:val="0"/>
                  <w:vAlign w:val="center"/>
                </w:tcPr>
                <w:p>
                  <w:pPr>
                    <w:adjustRightInd w:val="0"/>
                    <w:snapToGrid w:val="0"/>
                    <w:jc w:val="both"/>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评价标准：《污水综合排放标准》（GB8978-1996）表4中三级排放标准限值</w:t>
                  </w:r>
                  <w:r>
                    <w:rPr>
                      <w:rFonts w:hint="eastAsia" w:cs="Times New Roman"/>
                      <w:color w:val="auto"/>
                      <w:szCs w:val="21"/>
                      <w:highlight w:val="none"/>
                      <w:lang w:val="en-US" w:eastAsia="zh-CN"/>
                    </w:rPr>
                    <w:t>。</w:t>
                  </w:r>
                </w:p>
              </w:tc>
            </w:tr>
          </w:tbl>
          <w:p>
            <w:pPr>
              <w:pStyle w:val="41"/>
              <w:bidi w:val="0"/>
              <w:rPr>
                <w:rFonts w:hint="default"/>
                <w:b/>
                <w:bCs/>
                <w:color w:val="auto"/>
                <w:kern w:val="0"/>
                <w:szCs w:val="21"/>
                <w:highlight w:val="none"/>
                <w:lang w:val="en-US" w:eastAsia="zh-CN"/>
              </w:rPr>
            </w:pPr>
            <w:r>
              <w:rPr>
                <w:rFonts w:hint="eastAsia"/>
                <w:color w:val="auto"/>
                <w:highlight w:val="none"/>
              </w:rPr>
              <w:t>表</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20</w:t>
            </w:r>
            <w:r>
              <w:rPr>
                <w:rFonts w:hint="eastAsia"/>
                <w:color w:val="auto"/>
                <w:highlight w:val="none"/>
              </w:rPr>
              <w:t xml:space="preserve">  </w:t>
            </w:r>
            <w:r>
              <w:rPr>
                <w:rFonts w:hint="eastAsia"/>
                <w:b/>
                <w:bCs/>
                <w:color w:val="auto"/>
                <w:kern w:val="0"/>
                <w:szCs w:val="21"/>
                <w:highlight w:val="none"/>
                <w:lang w:val="en-US" w:eastAsia="zh-CN"/>
              </w:rPr>
              <w:t>废水监测结果表2</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2"/>
              <w:gridCol w:w="1875"/>
              <w:gridCol w:w="1317"/>
              <w:gridCol w:w="1317"/>
              <w:gridCol w:w="1317"/>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1"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收样日期</w:t>
                  </w:r>
                </w:p>
              </w:tc>
              <w:tc>
                <w:tcPr>
                  <w:tcW w:w="1115"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样品编号</w:t>
                  </w:r>
                </w:p>
              </w:tc>
              <w:tc>
                <w:tcPr>
                  <w:tcW w:w="783"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样品标识</w:t>
                  </w:r>
                </w:p>
              </w:tc>
              <w:tc>
                <w:tcPr>
                  <w:tcW w:w="783"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检测项目</w:t>
                  </w:r>
                </w:p>
              </w:tc>
              <w:tc>
                <w:tcPr>
                  <w:tcW w:w="783"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单位</w:t>
                  </w:r>
                </w:p>
              </w:tc>
              <w:tc>
                <w:tcPr>
                  <w:tcW w:w="783" w:type="pc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751" w:type="pct"/>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2022.06.13</w:t>
                  </w:r>
                </w:p>
              </w:tc>
              <w:tc>
                <w:tcPr>
                  <w:tcW w:w="111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MJS22061301001</w:t>
                  </w:r>
                </w:p>
              </w:tc>
              <w:tc>
                <w:tcPr>
                  <w:tcW w:w="78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78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总磷</w:t>
                  </w:r>
                </w:p>
              </w:tc>
              <w:tc>
                <w:tcPr>
                  <w:tcW w:w="78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mg/L</w:t>
                  </w:r>
                </w:p>
              </w:tc>
              <w:tc>
                <w:tcPr>
                  <w:tcW w:w="78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11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MJS22061301002</w:t>
                  </w:r>
                </w:p>
              </w:tc>
              <w:tc>
                <w:tcPr>
                  <w:tcW w:w="78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78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总磷</w:t>
                  </w:r>
                </w:p>
              </w:tc>
              <w:tc>
                <w:tcPr>
                  <w:tcW w:w="78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mg/L</w:t>
                  </w:r>
                </w:p>
              </w:tc>
              <w:tc>
                <w:tcPr>
                  <w:tcW w:w="78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1115"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MJS22061301003</w:t>
                  </w:r>
                </w:p>
              </w:tc>
              <w:tc>
                <w:tcPr>
                  <w:tcW w:w="78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78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总磷</w:t>
                  </w:r>
                </w:p>
              </w:tc>
              <w:tc>
                <w:tcPr>
                  <w:tcW w:w="783"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mg/L</w:t>
                  </w:r>
                </w:p>
              </w:tc>
              <w:tc>
                <w:tcPr>
                  <w:tcW w:w="783"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3.38</w:t>
                  </w:r>
                </w:p>
              </w:tc>
            </w:tr>
          </w:tbl>
          <w:p>
            <w:pPr>
              <w:spacing w:line="360" w:lineRule="auto"/>
              <w:ind w:firstLine="480" w:firstLineChars="200"/>
              <w:rPr>
                <w:rFonts w:hint="eastAsia" w:ascii="Times New Roman" w:hAnsi="Times New Roman" w:eastAsia="宋体" w:cs="Times New Roman"/>
                <w:b w:val="0"/>
                <w:bCs/>
                <w:color w:val="auto"/>
                <w:sz w:val="24"/>
                <w:highlight w:val="none"/>
                <w:u w:val="single"/>
                <w:lang w:val="en-US" w:eastAsia="zh-CN"/>
              </w:rPr>
            </w:pPr>
            <w:r>
              <w:rPr>
                <w:rFonts w:hint="eastAsia" w:ascii="Times New Roman" w:hAnsi="Times New Roman" w:eastAsia="宋体" w:cs="Times New Roman"/>
                <w:color w:val="auto"/>
                <w:sz w:val="24"/>
                <w:highlight w:val="none"/>
                <w:lang w:val="en-US" w:eastAsia="zh-CN"/>
              </w:rPr>
              <w:t>综上，现有项目废水排口pH、悬浮物、化学需氧量、五日生化需氧量、氨氮、动植物油、总磷的浓度均满足《污水综合排放标准》（GB8978-1996）中的三级排放标准</w:t>
            </w:r>
            <w:r>
              <w:rPr>
                <w:rFonts w:hint="eastAsia"/>
                <w:bCs/>
                <w:color w:val="auto"/>
                <w:sz w:val="24"/>
                <w:highlight w:val="none"/>
                <w:lang w:eastAsia="zh-CN"/>
              </w:rPr>
              <w:t>，</w:t>
            </w:r>
            <w:r>
              <w:rPr>
                <w:rFonts w:hint="eastAsia"/>
                <w:b w:val="0"/>
                <w:bCs/>
                <w:color w:val="auto"/>
                <w:sz w:val="24"/>
                <w:highlight w:val="none"/>
                <w:u w:val="single"/>
                <w:lang w:val="en-US" w:eastAsia="zh-CN"/>
              </w:rPr>
              <w:t>现有项目废水达标排放。</w:t>
            </w:r>
          </w:p>
          <w:p>
            <w:pPr>
              <w:adjustRightInd w:val="0"/>
              <w:snapToGrid w:val="0"/>
              <w:spacing w:line="360" w:lineRule="auto"/>
              <w:ind w:firstLine="482" w:firstLineChars="200"/>
              <w:rPr>
                <w:rFonts w:hint="eastAsia"/>
                <w:b/>
                <w:color w:val="auto"/>
                <w:sz w:val="24"/>
                <w:highlight w:val="none"/>
              </w:rPr>
            </w:pPr>
            <w:r>
              <w:rPr>
                <w:rFonts w:hint="eastAsia"/>
                <w:b/>
                <w:color w:val="auto"/>
                <w:sz w:val="24"/>
                <w:highlight w:val="none"/>
              </w:rPr>
              <w:t>（3）噪声</w:t>
            </w:r>
          </w:p>
          <w:p>
            <w:pPr>
              <w:adjustRightInd w:val="0"/>
              <w:snapToGrid w:val="0"/>
              <w:spacing w:line="360" w:lineRule="auto"/>
              <w:ind w:firstLine="482" w:firstLineChars="200"/>
              <w:rPr>
                <w:b/>
                <w:color w:val="auto"/>
                <w:sz w:val="24"/>
                <w:highlight w:val="none"/>
              </w:rPr>
            </w:pPr>
            <w:r>
              <w:rPr>
                <w:rFonts w:hint="eastAsia"/>
                <w:b/>
                <w:color w:val="auto"/>
                <w:sz w:val="24"/>
                <w:highlight w:val="none"/>
              </w:rPr>
              <w:t>①噪声处理措施</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现有项目噪声主要来自于片冰机、斩拌机、切片机、烘干机、压榨机、风机、冷却机组、水泵等机械噪声。</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现有项目采取的措施是设备减振、厂房隔声，降低噪声影响</w:t>
            </w:r>
            <w:r>
              <w:rPr>
                <w:rFonts w:hint="eastAsia"/>
                <w:color w:val="auto"/>
                <w:sz w:val="24"/>
                <w:highlight w:val="none"/>
                <w:lang w:eastAsia="zh-CN"/>
              </w:rPr>
              <w:t>。</w:t>
            </w:r>
          </w:p>
          <w:p>
            <w:pPr>
              <w:adjustRightInd w:val="0"/>
              <w:snapToGrid w:val="0"/>
              <w:spacing w:line="360" w:lineRule="auto"/>
              <w:ind w:firstLine="482" w:firstLineChars="200"/>
              <w:rPr>
                <w:rFonts w:hint="eastAsia"/>
                <w:b/>
                <w:color w:val="auto"/>
                <w:sz w:val="24"/>
                <w:highlight w:val="none"/>
              </w:rPr>
            </w:pPr>
            <w:r>
              <w:rPr>
                <w:rFonts w:hint="eastAsia"/>
                <w:b/>
                <w:color w:val="auto"/>
                <w:sz w:val="24"/>
                <w:highlight w:val="none"/>
              </w:rPr>
              <w:t>②噪声达标性分析</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w:t>
            </w:r>
            <w:r>
              <w:rPr>
                <w:rFonts w:hint="eastAsia" w:ascii="宋体" w:hAnsi="宋体"/>
                <w:color w:val="auto"/>
                <w:sz w:val="24"/>
                <w:szCs w:val="24"/>
                <w:highlight w:val="none"/>
                <w:lang w:val="en-US" w:eastAsia="zh-CN"/>
              </w:rPr>
              <w:t>四川省胡婆婆食品有限责任</w:t>
            </w:r>
            <w:r>
              <w:rPr>
                <w:rFonts w:hint="eastAsia" w:ascii="Times New Roman" w:hAnsi="Times New Roman" w:eastAsia="宋体" w:cs="Times New Roman"/>
                <w:b w:val="0"/>
                <w:bCs/>
                <w:color w:val="auto"/>
                <w:sz w:val="24"/>
                <w:highlight w:val="none"/>
                <w:lang w:val="en-US" w:eastAsia="zh-CN"/>
              </w:rPr>
              <w:t>公司新建项目竣工环境保护验收监测报告</w:t>
            </w:r>
            <w:r>
              <w:rPr>
                <w:rFonts w:hint="eastAsia" w:ascii="Times New Roman" w:hAnsi="Times New Roman" w:eastAsia="宋体" w:cs="Times New Roman"/>
                <w:color w:val="auto"/>
                <w:sz w:val="24"/>
                <w:highlight w:val="none"/>
                <w:lang w:val="en-US" w:eastAsia="zh-CN"/>
              </w:rPr>
              <w:t>，</w:t>
            </w:r>
            <w:r>
              <w:rPr>
                <w:rFonts w:hint="eastAsia"/>
                <w:bCs/>
                <w:color w:val="auto"/>
                <w:sz w:val="24"/>
                <w:highlight w:val="none"/>
              </w:rPr>
              <w:t>现有项目噪声监测结果如下。</w:t>
            </w:r>
          </w:p>
          <w:p>
            <w:pPr>
              <w:pStyle w:val="41"/>
              <w:bidi w:val="0"/>
              <w:rPr>
                <w:rFonts w:hint="default" w:eastAsia="宋体"/>
                <w:color w:val="auto"/>
                <w:highlight w:val="none"/>
                <w:lang w:val="en-US" w:eastAsia="zh-CN"/>
              </w:rPr>
            </w:pPr>
            <w:r>
              <w:rPr>
                <w:rFonts w:hint="eastAsia"/>
                <w:color w:val="auto"/>
                <w:highlight w:val="none"/>
              </w:rPr>
              <w:t>表</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21</w:t>
            </w:r>
            <w:r>
              <w:rPr>
                <w:rFonts w:hint="eastAsia"/>
                <w:color w:val="auto"/>
                <w:highlight w:val="none"/>
              </w:rPr>
              <w:t xml:space="preserve">  </w:t>
            </w:r>
            <w:r>
              <w:rPr>
                <w:rFonts w:hint="eastAsia"/>
                <w:b/>
                <w:bCs/>
                <w:color w:val="auto"/>
                <w:kern w:val="0"/>
                <w:szCs w:val="21"/>
                <w:highlight w:val="none"/>
              </w:rPr>
              <w:t>噪声</w:t>
            </w:r>
            <w:r>
              <w:rPr>
                <w:rFonts w:hint="eastAsia"/>
                <w:b/>
                <w:bCs/>
                <w:color w:val="auto"/>
                <w:kern w:val="0"/>
                <w:szCs w:val="21"/>
                <w:highlight w:val="none"/>
                <w:lang w:val="en-US" w:eastAsia="zh-CN"/>
              </w:rPr>
              <w:t>监测结果表     单位：dB（A）</w:t>
            </w:r>
          </w:p>
          <w:tbl>
            <w:tblPr>
              <w:tblStyle w:val="21"/>
              <w:tblW w:w="497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73"/>
              <w:gridCol w:w="1673"/>
              <w:gridCol w:w="1673"/>
              <w:gridCol w:w="1673"/>
              <w:gridCol w:w="16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1" w:hRule="atLeast"/>
                <w:jc w:val="center"/>
              </w:trPr>
              <w:tc>
                <w:tcPr>
                  <w:tcW w:w="999"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监测时间</w:t>
                  </w:r>
                </w:p>
              </w:tc>
              <w:tc>
                <w:tcPr>
                  <w:tcW w:w="999"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监测点位</w:t>
                  </w:r>
                </w:p>
              </w:tc>
              <w:tc>
                <w:tcPr>
                  <w:tcW w:w="999"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时间段</w:t>
                  </w:r>
                </w:p>
              </w:tc>
              <w:tc>
                <w:tcPr>
                  <w:tcW w:w="999"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监测值Leq</w:t>
                  </w:r>
                </w:p>
              </w:tc>
              <w:tc>
                <w:tcPr>
                  <w:tcW w:w="1001"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标准限值*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restart"/>
                  <w:tcBorders>
                    <w:top w:val="single" w:color="auto" w:sz="2" w:space="0"/>
                    <w:left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2019年6月26日</w:t>
                  </w:r>
                </w:p>
              </w:tc>
              <w:tc>
                <w:tcPr>
                  <w:tcW w:w="999" w:type="pct"/>
                  <w:vMerge w:val="restart"/>
                  <w:tcBorders>
                    <w:top w:val="single" w:color="auto" w:sz="2" w:space="0"/>
                    <w:left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1#项目东厂界外1m</w:t>
                  </w:r>
                </w:p>
              </w:tc>
              <w:tc>
                <w:tcPr>
                  <w:tcW w:w="999"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昼间1</w:t>
                  </w:r>
                </w:p>
              </w:tc>
              <w:tc>
                <w:tcPr>
                  <w:tcW w:w="999"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53</w:t>
                  </w:r>
                </w:p>
              </w:tc>
              <w:tc>
                <w:tcPr>
                  <w:tcW w:w="1001" w:type="pct"/>
                  <w:vMerge w:val="restart"/>
                  <w:tcBorders>
                    <w:top w:val="single" w:color="auto" w:sz="2" w:space="0"/>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昼间≤65</w:t>
                  </w:r>
                </w:p>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夜间≤55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昼间2</w:t>
                  </w:r>
                </w:p>
              </w:tc>
              <w:tc>
                <w:tcPr>
                  <w:tcW w:w="999"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52</w:t>
                  </w:r>
                </w:p>
              </w:tc>
              <w:tc>
                <w:tcPr>
                  <w:tcW w:w="1001"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夜间1</w:t>
                  </w:r>
                </w:p>
              </w:tc>
              <w:tc>
                <w:tcPr>
                  <w:tcW w:w="999"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1001"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tcBorders>
                    <w:left w:val="single" w:color="auto" w:sz="2" w:space="0"/>
                    <w:bottom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夜间2</w:t>
                  </w:r>
                </w:p>
              </w:tc>
              <w:tc>
                <w:tcPr>
                  <w:tcW w:w="999"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49</w:t>
                  </w:r>
                </w:p>
              </w:tc>
              <w:tc>
                <w:tcPr>
                  <w:tcW w:w="1001"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restart"/>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2#项目南厂界外1m</w:t>
                  </w: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昼间1</w:t>
                  </w:r>
                </w:p>
              </w:tc>
              <w:tc>
                <w:tcPr>
                  <w:tcW w:w="99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59</w:t>
                  </w:r>
                </w:p>
              </w:tc>
              <w:tc>
                <w:tcPr>
                  <w:tcW w:w="1001"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昼间2</w:t>
                  </w:r>
                </w:p>
              </w:tc>
              <w:tc>
                <w:tcPr>
                  <w:tcW w:w="99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1001"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夜间1</w:t>
                  </w:r>
                </w:p>
              </w:tc>
              <w:tc>
                <w:tcPr>
                  <w:tcW w:w="99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52</w:t>
                  </w:r>
                </w:p>
              </w:tc>
              <w:tc>
                <w:tcPr>
                  <w:tcW w:w="1001"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夜间2</w:t>
                  </w:r>
                </w:p>
              </w:tc>
              <w:tc>
                <w:tcPr>
                  <w:tcW w:w="99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52</w:t>
                  </w:r>
                </w:p>
              </w:tc>
              <w:tc>
                <w:tcPr>
                  <w:tcW w:w="1001"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restart"/>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3#项目西厂界外1m</w:t>
                  </w: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昼间1</w:t>
                  </w:r>
                </w:p>
              </w:tc>
              <w:tc>
                <w:tcPr>
                  <w:tcW w:w="99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62</w:t>
                  </w:r>
                </w:p>
              </w:tc>
              <w:tc>
                <w:tcPr>
                  <w:tcW w:w="1001"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昼间2</w:t>
                  </w:r>
                </w:p>
              </w:tc>
              <w:tc>
                <w:tcPr>
                  <w:tcW w:w="99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61</w:t>
                  </w:r>
                </w:p>
              </w:tc>
              <w:tc>
                <w:tcPr>
                  <w:tcW w:w="1001"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夜间1</w:t>
                  </w:r>
                </w:p>
              </w:tc>
              <w:tc>
                <w:tcPr>
                  <w:tcW w:w="99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51</w:t>
                  </w:r>
                </w:p>
              </w:tc>
              <w:tc>
                <w:tcPr>
                  <w:tcW w:w="1001"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夜间2</w:t>
                  </w:r>
                </w:p>
              </w:tc>
              <w:tc>
                <w:tcPr>
                  <w:tcW w:w="99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51</w:t>
                  </w:r>
                </w:p>
              </w:tc>
              <w:tc>
                <w:tcPr>
                  <w:tcW w:w="1001"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restart"/>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4#项目北厂界外1m</w:t>
                  </w: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昼间1</w:t>
                  </w:r>
                </w:p>
              </w:tc>
              <w:tc>
                <w:tcPr>
                  <w:tcW w:w="99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52</w:t>
                  </w:r>
                </w:p>
              </w:tc>
              <w:tc>
                <w:tcPr>
                  <w:tcW w:w="1001"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昼间2</w:t>
                  </w:r>
                </w:p>
              </w:tc>
              <w:tc>
                <w:tcPr>
                  <w:tcW w:w="99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52</w:t>
                  </w:r>
                </w:p>
              </w:tc>
              <w:tc>
                <w:tcPr>
                  <w:tcW w:w="1001"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夜间1</w:t>
                  </w:r>
                </w:p>
              </w:tc>
              <w:tc>
                <w:tcPr>
                  <w:tcW w:w="99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48</w:t>
                  </w:r>
                </w:p>
              </w:tc>
              <w:tc>
                <w:tcPr>
                  <w:tcW w:w="1001"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夜间2</w:t>
                  </w:r>
                </w:p>
              </w:tc>
              <w:tc>
                <w:tcPr>
                  <w:tcW w:w="99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49</w:t>
                  </w:r>
                </w:p>
              </w:tc>
              <w:tc>
                <w:tcPr>
                  <w:tcW w:w="1001"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restart"/>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2019年6月28日</w:t>
                  </w:r>
                </w:p>
              </w:tc>
              <w:tc>
                <w:tcPr>
                  <w:tcW w:w="999" w:type="pct"/>
                  <w:vMerge w:val="restar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1#项目东厂界外1m</w:t>
                  </w: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昼间1</w:t>
                  </w:r>
                </w:p>
              </w:tc>
              <w:tc>
                <w:tcPr>
                  <w:tcW w:w="999"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52</w:t>
                  </w:r>
                </w:p>
              </w:tc>
              <w:tc>
                <w:tcPr>
                  <w:tcW w:w="1001"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昼间2</w:t>
                  </w:r>
                </w:p>
              </w:tc>
              <w:tc>
                <w:tcPr>
                  <w:tcW w:w="999" w:type="pct"/>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1001"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夜间1</w:t>
                  </w:r>
                </w:p>
              </w:tc>
              <w:tc>
                <w:tcPr>
                  <w:tcW w:w="999" w:type="pct"/>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48</w:t>
                  </w:r>
                </w:p>
              </w:tc>
              <w:tc>
                <w:tcPr>
                  <w:tcW w:w="1001"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夜间2</w:t>
                  </w:r>
                </w:p>
              </w:tc>
              <w:tc>
                <w:tcPr>
                  <w:tcW w:w="999" w:type="pct"/>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1001"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restar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2#项目南厂界外1m</w:t>
                  </w: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昼间1</w:t>
                  </w:r>
                </w:p>
              </w:tc>
              <w:tc>
                <w:tcPr>
                  <w:tcW w:w="999" w:type="pct"/>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59</w:t>
                  </w:r>
                </w:p>
              </w:tc>
              <w:tc>
                <w:tcPr>
                  <w:tcW w:w="1001"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昼间2</w:t>
                  </w:r>
                </w:p>
              </w:tc>
              <w:tc>
                <w:tcPr>
                  <w:tcW w:w="999" w:type="pct"/>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59</w:t>
                  </w:r>
                </w:p>
              </w:tc>
              <w:tc>
                <w:tcPr>
                  <w:tcW w:w="1001"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夜间1</w:t>
                  </w:r>
                </w:p>
              </w:tc>
              <w:tc>
                <w:tcPr>
                  <w:tcW w:w="999" w:type="pct"/>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51</w:t>
                  </w:r>
                </w:p>
              </w:tc>
              <w:tc>
                <w:tcPr>
                  <w:tcW w:w="1001"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夜间2</w:t>
                  </w:r>
                </w:p>
              </w:tc>
              <w:tc>
                <w:tcPr>
                  <w:tcW w:w="999" w:type="pct"/>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52</w:t>
                  </w:r>
                </w:p>
              </w:tc>
              <w:tc>
                <w:tcPr>
                  <w:tcW w:w="1001"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restar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3#项目西厂界外1m</w:t>
                  </w: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昼间1</w:t>
                  </w:r>
                </w:p>
              </w:tc>
              <w:tc>
                <w:tcPr>
                  <w:tcW w:w="999" w:type="pct"/>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61</w:t>
                  </w:r>
                </w:p>
              </w:tc>
              <w:tc>
                <w:tcPr>
                  <w:tcW w:w="1001"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昼间2</w:t>
                  </w:r>
                </w:p>
              </w:tc>
              <w:tc>
                <w:tcPr>
                  <w:tcW w:w="999" w:type="pct"/>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62</w:t>
                  </w:r>
                </w:p>
              </w:tc>
              <w:tc>
                <w:tcPr>
                  <w:tcW w:w="1001"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夜间1</w:t>
                  </w:r>
                </w:p>
              </w:tc>
              <w:tc>
                <w:tcPr>
                  <w:tcW w:w="999" w:type="pct"/>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53</w:t>
                  </w:r>
                </w:p>
              </w:tc>
              <w:tc>
                <w:tcPr>
                  <w:tcW w:w="1001"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夜间2</w:t>
                  </w:r>
                </w:p>
              </w:tc>
              <w:tc>
                <w:tcPr>
                  <w:tcW w:w="999" w:type="pct"/>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52</w:t>
                  </w:r>
                </w:p>
              </w:tc>
              <w:tc>
                <w:tcPr>
                  <w:tcW w:w="1001"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restar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4#项目北厂界外1m</w:t>
                  </w: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昼间1</w:t>
                  </w:r>
                </w:p>
              </w:tc>
              <w:tc>
                <w:tcPr>
                  <w:tcW w:w="999" w:type="pct"/>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52</w:t>
                  </w:r>
                </w:p>
              </w:tc>
              <w:tc>
                <w:tcPr>
                  <w:tcW w:w="1001"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昼间2</w:t>
                  </w:r>
                </w:p>
              </w:tc>
              <w:tc>
                <w:tcPr>
                  <w:tcW w:w="999" w:type="pct"/>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53</w:t>
                  </w:r>
                </w:p>
              </w:tc>
              <w:tc>
                <w:tcPr>
                  <w:tcW w:w="1001"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夜间1</w:t>
                  </w:r>
                </w:p>
              </w:tc>
              <w:tc>
                <w:tcPr>
                  <w:tcW w:w="999" w:type="pct"/>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49</w:t>
                  </w:r>
                </w:p>
              </w:tc>
              <w:tc>
                <w:tcPr>
                  <w:tcW w:w="1001"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9"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vMerge w:val="continue"/>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999" w:type="pct"/>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夜间2</w:t>
                  </w:r>
                </w:p>
              </w:tc>
              <w:tc>
                <w:tcPr>
                  <w:tcW w:w="999" w:type="pct"/>
                  <w:noWrap w:val="0"/>
                  <w:vAlign w:val="top"/>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47</w:t>
                  </w:r>
                </w:p>
              </w:tc>
              <w:tc>
                <w:tcPr>
                  <w:tcW w:w="1001" w:type="pct"/>
                  <w:vMerge w:val="continue"/>
                  <w:tcBorders>
                    <w:left w:val="single" w:color="auto" w:sz="2" w:space="0"/>
                    <w:right w:val="single" w:color="auto" w:sz="2" w:space="0"/>
                  </w:tcBorders>
                  <w:noWrap w:val="0"/>
                  <w:vAlign w:val="top"/>
                </w:tcPr>
                <w:p>
                  <w:pPr>
                    <w:adjustRightInd w:val="0"/>
                    <w:snapToGrid w:val="0"/>
                    <w:jc w:val="center"/>
                    <w:rPr>
                      <w:rFonts w:hint="eastAsia" w:ascii="Times New Roman" w:hAnsi="Times New Roman" w:eastAsia="宋体" w:cs="Times New Roman"/>
                      <w:color w:val="auto"/>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000" w:type="pct"/>
                  <w:gridSpan w:val="5"/>
                  <w:tcBorders>
                    <w:left w:val="single" w:color="auto" w:sz="2" w:space="0"/>
                    <w:right w:val="single" w:color="auto" w:sz="2" w:space="0"/>
                  </w:tcBorders>
                  <w:noWrap w:val="0"/>
                  <w:vAlign w:val="top"/>
                </w:tcPr>
                <w:p>
                  <w:pPr>
                    <w:adjustRightInd w:val="0"/>
                    <w:snapToGrid w:val="0"/>
                    <w:jc w:val="both"/>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*备注：执行《工业企业厂界环境噪声排放标准（GB12348-2008）》表1中3类区域排放限值。</w:t>
                  </w:r>
                </w:p>
              </w:tc>
            </w:tr>
          </w:tbl>
          <w:p>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综上，现有项目东、南、西、北边界昼间噪声均满足《工业企业厂界环境噪声排放标准》（GB12348-2008）</w:t>
            </w:r>
            <w:r>
              <w:rPr>
                <w:rFonts w:hint="eastAsia"/>
                <w:bCs/>
                <w:color w:val="auto"/>
                <w:sz w:val="24"/>
                <w:highlight w:val="none"/>
                <w:lang w:val="en-US" w:eastAsia="zh-CN"/>
              </w:rPr>
              <w:t>3</w:t>
            </w:r>
            <w:r>
              <w:rPr>
                <w:rFonts w:hint="eastAsia"/>
                <w:bCs/>
                <w:color w:val="auto"/>
                <w:sz w:val="24"/>
                <w:highlight w:val="none"/>
              </w:rPr>
              <w:t>类标准</w:t>
            </w:r>
            <w:r>
              <w:rPr>
                <w:rFonts w:hint="eastAsia"/>
                <w:bCs/>
                <w:color w:val="auto"/>
                <w:sz w:val="24"/>
                <w:highlight w:val="none"/>
                <w:lang w:eastAsia="zh-CN"/>
              </w:rPr>
              <w:t>，</w:t>
            </w:r>
            <w:r>
              <w:rPr>
                <w:rFonts w:hint="eastAsia"/>
                <w:bCs/>
                <w:color w:val="auto"/>
                <w:sz w:val="24"/>
                <w:highlight w:val="none"/>
                <w:lang w:val="en-US" w:eastAsia="zh-CN"/>
              </w:rPr>
              <w:t>夜间不生产，现有项目噪声能达标排放</w:t>
            </w:r>
            <w:r>
              <w:rPr>
                <w:rFonts w:hint="eastAsia"/>
                <w:bCs/>
                <w:color w:val="auto"/>
                <w:sz w:val="24"/>
                <w:highlight w:val="none"/>
              </w:rPr>
              <w:t>。</w:t>
            </w:r>
          </w:p>
          <w:p>
            <w:pPr>
              <w:adjustRightInd w:val="0"/>
              <w:snapToGrid w:val="0"/>
              <w:spacing w:line="360" w:lineRule="auto"/>
              <w:ind w:firstLine="482" w:firstLineChars="200"/>
              <w:rPr>
                <w:rFonts w:hint="eastAsia"/>
                <w:b/>
                <w:color w:val="auto"/>
                <w:sz w:val="24"/>
                <w:highlight w:val="none"/>
              </w:rPr>
            </w:pPr>
            <w:r>
              <w:rPr>
                <w:rFonts w:hint="eastAsia"/>
                <w:b/>
                <w:color w:val="auto"/>
                <w:sz w:val="24"/>
                <w:highlight w:val="none"/>
              </w:rPr>
              <w:t>（4）固废</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①生活垃圾：收集后</w:t>
            </w:r>
            <w:r>
              <w:rPr>
                <w:rFonts w:hint="eastAsia"/>
                <w:bCs/>
                <w:color w:val="auto"/>
                <w:sz w:val="24"/>
                <w:highlight w:val="none"/>
              </w:rPr>
              <w:t>由环卫部门统一清运处理。</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②废包装材料：交由废品回收站回收利用。</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③不合格产品：收集后</w:t>
            </w:r>
            <w:r>
              <w:rPr>
                <w:rFonts w:hint="eastAsia"/>
                <w:bCs/>
                <w:color w:val="auto"/>
                <w:sz w:val="24"/>
                <w:highlight w:val="none"/>
              </w:rPr>
              <w:t>由环卫部门统一清运处理。</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④豆渣：外卖其他单位。</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⑤蛋壳：收集后</w:t>
            </w:r>
            <w:r>
              <w:rPr>
                <w:rFonts w:hint="eastAsia"/>
                <w:bCs/>
                <w:color w:val="auto"/>
                <w:sz w:val="24"/>
                <w:highlight w:val="none"/>
              </w:rPr>
              <w:t>由环卫部门统一清运处理。</w:t>
            </w:r>
          </w:p>
          <w:p>
            <w:pPr>
              <w:spacing w:line="360" w:lineRule="auto"/>
              <w:ind w:firstLine="480" w:firstLineChars="200"/>
              <w:rPr>
                <w:bCs/>
                <w:color w:val="auto"/>
                <w:sz w:val="24"/>
                <w:highlight w:val="none"/>
              </w:rPr>
            </w:pPr>
            <w:r>
              <w:rPr>
                <w:rFonts w:hint="eastAsia" w:ascii="Times New Roman" w:hAnsi="Times New Roman" w:eastAsia="宋体" w:cs="Times New Roman"/>
                <w:color w:val="auto"/>
                <w:sz w:val="24"/>
                <w:highlight w:val="none"/>
                <w:lang w:val="en-US" w:eastAsia="zh-CN"/>
              </w:rPr>
              <w:t>⑥餐厨垃圾及隔油池废油：收集后</w:t>
            </w:r>
            <w:r>
              <w:rPr>
                <w:rFonts w:hint="eastAsia"/>
                <w:bCs/>
                <w:color w:val="auto"/>
                <w:sz w:val="24"/>
                <w:highlight w:val="none"/>
              </w:rPr>
              <w:t>由</w:t>
            </w:r>
            <w:r>
              <w:rPr>
                <w:rFonts w:hint="eastAsia"/>
                <w:bCs/>
                <w:color w:val="auto"/>
                <w:sz w:val="24"/>
                <w:highlight w:val="none"/>
                <w:lang w:val="en-US" w:eastAsia="zh-CN"/>
              </w:rPr>
              <w:t>柳林镇垃圾处理站（光辉发电厂）</w:t>
            </w:r>
            <w:r>
              <w:rPr>
                <w:rFonts w:hint="eastAsia"/>
                <w:bCs/>
                <w:color w:val="auto"/>
                <w:sz w:val="24"/>
                <w:highlight w:val="none"/>
              </w:rPr>
              <w:t>统一清运处理</w:t>
            </w:r>
            <w:r>
              <w:rPr>
                <w:bCs/>
                <w:color w:val="auto"/>
                <w:sz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⑦废植物油：收集后</w:t>
            </w:r>
            <w:r>
              <w:rPr>
                <w:rFonts w:hint="eastAsia"/>
                <w:bCs/>
                <w:color w:val="auto"/>
                <w:sz w:val="24"/>
                <w:highlight w:val="none"/>
              </w:rPr>
              <w:t>由</w:t>
            </w:r>
            <w:r>
              <w:rPr>
                <w:rFonts w:hint="eastAsia"/>
                <w:bCs/>
                <w:color w:val="auto"/>
                <w:sz w:val="24"/>
                <w:highlight w:val="none"/>
                <w:lang w:val="en-US" w:eastAsia="zh-CN"/>
              </w:rPr>
              <w:t>柳林镇垃圾处理站（光辉发电厂）</w:t>
            </w:r>
            <w:r>
              <w:rPr>
                <w:rFonts w:hint="eastAsia"/>
                <w:bCs/>
                <w:color w:val="auto"/>
                <w:sz w:val="24"/>
                <w:highlight w:val="none"/>
              </w:rPr>
              <w:t>统一清运处理</w:t>
            </w:r>
            <w:r>
              <w:rPr>
                <w:bCs/>
                <w:color w:val="auto"/>
                <w:sz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⑧废油纸：收集后</w:t>
            </w:r>
            <w:r>
              <w:rPr>
                <w:rFonts w:hint="eastAsia"/>
                <w:bCs/>
                <w:color w:val="auto"/>
                <w:sz w:val="24"/>
                <w:highlight w:val="none"/>
              </w:rPr>
              <w:t>由环卫部门统一清运处理。</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⑨栅渣：收集后</w:t>
            </w:r>
            <w:r>
              <w:rPr>
                <w:rFonts w:hint="eastAsia"/>
                <w:bCs/>
                <w:color w:val="auto"/>
                <w:sz w:val="24"/>
                <w:highlight w:val="none"/>
              </w:rPr>
              <w:t>由环卫部门统一清运处理。</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⑩污泥：由环卫部门定期清掏处理。</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⑪</w:t>
            </w:r>
            <w:r>
              <w:rPr>
                <w:rFonts w:hint="eastAsia" w:ascii="Times New Roman" w:hAnsi="Times New Roman" w:eastAsia="宋体" w:cs="Times New Roman"/>
                <w:color w:val="auto"/>
                <w:sz w:val="24"/>
                <w:highlight w:val="none"/>
                <w:lang w:val="en-US" w:eastAsia="zh-CN"/>
              </w:rPr>
              <w:t>废离子交换树脂：</w:t>
            </w:r>
            <w:r>
              <w:rPr>
                <w:rFonts w:hint="eastAsia" w:ascii="Times New Roman" w:hAnsi="Times New Roman" w:eastAsia="宋体" w:cs="Times New Roman"/>
                <w:bCs/>
                <w:color w:val="auto"/>
                <w:sz w:val="24"/>
                <w:highlight w:val="none"/>
                <w:lang w:val="en-US" w:eastAsia="zh-CN"/>
              </w:rPr>
              <w:t>收集后由环卫部门统一清运处理。</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⑫</w:t>
            </w:r>
            <w:r>
              <w:rPr>
                <w:rFonts w:hint="eastAsia" w:ascii="Times New Roman" w:hAnsi="Times New Roman" w:eastAsia="宋体" w:cs="Times New Roman"/>
                <w:color w:val="auto"/>
                <w:sz w:val="24"/>
                <w:highlight w:val="none"/>
                <w:lang w:val="en-US" w:eastAsia="zh-CN"/>
              </w:rPr>
              <w:t>废机油、</w:t>
            </w:r>
            <w:r>
              <w:rPr>
                <w:color w:val="auto"/>
                <w:sz w:val="24"/>
                <w:highlight w:val="none"/>
              </w:rPr>
              <w:t>废</w:t>
            </w:r>
            <w:r>
              <w:rPr>
                <w:rFonts w:hint="eastAsia" w:ascii="Times New Roman" w:hAnsi="Times New Roman" w:eastAsia="宋体" w:cs="Times New Roman"/>
                <w:color w:val="auto"/>
                <w:sz w:val="24"/>
                <w:highlight w:val="none"/>
                <w:lang w:val="en-US" w:eastAsia="zh-CN"/>
              </w:rPr>
              <w:t>机</w:t>
            </w:r>
            <w:r>
              <w:rPr>
                <w:color w:val="auto"/>
                <w:sz w:val="24"/>
                <w:highlight w:val="none"/>
              </w:rPr>
              <w:t>油桶</w:t>
            </w:r>
            <w:r>
              <w:rPr>
                <w:rFonts w:hint="eastAsia"/>
                <w:color w:val="auto"/>
                <w:sz w:val="24"/>
                <w:highlight w:val="none"/>
                <w:lang w:eastAsia="zh-CN"/>
              </w:rPr>
              <w:t>、</w:t>
            </w:r>
            <w:r>
              <w:rPr>
                <w:rFonts w:hint="default" w:ascii="Times New Roman" w:hAnsi="Times New Roman" w:eastAsia="宋体" w:cs="Times New Roman"/>
                <w:color w:val="auto"/>
                <w:sz w:val="24"/>
                <w:highlight w:val="none"/>
                <w:lang w:val="en-US" w:eastAsia="zh-CN"/>
              </w:rPr>
              <w:t>废含油抹</w:t>
            </w:r>
            <w:r>
              <w:rPr>
                <w:rFonts w:hint="eastAsia" w:ascii="Times New Roman" w:hAnsi="Times New Roman" w:eastAsia="宋体" w:cs="Times New Roman"/>
                <w:color w:val="auto"/>
                <w:sz w:val="24"/>
                <w:highlight w:val="none"/>
                <w:lang w:val="en-US" w:eastAsia="zh-CN"/>
              </w:rPr>
              <w:t>布、手套、废无尘布、沾染危险物质的废包装物、</w:t>
            </w:r>
            <w:r>
              <w:rPr>
                <w:rFonts w:hint="eastAsia"/>
                <w:color w:val="auto"/>
                <w:kern w:val="0"/>
                <w:sz w:val="24"/>
                <w:highlight w:val="none"/>
              </w:rPr>
              <w:t>实验废液</w:t>
            </w:r>
            <w:r>
              <w:rPr>
                <w:rFonts w:hint="eastAsia" w:ascii="Times New Roman" w:hAnsi="Times New Roman" w:eastAsia="宋体" w:cs="Times New Roman"/>
                <w:color w:val="auto"/>
                <w:sz w:val="24"/>
                <w:highlight w:val="none"/>
                <w:lang w:val="en-US" w:eastAsia="zh-CN"/>
              </w:rPr>
              <w:t>：</w:t>
            </w:r>
            <w:r>
              <w:rPr>
                <w:rFonts w:hint="eastAsia"/>
                <w:color w:val="auto"/>
                <w:sz w:val="24"/>
                <w:highlight w:val="none"/>
              </w:rPr>
              <w:t>暂存于危废暂存间，交由</w:t>
            </w:r>
            <w:r>
              <w:rPr>
                <w:rFonts w:hint="eastAsia"/>
                <w:color w:val="auto"/>
                <w:sz w:val="24"/>
                <w:highlight w:val="none"/>
                <w:lang w:val="en-US" w:eastAsia="zh-CN"/>
              </w:rPr>
              <w:t>南充嘉源环保科技有限责任公司</w:t>
            </w:r>
            <w:r>
              <w:rPr>
                <w:rFonts w:hint="eastAsia"/>
                <w:color w:val="auto"/>
                <w:sz w:val="24"/>
                <w:highlight w:val="none"/>
              </w:rPr>
              <w:t>处理。</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4"/>
              <w:gridCol w:w="4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8" w:hRule="atLeast"/>
              </w:trPr>
              <w:tc>
                <w:tcPr>
                  <w:tcW w:w="25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Cs w:val="21"/>
                      <w:highlight w:val="none"/>
                      <w:shd w:val="clear" w:color="auto" w:fill="FFFFFF"/>
                      <w:lang w:eastAsia="zh-CN"/>
                    </w:rPr>
                  </w:pPr>
                  <w:r>
                    <w:rPr>
                      <w:rFonts w:hint="eastAsia" w:ascii="Times New Roman" w:hAnsi="Times New Roman" w:eastAsia="宋体" w:cs="Times New Roman"/>
                      <w:bCs/>
                      <w:color w:val="auto"/>
                      <w:szCs w:val="21"/>
                      <w:highlight w:val="none"/>
                      <w:shd w:val="clear" w:color="auto" w:fill="FFFFFF"/>
                      <w:lang w:eastAsia="zh-CN"/>
                    </w:rPr>
                    <w:drawing>
                      <wp:inline distT="0" distB="0" distL="114300" distR="114300">
                        <wp:extent cx="2530475" cy="3374390"/>
                        <wp:effectExtent l="0" t="0" r="3175" b="16510"/>
                        <wp:docPr id="10" name="图片 33" descr="lADPJv8gX9XHSH_NA-DNAug_744_992.jp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3" descr="lADPJv8gX9XHSH_NA-DNAug_744_992.jpg_720x720q90g"/>
                                <pic:cNvPicPr>
                                  <a:picLocks noChangeAspect="1"/>
                                </pic:cNvPicPr>
                              </pic:nvPicPr>
                              <pic:blipFill>
                                <a:blip r:embed="rId30"/>
                                <a:stretch>
                                  <a:fillRect/>
                                </a:stretch>
                              </pic:blipFill>
                              <pic:spPr>
                                <a:xfrm>
                                  <a:off x="0" y="0"/>
                                  <a:ext cx="2530475" cy="3374390"/>
                                </a:xfrm>
                                <a:prstGeom prst="rect">
                                  <a:avLst/>
                                </a:prstGeom>
                                <a:noFill/>
                                <a:ln>
                                  <a:noFill/>
                                </a:ln>
                              </pic:spPr>
                            </pic:pic>
                          </a:graphicData>
                        </a:graphic>
                      </wp:inline>
                    </w:drawing>
                  </w:r>
                </w:p>
              </w:tc>
              <w:tc>
                <w:tcPr>
                  <w:tcW w:w="25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Cs w:val="21"/>
                      <w:highlight w:val="none"/>
                      <w:shd w:val="clear" w:color="auto" w:fill="FFFFFF"/>
                      <w:lang w:eastAsia="zh-CN"/>
                    </w:rPr>
                  </w:pPr>
                  <w:r>
                    <w:rPr>
                      <w:rFonts w:hint="eastAsia" w:ascii="Times New Roman" w:hAnsi="Times New Roman" w:eastAsia="宋体" w:cs="Times New Roman"/>
                      <w:bCs/>
                      <w:color w:val="auto"/>
                      <w:szCs w:val="21"/>
                      <w:highlight w:val="none"/>
                      <w:shd w:val="clear" w:color="auto" w:fill="FFFFFF"/>
                      <w:lang w:eastAsia="zh-CN"/>
                    </w:rPr>
                    <w:drawing>
                      <wp:inline distT="0" distB="0" distL="114300" distR="114300">
                        <wp:extent cx="2530475" cy="1901190"/>
                        <wp:effectExtent l="0" t="0" r="3175" b="3810"/>
                        <wp:docPr id="11" name="图片 34" descr="lADPJxDj2Q2nyIHNAjjNAvQ_756_568.jp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4" descr="lADPJxDj2Q2nyIHNAjjNAvQ_756_568.jpg_720x720q90g"/>
                                <pic:cNvPicPr>
                                  <a:picLocks noChangeAspect="1"/>
                                </pic:cNvPicPr>
                              </pic:nvPicPr>
                              <pic:blipFill>
                                <a:blip r:embed="rId31"/>
                                <a:stretch>
                                  <a:fillRect/>
                                </a:stretch>
                              </pic:blipFill>
                              <pic:spPr>
                                <a:xfrm>
                                  <a:off x="0" y="0"/>
                                  <a:ext cx="2530475" cy="19011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5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21"/>
                      <w:highlight w:val="none"/>
                      <w:shd w:val="clear" w:color="auto" w:fill="FFFFFF"/>
                      <w:lang w:val="en-US" w:eastAsia="zh-CN"/>
                    </w:rPr>
                  </w:pPr>
                  <w:r>
                    <w:rPr>
                      <w:rFonts w:hint="eastAsia" w:ascii="Times New Roman" w:hAnsi="Times New Roman" w:eastAsia="宋体" w:cs="Times New Roman"/>
                      <w:bCs/>
                      <w:color w:val="auto"/>
                      <w:szCs w:val="21"/>
                      <w:highlight w:val="none"/>
                      <w:shd w:val="clear" w:color="auto" w:fill="FFFFFF"/>
                      <w:lang w:val="en-US" w:eastAsia="zh-CN"/>
                    </w:rPr>
                    <w:t>危废暂存间标识</w:t>
                  </w:r>
                </w:p>
              </w:tc>
              <w:tc>
                <w:tcPr>
                  <w:tcW w:w="25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Cs w:val="21"/>
                      <w:highlight w:val="none"/>
                      <w:shd w:val="clear" w:color="auto" w:fill="FFFFFF"/>
                      <w:lang w:val="en-US" w:eastAsia="zh-CN"/>
                    </w:rPr>
                  </w:pPr>
                  <w:r>
                    <w:rPr>
                      <w:rFonts w:hint="eastAsia" w:ascii="Times New Roman" w:hAnsi="Times New Roman" w:eastAsia="宋体" w:cs="Times New Roman"/>
                      <w:bCs/>
                      <w:color w:val="auto"/>
                      <w:szCs w:val="21"/>
                      <w:highlight w:val="none"/>
                      <w:shd w:val="clear" w:color="auto" w:fill="FFFFFF"/>
                      <w:lang w:val="en-US" w:eastAsia="zh-CN"/>
                    </w:rPr>
                    <w:t>危废暂存间</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auto"/>
                <w:sz w:val="24"/>
                <w:highlight w:val="none"/>
              </w:rPr>
            </w:pPr>
            <w:r>
              <w:rPr>
                <w:rFonts w:hint="eastAsia" w:eastAsia="宋体"/>
                <w:b/>
                <w:bCs w:val="0"/>
                <w:color w:val="auto"/>
                <w:szCs w:val="21"/>
                <w:highlight w:val="none"/>
                <w:shd w:val="clear" w:color="auto" w:fill="FFFFFF"/>
                <w:lang w:val="en-US" w:eastAsia="zh-CN"/>
              </w:rPr>
              <w:t>图2-9  固废相关</w:t>
            </w:r>
            <w:r>
              <w:rPr>
                <w:rFonts w:hint="eastAsia" w:eastAsia="宋体"/>
                <w:b/>
                <w:bCs w:val="0"/>
                <w:color w:val="auto"/>
                <w:szCs w:val="21"/>
                <w:highlight w:val="none"/>
                <w:shd w:val="clear" w:color="auto" w:fill="FFFFFF"/>
              </w:rPr>
              <w:t>现场照片</w:t>
            </w:r>
          </w:p>
          <w:p>
            <w:pPr>
              <w:adjustRightInd w:val="0"/>
              <w:snapToGrid w:val="0"/>
              <w:spacing w:line="360" w:lineRule="auto"/>
              <w:ind w:firstLine="482" w:firstLineChars="200"/>
              <w:rPr>
                <w:rFonts w:hint="eastAsia" w:eastAsia="宋体"/>
                <w:b/>
                <w:color w:val="auto"/>
                <w:sz w:val="24"/>
                <w:highlight w:val="none"/>
                <w:lang w:val="en-US" w:eastAsia="zh-CN"/>
              </w:rPr>
            </w:pPr>
            <w:r>
              <w:rPr>
                <w:rFonts w:hint="eastAsia"/>
                <w:b/>
                <w:color w:val="auto"/>
                <w:sz w:val="24"/>
                <w:highlight w:val="none"/>
              </w:rPr>
              <w:t>（</w:t>
            </w:r>
            <w:r>
              <w:rPr>
                <w:rFonts w:hint="eastAsia"/>
                <w:b/>
                <w:color w:val="auto"/>
                <w:sz w:val="24"/>
                <w:highlight w:val="none"/>
                <w:lang w:val="en-US" w:eastAsia="zh-CN"/>
              </w:rPr>
              <w:t>5</w:t>
            </w:r>
            <w:r>
              <w:rPr>
                <w:rFonts w:hint="eastAsia"/>
                <w:b/>
                <w:color w:val="auto"/>
                <w:sz w:val="24"/>
                <w:highlight w:val="none"/>
              </w:rPr>
              <w:t>）</w:t>
            </w:r>
            <w:r>
              <w:rPr>
                <w:rFonts w:hint="eastAsia"/>
                <w:b/>
                <w:color w:val="auto"/>
                <w:sz w:val="24"/>
                <w:highlight w:val="none"/>
                <w:lang w:val="en-US" w:eastAsia="zh-CN"/>
              </w:rPr>
              <w:t>地下水</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现有项目按分区防渗的要求进行防渗处理。</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重点防渗区：危废暂存间，</w:t>
            </w:r>
            <w:r>
              <w:rPr>
                <w:rFonts w:hint="eastAsia"/>
                <w:color w:val="auto"/>
                <w:sz w:val="24"/>
                <w:highlight w:val="none"/>
              </w:rPr>
              <w:t>采用防渗混凝土+2mm</w:t>
            </w:r>
            <w:r>
              <w:rPr>
                <w:rFonts w:hint="eastAsia"/>
                <w:color w:val="auto"/>
                <w:sz w:val="24"/>
                <w:highlight w:val="none"/>
                <w:lang w:val="en-US" w:eastAsia="zh-CN"/>
              </w:rPr>
              <w:t>环氧树脂漆</w:t>
            </w:r>
            <w:r>
              <w:rPr>
                <w:rFonts w:hint="eastAsia"/>
                <w:color w:val="auto"/>
                <w:sz w:val="24"/>
                <w:highlight w:val="none"/>
              </w:rPr>
              <w:t>进行防渗</w:t>
            </w:r>
            <w:r>
              <w:rPr>
                <w:rFonts w:hint="eastAsia"/>
                <w:color w:val="auto"/>
                <w:sz w:val="24"/>
                <w:highlight w:val="none"/>
                <w:lang w:eastAsia="zh-CN"/>
              </w:rPr>
              <w:t>；</w:t>
            </w:r>
            <w:r>
              <w:rPr>
                <w:rFonts w:hint="eastAsia" w:cs="Times New Roman"/>
                <w:color w:val="auto"/>
                <w:sz w:val="24"/>
                <w:highlight w:val="none"/>
                <w:lang w:val="en-US" w:eastAsia="zh-CN"/>
              </w:rPr>
              <w:t>污水处理站加药间采用混凝土进行防渗</w:t>
            </w:r>
            <w:r>
              <w:rPr>
                <w:rFonts w:hint="eastAsia"/>
                <w:color w:val="auto"/>
                <w:sz w:val="24"/>
                <w:highlight w:val="none"/>
              </w:rPr>
              <w:t>。</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一般防渗区：</w:t>
            </w:r>
            <w:r>
              <w:rPr>
                <w:rFonts w:hint="eastAsia" w:cs="Times New Roman"/>
                <w:color w:val="auto"/>
                <w:sz w:val="24"/>
                <w:highlight w:val="none"/>
                <w:lang w:val="en-US" w:eastAsia="zh-CN"/>
              </w:rPr>
              <w:t>生产车间、</w:t>
            </w:r>
            <w:r>
              <w:rPr>
                <w:rFonts w:hint="eastAsia" w:ascii="Times New Roman" w:hAnsi="Times New Roman" w:eastAsia="宋体" w:cs="Times New Roman"/>
                <w:color w:val="auto"/>
                <w:sz w:val="24"/>
                <w:highlight w:val="none"/>
                <w:lang w:val="en-US" w:eastAsia="zh-CN"/>
              </w:rPr>
              <w:t>污水处理站</w:t>
            </w:r>
            <w:r>
              <w:rPr>
                <w:rFonts w:hint="eastAsia" w:cs="Times New Roman"/>
                <w:color w:val="auto"/>
                <w:sz w:val="24"/>
                <w:highlight w:val="none"/>
                <w:lang w:val="en-US" w:eastAsia="zh-CN"/>
              </w:rPr>
              <w:t>、隔油池、预处理池</w:t>
            </w:r>
            <w:r>
              <w:rPr>
                <w:rFonts w:hint="eastAsia" w:ascii="Times New Roman" w:hAnsi="Times New Roman" w:eastAsia="宋体" w:cs="Times New Roman"/>
                <w:color w:val="auto"/>
                <w:sz w:val="24"/>
                <w:highlight w:val="none"/>
                <w:lang w:val="en-US" w:eastAsia="zh-CN"/>
              </w:rPr>
              <w:t>采用</w:t>
            </w:r>
            <w:r>
              <w:rPr>
                <w:rFonts w:hint="eastAsia" w:cs="Times New Roman"/>
                <w:color w:val="auto"/>
                <w:sz w:val="24"/>
                <w:highlight w:val="none"/>
                <w:lang w:val="en-US" w:eastAsia="zh-CN"/>
              </w:rPr>
              <w:t>防渗</w:t>
            </w:r>
            <w:r>
              <w:rPr>
                <w:rFonts w:hint="eastAsia" w:ascii="Times New Roman" w:hAnsi="Times New Roman" w:eastAsia="宋体" w:cs="Times New Roman"/>
                <w:color w:val="auto"/>
                <w:sz w:val="24"/>
                <w:highlight w:val="none"/>
                <w:lang w:val="en-US" w:eastAsia="zh-CN"/>
              </w:rPr>
              <w:t>混凝土防渗</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污水管线采取防渗、防腐措施。</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简单防渗区：除重点防渗区和一般防渗区以外的其他区域，进行硬化处理。</w:t>
            </w:r>
          </w:p>
          <w:p>
            <w:pPr>
              <w:adjustRightInd w:val="0"/>
              <w:snapToGrid w:val="0"/>
              <w:spacing w:line="360" w:lineRule="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3、现有项目污染物</w:t>
            </w:r>
            <w:r>
              <w:rPr>
                <w:rFonts w:hint="eastAsia" w:cs="Times New Roman"/>
                <w:b/>
                <w:bCs/>
                <w:color w:val="auto"/>
                <w:sz w:val="24"/>
                <w:highlight w:val="none"/>
                <w:lang w:val="en-US" w:eastAsia="zh-CN"/>
              </w:rPr>
              <w:t>实际</w:t>
            </w:r>
            <w:r>
              <w:rPr>
                <w:rFonts w:hint="eastAsia" w:ascii="Times New Roman" w:hAnsi="Times New Roman" w:eastAsia="宋体" w:cs="Times New Roman"/>
                <w:b/>
                <w:bCs/>
                <w:color w:val="auto"/>
                <w:sz w:val="24"/>
                <w:highlight w:val="none"/>
                <w:lang w:val="en-US" w:eastAsia="zh-CN"/>
              </w:rPr>
              <w:t>排放量核算</w:t>
            </w:r>
          </w:p>
          <w:p>
            <w:pPr>
              <w:widowControl/>
              <w:spacing w:line="360" w:lineRule="auto"/>
              <w:jc w:val="center"/>
              <w:rPr>
                <w:rFonts w:hint="default" w:eastAsia="宋体"/>
                <w:b/>
                <w:color w:val="auto"/>
                <w:kern w:val="0"/>
                <w:szCs w:val="21"/>
                <w:highlight w:val="none"/>
                <w:lang w:val="en-US" w:eastAsia="zh-CN"/>
              </w:rPr>
            </w:pPr>
            <w:r>
              <w:rPr>
                <w:rFonts w:hint="eastAsia"/>
                <w:b/>
                <w:color w:val="auto"/>
                <w:kern w:val="0"/>
                <w:szCs w:val="21"/>
                <w:highlight w:val="none"/>
              </w:rPr>
              <w:t>表</w:t>
            </w:r>
            <w:r>
              <w:rPr>
                <w:rFonts w:hint="eastAsia"/>
                <w:b/>
                <w:color w:val="auto"/>
                <w:kern w:val="0"/>
                <w:szCs w:val="21"/>
                <w:highlight w:val="none"/>
                <w:lang w:val="en-US" w:eastAsia="zh-CN"/>
              </w:rPr>
              <w:t>2-22</w:t>
            </w:r>
            <w:r>
              <w:rPr>
                <w:rFonts w:hint="eastAsia"/>
                <w:b/>
                <w:color w:val="auto"/>
                <w:kern w:val="0"/>
                <w:szCs w:val="21"/>
                <w:highlight w:val="none"/>
              </w:rPr>
              <w:t xml:space="preserve">  现有项目污染物实际排放量核算</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4183"/>
              <w:gridCol w:w="2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noWrap w:val="0"/>
                  <w:vAlign w:val="center"/>
                </w:tcPr>
                <w:p>
                  <w:pPr>
                    <w:pStyle w:val="8"/>
                    <w:overflowPunct w:val="0"/>
                    <w:autoSpaceDE w:val="0"/>
                    <w:autoSpaceDN w:val="0"/>
                    <w:snapToGrid/>
                    <w:spacing w:before="0" w:after="0" w:line="240" w:lineRule="auto"/>
                    <w:ind w:right="0"/>
                    <w:jc w:val="center"/>
                    <w:rPr>
                      <w:b/>
                      <w:color w:val="auto"/>
                      <w:sz w:val="21"/>
                      <w:szCs w:val="21"/>
                      <w:highlight w:val="none"/>
                    </w:rPr>
                  </w:pPr>
                  <w:r>
                    <w:rPr>
                      <w:rFonts w:hint="eastAsia"/>
                      <w:b/>
                      <w:color w:val="auto"/>
                      <w:sz w:val="21"/>
                      <w:szCs w:val="21"/>
                      <w:highlight w:val="none"/>
                    </w:rPr>
                    <w:t>项目</w:t>
                  </w:r>
                </w:p>
              </w:tc>
              <w:tc>
                <w:tcPr>
                  <w:tcW w:w="2487" w:type="pct"/>
                  <w:noWrap w:val="0"/>
                  <w:vAlign w:val="center"/>
                </w:tcPr>
                <w:p>
                  <w:pPr>
                    <w:pStyle w:val="8"/>
                    <w:overflowPunct w:val="0"/>
                    <w:autoSpaceDE w:val="0"/>
                    <w:autoSpaceDN w:val="0"/>
                    <w:snapToGrid/>
                    <w:spacing w:before="0" w:after="0" w:line="240" w:lineRule="auto"/>
                    <w:ind w:right="0"/>
                    <w:jc w:val="center"/>
                    <w:rPr>
                      <w:b/>
                      <w:color w:val="auto"/>
                      <w:sz w:val="21"/>
                      <w:szCs w:val="21"/>
                      <w:highlight w:val="none"/>
                    </w:rPr>
                  </w:pPr>
                  <w:r>
                    <w:rPr>
                      <w:rFonts w:hint="eastAsia"/>
                      <w:b/>
                      <w:color w:val="auto"/>
                      <w:sz w:val="21"/>
                      <w:szCs w:val="21"/>
                      <w:highlight w:val="none"/>
                    </w:rPr>
                    <w:t>污染物名称</w:t>
                  </w:r>
                </w:p>
              </w:tc>
              <w:tc>
                <w:tcPr>
                  <w:tcW w:w="1553" w:type="pct"/>
                  <w:noWrap w:val="0"/>
                  <w:vAlign w:val="center"/>
                </w:tcPr>
                <w:p>
                  <w:pPr>
                    <w:pStyle w:val="8"/>
                    <w:overflowPunct w:val="0"/>
                    <w:autoSpaceDE w:val="0"/>
                    <w:autoSpaceDN w:val="0"/>
                    <w:snapToGrid/>
                    <w:spacing w:before="0" w:after="0" w:line="240" w:lineRule="auto"/>
                    <w:ind w:right="0"/>
                    <w:jc w:val="center"/>
                    <w:rPr>
                      <w:rFonts w:hint="eastAsia" w:eastAsia="宋体"/>
                      <w:b/>
                      <w:color w:val="auto"/>
                      <w:sz w:val="21"/>
                      <w:szCs w:val="21"/>
                      <w:highlight w:val="none"/>
                      <w:lang w:eastAsia="zh-CN"/>
                    </w:rPr>
                  </w:pPr>
                  <w:r>
                    <w:rPr>
                      <w:rFonts w:hint="eastAsia"/>
                      <w:b/>
                      <w:color w:val="auto"/>
                      <w:sz w:val="21"/>
                      <w:szCs w:val="21"/>
                      <w:highlight w:val="none"/>
                      <w:lang w:val="en-US" w:eastAsia="zh-CN"/>
                    </w:rPr>
                    <w:t>现有项目</w:t>
                  </w:r>
                  <w:r>
                    <w:rPr>
                      <w:rFonts w:hint="eastAsia"/>
                      <w:b/>
                      <w:color w:val="auto"/>
                      <w:sz w:val="21"/>
                      <w:szCs w:val="21"/>
                      <w:highlight w:val="none"/>
                    </w:rPr>
                    <w:t>总量</w:t>
                  </w:r>
                  <w:r>
                    <w:rPr>
                      <w:rFonts w:hint="eastAsia"/>
                      <w:b/>
                      <w:color w:val="auto"/>
                      <w:sz w:val="21"/>
                      <w:szCs w:val="21"/>
                      <w:highlight w:val="none"/>
                      <w:lang w:eastAsia="zh-CN"/>
                    </w:rPr>
                    <w:t>（</w:t>
                  </w:r>
                  <w:r>
                    <w:rPr>
                      <w:rFonts w:hint="eastAsia"/>
                      <w:b/>
                      <w:color w:val="auto"/>
                      <w:sz w:val="21"/>
                      <w:szCs w:val="21"/>
                      <w:highlight w:val="none"/>
                      <w:lang w:val="en-US" w:eastAsia="zh-CN"/>
                    </w:rPr>
                    <w:t>t/a</w:t>
                  </w:r>
                  <w:r>
                    <w:rPr>
                      <w:rFonts w:hint="eastAsia"/>
                      <w:b/>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Merge w:val="restart"/>
                  <w:noWrap w:val="0"/>
                  <w:vAlign w:val="center"/>
                </w:tcPr>
                <w:p>
                  <w:pPr>
                    <w:pStyle w:val="8"/>
                    <w:overflowPunct w:val="0"/>
                    <w:autoSpaceDE w:val="0"/>
                    <w:autoSpaceDN w:val="0"/>
                    <w:snapToGrid/>
                    <w:spacing w:before="0" w:after="0" w:line="240" w:lineRule="auto"/>
                    <w:ind w:right="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废气</w:t>
                  </w:r>
                </w:p>
              </w:tc>
              <w:tc>
                <w:tcPr>
                  <w:tcW w:w="2487" w:type="pct"/>
                  <w:noWrap w:val="0"/>
                  <w:vAlign w:val="center"/>
                </w:tcPr>
                <w:p>
                  <w:pPr>
                    <w:adjustRightInd w:val="0"/>
                    <w:snapToGrid w:val="0"/>
                    <w:jc w:val="center"/>
                    <w:rPr>
                      <w:rFonts w:hint="eastAsia" w:ascii="Times New Roman"/>
                      <w:color w:val="auto"/>
                      <w:kern w:val="2"/>
                      <w:sz w:val="21"/>
                      <w:szCs w:val="21"/>
                      <w:highlight w:val="none"/>
                      <w:lang w:val="en-US" w:eastAsia="zh-CN" w:bidi="ar-SA"/>
                    </w:rPr>
                  </w:pPr>
                  <w:r>
                    <w:rPr>
                      <w:rFonts w:hint="eastAsia"/>
                      <w:color w:val="auto"/>
                      <w:highlight w:val="none"/>
                    </w:rPr>
                    <w:t>颗粒物</w:t>
                  </w:r>
                </w:p>
              </w:tc>
              <w:tc>
                <w:tcPr>
                  <w:tcW w:w="1553" w:type="pct"/>
                  <w:noWrap w:val="0"/>
                  <w:vAlign w:val="center"/>
                </w:tcPr>
                <w:p>
                  <w:pPr>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0.0828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Merge w:val="continue"/>
                  <w:noWrap w:val="0"/>
                  <w:vAlign w:val="center"/>
                </w:tcPr>
                <w:p>
                  <w:pPr>
                    <w:pStyle w:val="8"/>
                    <w:overflowPunct w:val="0"/>
                    <w:autoSpaceDE w:val="0"/>
                    <w:autoSpaceDN w:val="0"/>
                    <w:snapToGrid/>
                    <w:spacing w:before="0" w:after="0" w:line="240" w:lineRule="auto"/>
                    <w:ind w:right="0"/>
                    <w:jc w:val="center"/>
                    <w:rPr>
                      <w:rFonts w:hint="eastAsia"/>
                      <w:bCs/>
                      <w:color w:val="auto"/>
                      <w:sz w:val="21"/>
                      <w:szCs w:val="21"/>
                      <w:highlight w:val="none"/>
                      <w:lang w:val="en-US" w:eastAsia="zh-CN"/>
                    </w:rPr>
                  </w:pPr>
                </w:p>
              </w:tc>
              <w:tc>
                <w:tcPr>
                  <w:tcW w:w="2487" w:type="pct"/>
                  <w:noWrap w:val="0"/>
                  <w:vAlign w:val="center"/>
                </w:tcPr>
                <w:p>
                  <w:pPr>
                    <w:adjustRightInd w:val="0"/>
                    <w:snapToGrid w:val="0"/>
                    <w:jc w:val="center"/>
                    <w:rPr>
                      <w:rFonts w:hint="eastAsia" w:ascii="Times New Roman"/>
                      <w:color w:val="auto"/>
                      <w:kern w:val="2"/>
                      <w:sz w:val="21"/>
                      <w:szCs w:val="21"/>
                      <w:highlight w:val="none"/>
                      <w:lang w:val="en-US" w:eastAsia="zh-CN" w:bidi="ar-SA"/>
                    </w:rPr>
                  </w:pPr>
                  <w:r>
                    <w:rPr>
                      <w:color w:val="auto"/>
                      <w:highlight w:val="none"/>
                    </w:rPr>
                    <w:t>SO</w:t>
                  </w:r>
                  <w:r>
                    <w:rPr>
                      <w:color w:val="auto"/>
                      <w:highlight w:val="none"/>
                      <w:vertAlign w:val="subscript"/>
                    </w:rPr>
                    <w:t>2</w:t>
                  </w:r>
                </w:p>
              </w:tc>
              <w:tc>
                <w:tcPr>
                  <w:tcW w:w="1553" w:type="pct"/>
                  <w:noWrap w:val="0"/>
                  <w:vAlign w:val="center"/>
                </w:tcPr>
                <w:p>
                  <w:pPr>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Merge w:val="continue"/>
                  <w:noWrap w:val="0"/>
                  <w:vAlign w:val="center"/>
                </w:tcPr>
                <w:p>
                  <w:pPr>
                    <w:pStyle w:val="8"/>
                    <w:overflowPunct w:val="0"/>
                    <w:autoSpaceDE w:val="0"/>
                    <w:autoSpaceDN w:val="0"/>
                    <w:snapToGrid/>
                    <w:spacing w:before="0" w:after="0" w:line="240" w:lineRule="auto"/>
                    <w:ind w:right="0"/>
                    <w:jc w:val="center"/>
                    <w:rPr>
                      <w:rFonts w:hint="eastAsia"/>
                      <w:bCs/>
                      <w:color w:val="auto"/>
                      <w:sz w:val="21"/>
                      <w:szCs w:val="21"/>
                      <w:highlight w:val="none"/>
                      <w:lang w:val="en-US" w:eastAsia="zh-CN"/>
                    </w:rPr>
                  </w:pPr>
                </w:p>
              </w:tc>
              <w:tc>
                <w:tcPr>
                  <w:tcW w:w="2487" w:type="pct"/>
                  <w:noWrap w:val="0"/>
                  <w:vAlign w:val="center"/>
                </w:tcPr>
                <w:p>
                  <w:pPr>
                    <w:adjustRightInd w:val="0"/>
                    <w:snapToGrid w:val="0"/>
                    <w:jc w:val="center"/>
                    <w:rPr>
                      <w:rFonts w:hint="eastAsia" w:ascii="Times New Roman"/>
                      <w:color w:val="auto"/>
                      <w:kern w:val="2"/>
                      <w:sz w:val="21"/>
                      <w:szCs w:val="21"/>
                      <w:highlight w:val="none"/>
                      <w:lang w:val="en-US" w:eastAsia="zh-CN" w:bidi="ar-SA"/>
                    </w:rPr>
                  </w:pPr>
                  <w:r>
                    <w:rPr>
                      <w:color w:val="auto"/>
                      <w:highlight w:val="none"/>
                    </w:rPr>
                    <w:t>NO</w:t>
                  </w:r>
                  <w:r>
                    <w:rPr>
                      <w:rFonts w:hint="eastAsia"/>
                      <w:color w:val="auto"/>
                      <w:highlight w:val="none"/>
                    </w:rPr>
                    <w:t>x</w:t>
                  </w:r>
                </w:p>
              </w:tc>
              <w:tc>
                <w:tcPr>
                  <w:tcW w:w="1553" w:type="pct"/>
                  <w:noWrap w:val="0"/>
                  <w:vAlign w:val="center"/>
                </w:tcPr>
                <w:p>
                  <w:pPr>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0.576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Merge w:val="restart"/>
                  <w:noWrap w:val="0"/>
                  <w:vAlign w:val="center"/>
                </w:tcPr>
                <w:p>
                  <w:pPr>
                    <w:pStyle w:val="8"/>
                    <w:overflowPunct w:val="0"/>
                    <w:autoSpaceDE w:val="0"/>
                    <w:autoSpaceDN w:val="0"/>
                    <w:snapToGrid/>
                    <w:spacing w:before="0" w:after="0" w:line="240" w:lineRule="auto"/>
                    <w:ind w:right="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废水</w:t>
                  </w:r>
                </w:p>
              </w:tc>
              <w:tc>
                <w:tcPr>
                  <w:tcW w:w="2487" w:type="pct"/>
                  <w:noWrap w:val="0"/>
                  <w:vAlign w:val="center"/>
                </w:tcPr>
                <w:p>
                  <w:pPr>
                    <w:pStyle w:val="10"/>
                    <w:adjustRightInd/>
                    <w:snapToGrid/>
                    <w:spacing w:line="240" w:lineRule="auto"/>
                    <w:ind w:left="0" w:leftChars="0" w:right="0" w:rightChars="0" w:firstLine="0" w:firstLineChars="0"/>
                    <w:jc w:val="center"/>
                    <w:rPr>
                      <w:rFonts w:hint="eastAsia"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废水量</w:t>
                  </w:r>
                </w:p>
              </w:tc>
              <w:tc>
                <w:tcPr>
                  <w:tcW w:w="1553" w:type="pct"/>
                  <w:noWrap w:val="0"/>
                  <w:vAlign w:val="center"/>
                </w:tcPr>
                <w:p>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75000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Merge w:val="continue"/>
                  <w:noWrap w:val="0"/>
                  <w:vAlign w:val="center"/>
                </w:tcPr>
                <w:p>
                  <w:pPr>
                    <w:pStyle w:val="8"/>
                    <w:overflowPunct w:val="0"/>
                    <w:autoSpaceDE w:val="0"/>
                    <w:autoSpaceDN w:val="0"/>
                    <w:snapToGrid/>
                    <w:spacing w:before="0" w:after="0" w:line="240" w:lineRule="auto"/>
                    <w:ind w:right="0"/>
                    <w:jc w:val="center"/>
                    <w:rPr>
                      <w:bCs/>
                      <w:color w:val="auto"/>
                      <w:sz w:val="21"/>
                      <w:szCs w:val="21"/>
                      <w:highlight w:val="none"/>
                    </w:rPr>
                  </w:pPr>
                </w:p>
              </w:tc>
              <w:tc>
                <w:tcPr>
                  <w:tcW w:w="2487" w:type="pct"/>
                  <w:noWrap w:val="0"/>
                  <w:vAlign w:val="center"/>
                </w:tcPr>
                <w:p>
                  <w:pPr>
                    <w:pStyle w:val="10"/>
                    <w:adjustRightInd/>
                    <w:snapToGrid/>
                    <w:spacing w:line="240" w:lineRule="auto"/>
                    <w:ind w:left="0" w:leftChars="0" w:right="0" w:rightChars="0" w:firstLine="0" w:firstLineChars="0"/>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COD</w:t>
                  </w:r>
                </w:p>
              </w:tc>
              <w:tc>
                <w:tcPr>
                  <w:tcW w:w="1553"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10.275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Merge w:val="continue"/>
                  <w:noWrap w:val="0"/>
                  <w:vAlign w:val="center"/>
                </w:tcPr>
                <w:p>
                  <w:pPr>
                    <w:pStyle w:val="8"/>
                    <w:overflowPunct w:val="0"/>
                    <w:autoSpaceDE w:val="0"/>
                    <w:autoSpaceDN w:val="0"/>
                    <w:snapToGrid/>
                    <w:spacing w:before="0" w:after="0" w:line="240" w:lineRule="auto"/>
                    <w:ind w:right="0"/>
                    <w:jc w:val="center"/>
                    <w:rPr>
                      <w:bCs/>
                      <w:color w:val="auto"/>
                      <w:sz w:val="21"/>
                      <w:szCs w:val="21"/>
                      <w:highlight w:val="none"/>
                    </w:rPr>
                  </w:pPr>
                </w:p>
              </w:tc>
              <w:tc>
                <w:tcPr>
                  <w:tcW w:w="2487" w:type="pct"/>
                  <w:noWrap w:val="0"/>
                  <w:vAlign w:val="center"/>
                </w:tcPr>
                <w:p>
                  <w:pPr>
                    <w:pStyle w:val="10"/>
                    <w:adjustRightInd/>
                    <w:snapToGrid/>
                    <w:spacing w:line="240" w:lineRule="auto"/>
                    <w:ind w:left="0" w:leftChars="0" w:right="0" w:rightChars="0" w:firstLine="0" w:firstLineChars="0"/>
                    <w:jc w:val="center"/>
                    <w:rPr>
                      <w:rFonts w:hint="eastAsia" w:ascii="Times New Roman"/>
                      <w:color w:val="auto"/>
                      <w:sz w:val="21"/>
                      <w:szCs w:val="21"/>
                      <w:highlight w:val="none"/>
                    </w:rPr>
                  </w:pPr>
                  <w:r>
                    <w:rPr>
                      <w:rFonts w:hint="eastAsia" w:ascii="Times New Roman"/>
                      <w:color w:val="auto"/>
                      <w:sz w:val="21"/>
                      <w:szCs w:val="21"/>
                      <w:highlight w:val="none"/>
                    </w:rPr>
                    <w:t>NH</w:t>
                  </w:r>
                  <w:r>
                    <w:rPr>
                      <w:rFonts w:hint="eastAsia" w:ascii="Times New Roman"/>
                      <w:color w:val="auto"/>
                      <w:sz w:val="21"/>
                      <w:szCs w:val="21"/>
                      <w:highlight w:val="none"/>
                      <w:vertAlign w:val="subscript"/>
                    </w:rPr>
                    <w:t>3</w:t>
                  </w:r>
                  <w:r>
                    <w:rPr>
                      <w:rFonts w:hint="eastAsia" w:ascii="Times New Roman"/>
                      <w:color w:val="auto"/>
                      <w:sz w:val="21"/>
                      <w:szCs w:val="21"/>
                      <w:highlight w:val="none"/>
                    </w:rPr>
                    <w:t>-N</w:t>
                  </w:r>
                </w:p>
              </w:tc>
              <w:tc>
                <w:tcPr>
                  <w:tcW w:w="1553"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Merge w:val="continue"/>
                  <w:noWrap w:val="0"/>
                  <w:vAlign w:val="center"/>
                </w:tcPr>
                <w:p>
                  <w:pPr>
                    <w:pStyle w:val="8"/>
                    <w:overflowPunct w:val="0"/>
                    <w:autoSpaceDE w:val="0"/>
                    <w:autoSpaceDN w:val="0"/>
                    <w:snapToGrid/>
                    <w:spacing w:before="0" w:after="0" w:line="240" w:lineRule="auto"/>
                    <w:ind w:right="0"/>
                    <w:jc w:val="center"/>
                    <w:rPr>
                      <w:bCs/>
                      <w:color w:val="auto"/>
                      <w:sz w:val="21"/>
                      <w:szCs w:val="21"/>
                      <w:highlight w:val="none"/>
                    </w:rPr>
                  </w:pPr>
                </w:p>
              </w:tc>
              <w:tc>
                <w:tcPr>
                  <w:tcW w:w="2487" w:type="pct"/>
                  <w:noWrap w:val="0"/>
                  <w:vAlign w:val="center"/>
                </w:tcPr>
                <w:p>
                  <w:pPr>
                    <w:pStyle w:val="10"/>
                    <w:adjustRightInd/>
                    <w:snapToGrid/>
                    <w:spacing w:line="240" w:lineRule="auto"/>
                    <w:ind w:left="0" w:leftChars="0" w:right="0" w:rightChars="0" w:firstLine="0" w:firstLineChars="0"/>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TP</w:t>
                  </w:r>
                </w:p>
              </w:tc>
              <w:tc>
                <w:tcPr>
                  <w:tcW w:w="1553"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0.2408</w:t>
                  </w:r>
                </w:p>
              </w:tc>
            </w:tr>
          </w:tbl>
          <w:p>
            <w:pPr>
              <w:pStyle w:val="13"/>
              <w:ind w:left="0" w:leftChars="0" w:firstLine="0" w:firstLineChars="0"/>
              <w:rPr>
                <w:color w:val="auto"/>
                <w:kern w:val="0"/>
                <w:sz w:val="24"/>
                <w:highlight w:val="none"/>
              </w:rPr>
            </w:pPr>
            <w:r>
              <w:rPr>
                <w:rFonts w:hint="eastAsia" w:ascii="Times New Roman" w:hAnsi="Times New Roman" w:eastAsia="宋体" w:cs="Times New Roman"/>
                <w:b/>
                <w:bCs/>
                <w:color w:val="auto"/>
                <w:kern w:val="2"/>
                <w:sz w:val="24"/>
                <w:szCs w:val="24"/>
                <w:highlight w:val="none"/>
                <w:lang w:val="en-US" w:eastAsia="zh-CN" w:bidi="ar-SA"/>
              </w:rPr>
              <w:t>4、现有项目环境问题排查</w:t>
            </w:r>
          </w:p>
          <w:p>
            <w:pPr>
              <w:adjustRightInd w:val="0"/>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（1）现有项目环境问题</w:t>
            </w:r>
          </w:p>
          <w:p>
            <w:pPr>
              <w:adjustRightInd w:val="0"/>
              <w:snapToGrid w:val="0"/>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①</w:t>
            </w:r>
            <w:r>
              <w:rPr>
                <w:rFonts w:hint="eastAsia" w:ascii="Times New Roman" w:hAnsi="Times New Roman" w:eastAsia="宋体" w:cs="Times New Roman"/>
                <w:color w:val="auto"/>
                <w:sz w:val="24"/>
                <w:highlight w:val="none"/>
                <w:lang w:val="en-US" w:eastAsia="zh-CN"/>
              </w:rPr>
              <w:t>污水处理站</w:t>
            </w:r>
            <w:r>
              <w:rPr>
                <w:rFonts w:hint="eastAsia" w:cs="Times New Roman"/>
                <w:color w:val="auto"/>
                <w:sz w:val="24"/>
                <w:highlight w:val="none"/>
                <w:lang w:val="en-US" w:eastAsia="zh-CN"/>
              </w:rPr>
              <w:t>为降低恶臭影响，已采取</w:t>
            </w:r>
            <w:r>
              <w:rPr>
                <w:rFonts w:hint="eastAsia" w:ascii="Times New Roman" w:hAnsi="Times New Roman" w:eastAsia="宋体" w:cs="Times New Roman"/>
                <w:color w:val="auto"/>
                <w:sz w:val="24"/>
                <w:highlight w:val="none"/>
                <w:lang w:val="en-US" w:eastAsia="zh-CN"/>
              </w:rPr>
              <w:t>加盖板密闭，盖板上预留进、出气口，并在周围种植绿化带，</w:t>
            </w:r>
            <w:r>
              <w:rPr>
                <w:rFonts w:hint="eastAsia" w:cs="Times New Roman"/>
                <w:color w:val="auto"/>
                <w:sz w:val="24"/>
                <w:highlight w:val="none"/>
                <w:lang w:val="en-US" w:eastAsia="zh-CN"/>
              </w:rPr>
              <w:t>但无除臭措施。</w:t>
            </w:r>
          </w:p>
          <w:p>
            <w:pPr>
              <w:adjustRightInd w:val="0"/>
              <w:snapToGrid w:val="0"/>
              <w:spacing w:line="360" w:lineRule="auto"/>
              <w:ind w:firstLine="480" w:firstLineChars="200"/>
              <w:rPr>
                <w:rFonts w:hint="default" w:cs="Times New Roman"/>
                <w:color w:val="auto"/>
                <w:sz w:val="24"/>
                <w:highlight w:val="none"/>
                <w:lang w:val="en-US" w:eastAsia="zh-CN"/>
              </w:rPr>
            </w:pPr>
            <w:r>
              <w:rPr>
                <w:rFonts w:hint="eastAsia" w:cs="Times New Roman"/>
                <w:color w:val="auto"/>
                <w:sz w:val="24"/>
                <w:highlight w:val="none"/>
                <w:lang w:val="en-US" w:eastAsia="zh-CN"/>
              </w:rPr>
              <w:t>②现有项目已建污水处理站加药间一间，地面防渗措施为混凝土防渗，不能达到重点防渗要求。</w:t>
            </w:r>
          </w:p>
          <w:p>
            <w:pPr>
              <w:adjustRightInd w:val="0"/>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w:t>
            </w:r>
            <w:r>
              <w:rPr>
                <w:rFonts w:hint="eastAsia"/>
                <w:color w:val="auto"/>
                <w:sz w:val="24"/>
                <w:highlight w:val="none"/>
                <w:lang w:val="en-US" w:eastAsia="zh-CN"/>
              </w:rPr>
              <w:t>整改措施</w:t>
            </w:r>
          </w:p>
          <w:p>
            <w:pPr>
              <w:adjustRightInd w:val="0"/>
              <w:snapToGrid w:val="0"/>
              <w:spacing w:line="360" w:lineRule="auto"/>
              <w:ind w:firstLine="480" w:firstLineChars="200"/>
              <w:rPr>
                <w:rFonts w:hint="eastAsia"/>
                <w:color w:val="auto"/>
                <w:sz w:val="24"/>
                <w:highlight w:val="none"/>
                <w:lang w:eastAsia="zh-CN"/>
              </w:rPr>
            </w:pPr>
            <w:r>
              <w:rPr>
                <w:rFonts w:hint="eastAsia"/>
                <w:b w:val="0"/>
                <w:bCs w:val="0"/>
                <w:color w:val="auto"/>
                <w:kern w:val="0"/>
                <w:sz w:val="24"/>
                <w:highlight w:val="none"/>
                <w:lang w:val="en-US" w:eastAsia="zh-CN"/>
              </w:rPr>
              <w:t>①在污水处理站周边喷洒生物除臭剂，进一步降低恶臭影响。</w:t>
            </w:r>
          </w:p>
          <w:p>
            <w:pPr>
              <w:adjustRightInd w:val="0"/>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②</w:t>
            </w:r>
            <w:r>
              <w:rPr>
                <w:rFonts w:hint="eastAsia" w:cs="Times New Roman"/>
                <w:color w:val="auto"/>
                <w:sz w:val="24"/>
                <w:highlight w:val="none"/>
                <w:lang w:val="en-US" w:eastAsia="zh-CN"/>
              </w:rPr>
              <w:t>现有项目污水处理站加药间采用防渗混凝土+环氧树脂漆+不锈钢托盘进行防渗，周围修建围堰，满足Mb≥6.0m，渗透系数K≤1×10</w:t>
            </w:r>
            <w:r>
              <w:rPr>
                <w:rFonts w:hint="eastAsia" w:cs="Times New Roman"/>
                <w:color w:val="auto"/>
                <w:sz w:val="24"/>
                <w:highlight w:val="none"/>
                <w:vertAlign w:val="superscript"/>
                <w:lang w:val="en-US" w:eastAsia="zh-CN"/>
              </w:rPr>
              <w:t>-7</w:t>
            </w:r>
            <w:r>
              <w:rPr>
                <w:rFonts w:hint="eastAsia" w:cs="Times New Roman"/>
                <w:color w:val="auto"/>
                <w:sz w:val="24"/>
                <w:highlight w:val="none"/>
                <w:lang w:val="en-US" w:eastAsia="zh-CN"/>
              </w:rPr>
              <w:t>cm/s要求。</w:t>
            </w:r>
          </w:p>
          <w:p>
            <w:pPr>
              <w:adjustRightInd w:val="0"/>
              <w:snapToGrid w:val="0"/>
              <w:spacing w:line="360" w:lineRule="auto"/>
              <w:ind w:firstLine="480" w:firstLineChars="200"/>
              <w:rPr>
                <w:rFonts w:hint="eastAsia"/>
                <w:color w:val="auto"/>
                <w:sz w:val="24"/>
                <w:highlight w:val="none"/>
                <w:lang w:eastAsia="zh-CN"/>
              </w:rPr>
            </w:pPr>
          </w:p>
          <w:p>
            <w:pPr>
              <w:adjustRightInd w:val="0"/>
              <w:snapToGrid w:val="0"/>
              <w:spacing w:line="360" w:lineRule="auto"/>
              <w:ind w:firstLine="480" w:firstLineChars="200"/>
              <w:rPr>
                <w:rFonts w:hint="eastAsia"/>
                <w:color w:val="auto"/>
                <w:sz w:val="24"/>
                <w:highlight w:val="none"/>
                <w:lang w:eastAsia="zh-CN"/>
              </w:rPr>
            </w:pPr>
          </w:p>
          <w:p>
            <w:pPr>
              <w:adjustRightInd w:val="0"/>
              <w:snapToGrid w:val="0"/>
              <w:spacing w:line="360" w:lineRule="auto"/>
              <w:ind w:firstLine="480" w:firstLineChars="200"/>
              <w:rPr>
                <w:rFonts w:hint="eastAsia"/>
                <w:color w:val="auto"/>
                <w:sz w:val="24"/>
                <w:highlight w:val="none"/>
                <w:lang w:eastAsia="zh-CN"/>
              </w:rPr>
            </w:pPr>
          </w:p>
          <w:p>
            <w:pPr>
              <w:adjustRightInd w:val="0"/>
              <w:snapToGrid w:val="0"/>
              <w:spacing w:line="360" w:lineRule="auto"/>
              <w:ind w:firstLine="480" w:firstLineChars="200"/>
              <w:rPr>
                <w:rFonts w:hint="eastAsia"/>
                <w:color w:val="auto"/>
                <w:sz w:val="24"/>
                <w:highlight w:val="none"/>
                <w:lang w:eastAsia="zh-CN"/>
              </w:rPr>
            </w:pPr>
          </w:p>
          <w:p>
            <w:pPr>
              <w:adjustRightInd w:val="0"/>
              <w:snapToGrid w:val="0"/>
              <w:spacing w:line="360" w:lineRule="auto"/>
              <w:ind w:firstLine="480" w:firstLineChars="200"/>
              <w:rPr>
                <w:rFonts w:hint="eastAsia"/>
                <w:color w:val="auto"/>
                <w:sz w:val="24"/>
                <w:highlight w:val="none"/>
                <w:lang w:eastAsia="zh-CN"/>
              </w:rPr>
            </w:pPr>
          </w:p>
          <w:p>
            <w:pPr>
              <w:adjustRightInd w:val="0"/>
              <w:snapToGrid w:val="0"/>
              <w:spacing w:line="360" w:lineRule="auto"/>
              <w:ind w:firstLine="480" w:firstLineChars="200"/>
              <w:rPr>
                <w:rFonts w:hint="eastAsia"/>
                <w:color w:val="auto"/>
                <w:sz w:val="24"/>
                <w:highlight w:val="none"/>
                <w:lang w:eastAsia="zh-CN"/>
              </w:rPr>
            </w:pP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p>
          <w:p>
            <w:pPr>
              <w:adjustRightInd w:val="0"/>
              <w:snapToGrid w:val="0"/>
              <w:rPr>
                <w:rFonts w:hint="eastAsia"/>
                <w:b/>
                <w:bCs/>
                <w:color w:val="auto"/>
                <w:kern w:val="0"/>
                <w:sz w:val="24"/>
                <w:highlight w:val="none"/>
              </w:rPr>
            </w:pPr>
          </w:p>
        </w:tc>
      </w:tr>
    </w:tbl>
    <w:p>
      <w:pPr>
        <w:pStyle w:val="19"/>
        <w:jc w:val="center"/>
        <w:rPr>
          <w:rFonts w:ascii="黑体" w:hAnsi="黑体" w:eastAsia="黑体"/>
          <w:snapToGrid w:val="0"/>
          <w:color w:val="auto"/>
          <w:sz w:val="36"/>
          <w:szCs w:val="36"/>
          <w:highlight w:val="none"/>
        </w:rPr>
        <w:sectPr>
          <w:pgSz w:w="11906" w:h="16838"/>
          <w:pgMar w:top="1701" w:right="1531" w:bottom="1701" w:left="1531" w:header="851" w:footer="851" w:gutter="0"/>
          <w:cols w:space="720" w:num="1"/>
          <w:docGrid w:linePitch="312" w:charSpace="0"/>
        </w:sectPr>
      </w:pPr>
    </w:p>
    <w:p>
      <w:pPr>
        <w:pStyle w:val="19"/>
        <w:keepNext w:val="0"/>
        <w:keepLines w:val="0"/>
        <w:pageBreakBefore w:val="0"/>
        <w:widowControl/>
        <w:kinsoku/>
        <w:wordWrap/>
        <w:overflowPunct/>
        <w:topLinePunct w:val="0"/>
        <w:autoSpaceDE/>
        <w:autoSpaceDN/>
        <w:bidi w:val="0"/>
        <w:adjustRightInd/>
        <w:snapToGrid/>
        <w:spacing w:before="781" w:beforeLines="250" w:beforeAutospacing="0"/>
        <w:jc w:val="center"/>
        <w:textAlignment w:val="auto"/>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三、区域环境质量现状、环境保护目标及评价标准</w:t>
      </w:r>
    </w:p>
    <w:tbl>
      <w:tblPr>
        <w:tblStyle w:val="21"/>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5"/>
        <w:gridCol w:w="84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3" w:type="pct"/>
            <w:noWrap w:val="0"/>
            <w:vAlign w:val="center"/>
          </w:tcPr>
          <w:p>
            <w:pPr>
              <w:pStyle w:val="19"/>
              <w:adjustRightInd w:val="0"/>
              <w:snapToGrid w:val="0"/>
              <w:spacing w:before="0" w:beforeAutospacing="0" w:after="0" w:afterAutospacing="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区域环境质量现状</w:t>
            </w:r>
          </w:p>
        </w:tc>
        <w:tc>
          <w:tcPr>
            <w:tcW w:w="4676" w:type="pct"/>
            <w:noWrap w:val="0"/>
            <w:vAlign w:val="center"/>
          </w:tcPr>
          <w:p>
            <w:pPr>
              <w:adjustRightInd w:val="0"/>
              <w:snapToGrid w:val="0"/>
              <w:spacing w:line="360" w:lineRule="auto"/>
              <w:jc w:val="left"/>
              <w:rPr>
                <w:b/>
                <w:bCs/>
                <w:color w:val="auto"/>
                <w:kern w:val="0"/>
                <w:sz w:val="24"/>
                <w:highlight w:val="none"/>
              </w:rPr>
            </w:pPr>
            <w:r>
              <w:rPr>
                <w:b/>
                <w:bCs/>
                <w:color w:val="auto"/>
                <w:kern w:val="0"/>
                <w:sz w:val="24"/>
                <w:highlight w:val="none"/>
              </w:rPr>
              <w:t>1、大气环境质量现状</w:t>
            </w:r>
          </w:p>
          <w:p>
            <w:pPr>
              <w:widowControl/>
              <w:bidi w:val="0"/>
              <w:snapToGrid w:val="0"/>
              <w:spacing w:line="360" w:lineRule="auto"/>
              <w:ind w:right="0" w:firstLine="482" w:firstLineChars="200"/>
              <w:jc w:val="both"/>
              <w:rPr>
                <w:rFonts w:hint="eastAsia" w:ascii="Times New Roman" w:hAnsi="Times New Roman" w:eastAsia="宋体" w:cs="Times New Roman"/>
                <w:b/>
                <w:bCs/>
                <w:color w:val="auto"/>
                <w:kern w:val="0"/>
                <w:sz w:val="24"/>
                <w:szCs w:val="24"/>
                <w:highlight w:val="none"/>
                <w:lang w:val="en-US" w:eastAsia="zh-CN" w:bidi="ar-SA"/>
              </w:rPr>
            </w:pPr>
            <w:r>
              <w:rPr>
                <w:rFonts w:hint="eastAsia" w:ascii="Times New Roman" w:hAnsi="Times New Roman" w:eastAsia="宋体" w:cs="Times New Roman"/>
                <w:b/>
                <w:bCs/>
                <w:color w:val="auto"/>
                <w:kern w:val="0"/>
                <w:sz w:val="24"/>
                <w:szCs w:val="24"/>
                <w:highlight w:val="none"/>
                <w:lang w:val="en-US" w:eastAsia="zh-CN" w:bidi="ar-SA"/>
              </w:rPr>
              <w:t>（1）基本因子</w:t>
            </w:r>
          </w:p>
          <w:p>
            <w:pPr>
              <w:widowControl/>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为了解项目所在区域环境空气质量状况，本次评价采用巴中市生态环境局于202</w:t>
            </w:r>
            <w:r>
              <w:rPr>
                <w:rFonts w:hint="eastAsia"/>
                <w:color w:val="auto"/>
                <w:kern w:val="0"/>
                <w:sz w:val="24"/>
                <w:highlight w:val="none"/>
                <w:lang w:val="en-US" w:eastAsia="zh-CN"/>
              </w:rPr>
              <w:t>2</w:t>
            </w:r>
            <w:r>
              <w:rPr>
                <w:rFonts w:hint="eastAsia"/>
                <w:color w:val="auto"/>
                <w:kern w:val="0"/>
                <w:sz w:val="24"/>
                <w:highlight w:val="none"/>
              </w:rPr>
              <w:t>年6月</w:t>
            </w:r>
            <w:r>
              <w:rPr>
                <w:rFonts w:hint="eastAsia"/>
                <w:color w:val="auto"/>
                <w:kern w:val="0"/>
                <w:sz w:val="24"/>
                <w:highlight w:val="none"/>
                <w:lang w:val="en-US" w:eastAsia="zh-CN"/>
              </w:rPr>
              <w:t>5</w:t>
            </w:r>
            <w:r>
              <w:rPr>
                <w:rFonts w:hint="eastAsia"/>
                <w:color w:val="auto"/>
                <w:kern w:val="0"/>
                <w:sz w:val="24"/>
                <w:highlight w:val="none"/>
              </w:rPr>
              <w:t>日发布的《202</w:t>
            </w:r>
            <w:r>
              <w:rPr>
                <w:rFonts w:hint="eastAsia"/>
                <w:color w:val="auto"/>
                <w:kern w:val="0"/>
                <w:sz w:val="24"/>
                <w:highlight w:val="none"/>
                <w:lang w:val="en-US" w:eastAsia="zh-CN"/>
              </w:rPr>
              <w:t>1</w:t>
            </w:r>
            <w:r>
              <w:rPr>
                <w:rFonts w:hint="eastAsia"/>
                <w:color w:val="auto"/>
                <w:kern w:val="0"/>
                <w:sz w:val="24"/>
                <w:highlight w:val="none"/>
              </w:rPr>
              <w:t>年巴中市生态环境质量状况公报》（http://sthjj.cnbz.gov.cn/group4/M00/05/DB/rBUtI2KcK7CAIztDAKDdIH_-WUk800.pdf）。</w:t>
            </w:r>
          </w:p>
          <w:p>
            <w:pPr>
              <w:widowControl/>
              <w:snapToGrid w:val="0"/>
              <w:spacing w:line="360" w:lineRule="auto"/>
              <w:ind w:firstLine="480" w:firstLineChars="200"/>
              <w:rPr>
                <w:rFonts w:hint="eastAsia"/>
                <w:color w:val="auto"/>
                <w:kern w:val="0"/>
                <w:sz w:val="24"/>
                <w:highlight w:val="none"/>
              </w:rPr>
            </w:pPr>
            <w:r>
              <w:rPr>
                <w:rFonts w:hint="eastAsia" w:ascii="Times New Roman" w:hAnsi="Times New Roman" w:eastAsia="宋体" w:cs="Times New Roman"/>
                <w:color w:val="auto"/>
                <w:kern w:val="0"/>
                <w:sz w:val="24"/>
                <w:highlight w:val="none"/>
              </w:rPr>
              <w:t>根据《202</w:t>
            </w:r>
            <w:r>
              <w:rPr>
                <w:rFonts w:hint="eastAsia"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rPr>
              <w:t>年巴中市生态环境质量状况公报》</w:t>
            </w:r>
            <w:r>
              <w:rPr>
                <w:rFonts w:hint="eastAsia" w:ascii="Times New Roman" w:hAnsi="Times New Roman" w:eastAsia="宋体" w:cs="Times New Roman"/>
                <w:color w:val="auto"/>
                <w:kern w:val="0"/>
                <w:sz w:val="24"/>
                <w:highlight w:val="none"/>
                <w:lang w:eastAsia="zh-CN"/>
              </w:rPr>
              <w:t>：</w:t>
            </w:r>
            <w:r>
              <w:rPr>
                <w:rFonts w:hint="eastAsia"/>
                <w:color w:val="auto"/>
                <w:kern w:val="0"/>
                <w:sz w:val="24"/>
                <w:highlight w:val="none"/>
              </w:rPr>
              <w:t>全市各区县优良天数比例均达到了90%以上，区县环境空气六项主要污染物年均浓度全部达标。</w:t>
            </w:r>
          </w:p>
          <w:p>
            <w:pPr>
              <w:adjustRightInd w:val="0"/>
              <w:snapToGrid w:val="0"/>
              <w:jc w:val="center"/>
              <w:rPr>
                <w:rFonts w:ascii="宋体" w:hAnsi="宋体" w:cs="宋体"/>
                <w:color w:val="auto"/>
                <w:kern w:val="0"/>
                <w:szCs w:val="21"/>
                <w:highlight w:val="none"/>
              </w:rPr>
            </w:pPr>
            <w:r>
              <w:rPr>
                <w:color w:val="auto"/>
                <w:highlight w:val="none"/>
              </w:rPr>
              <w:drawing>
                <wp:inline distT="0" distB="0" distL="114300" distR="114300">
                  <wp:extent cx="4310380" cy="3021330"/>
                  <wp:effectExtent l="0" t="0" r="13970" b="762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2"/>
                          <a:stretch>
                            <a:fillRect/>
                          </a:stretch>
                        </pic:blipFill>
                        <pic:spPr>
                          <a:xfrm>
                            <a:off x="0" y="0"/>
                            <a:ext cx="4310380" cy="3021330"/>
                          </a:xfrm>
                          <a:prstGeom prst="rect">
                            <a:avLst/>
                          </a:prstGeom>
                          <a:noFill/>
                          <a:ln>
                            <a:noFill/>
                          </a:ln>
                        </pic:spPr>
                      </pic:pic>
                    </a:graphicData>
                  </a:graphic>
                </wp:inline>
              </w:drawing>
            </w:r>
          </w:p>
          <w:p>
            <w:pPr>
              <w:pStyle w:val="41"/>
              <w:bidi w:val="0"/>
              <w:rPr>
                <w:rFonts w:hint="eastAsia" w:ascii="Times New Roman" w:hAnsi="Times New Roman" w:eastAsia="宋体" w:cs="Times New Roman"/>
                <w:color w:val="auto"/>
                <w:sz w:val="24"/>
                <w:highlight w:val="none"/>
                <w:lang w:val="en-US" w:eastAsia="zh-CN" w:bidi="ar"/>
              </w:rPr>
            </w:pPr>
            <w:r>
              <w:rPr>
                <w:rFonts w:hint="eastAsia"/>
                <w:b/>
                <w:bCs/>
                <w:color w:val="auto"/>
                <w:kern w:val="0"/>
                <w:szCs w:val="21"/>
                <w:highlight w:val="none"/>
                <w:lang w:val="en-US" w:eastAsia="zh-CN"/>
              </w:rPr>
              <w:t>图</w:t>
            </w:r>
            <w:r>
              <w:rPr>
                <w:b/>
                <w:bCs/>
                <w:color w:val="auto"/>
                <w:kern w:val="0"/>
                <w:szCs w:val="21"/>
                <w:highlight w:val="none"/>
              </w:rPr>
              <w:t>3-</w:t>
            </w:r>
            <w:r>
              <w:rPr>
                <w:rFonts w:hint="eastAsia"/>
                <w:b/>
                <w:bCs/>
                <w:color w:val="auto"/>
                <w:kern w:val="0"/>
                <w:szCs w:val="21"/>
                <w:highlight w:val="none"/>
              </w:rPr>
              <w:t xml:space="preserve">1  </w:t>
            </w:r>
            <w:r>
              <w:rPr>
                <w:rFonts w:hint="eastAsia"/>
                <w:b/>
                <w:bCs/>
                <w:color w:val="auto"/>
                <w:kern w:val="0"/>
                <w:szCs w:val="21"/>
                <w:highlight w:val="none"/>
                <w:lang w:val="en-US" w:eastAsia="zh-CN"/>
              </w:rPr>
              <w:t>2021年各区县环境空气质量级别图</w:t>
            </w:r>
          </w:p>
          <w:p>
            <w:pPr>
              <w:overflowPunct w:val="0"/>
              <w:autoSpaceDE w:val="0"/>
              <w:autoSpaceDN w:val="0"/>
              <w:spacing w:line="360" w:lineRule="auto"/>
              <w:ind w:firstLine="480" w:firstLineChars="200"/>
              <w:rPr>
                <w:rFonts w:hint="eastAsia" w:ascii="Times New Roman" w:hAnsi="Times New Roman" w:eastAsia="宋体" w:cs="Times New Roman"/>
                <w:color w:val="auto"/>
                <w:kern w:val="0"/>
                <w:sz w:val="24"/>
                <w:highlight w:val="none"/>
                <w:lang w:eastAsia="zh-CN"/>
              </w:rPr>
            </w:pPr>
            <w:r>
              <w:rPr>
                <w:rFonts w:hint="eastAsia"/>
                <w:color w:val="auto"/>
                <w:sz w:val="24"/>
                <w:highlight w:val="none"/>
                <w:lang w:bidi="ar"/>
              </w:rPr>
              <w:t>本项目位于巴中市恩阳区，</w:t>
            </w:r>
            <w:r>
              <w:rPr>
                <w:color w:val="auto"/>
                <w:sz w:val="24"/>
                <w:highlight w:val="none"/>
                <w:lang w:bidi="ar"/>
              </w:rPr>
              <w:t>根据</w:t>
            </w:r>
            <w:r>
              <w:rPr>
                <w:rFonts w:hint="eastAsia"/>
                <w:color w:val="auto"/>
                <w:kern w:val="0"/>
                <w:sz w:val="24"/>
                <w:highlight w:val="none"/>
              </w:rPr>
              <w:t>《202</w:t>
            </w:r>
            <w:r>
              <w:rPr>
                <w:rFonts w:hint="eastAsia"/>
                <w:color w:val="auto"/>
                <w:kern w:val="0"/>
                <w:sz w:val="24"/>
                <w:highlight w:val="none"/>
                <w:lang w:val="en-US" w:eastAsia="zh-CN"/>
              </w:rPr>
              <w:t>1</w:t>
            </w:r>
            <w:r>
              <w:rPr>
                <w:rFonts w:hint="eastAsia"/>
                <w:color w:val="auto"/>
                <w:kern w:val="0"/>
                <w:sz w:val="24"/>
                <w:highlight w:val="none"/>
              </w:rPr>
              <w:t>年巴中市生态环境质量状况公报》</w:t>
            </w:r>
            <w:r>
              <w:rPr>
                <w:rFonts w:hint="eastAsia"/>
                <w:color w:val="auto"/>
                <w:sz w:val="24"/>
                <w:highlight w:val="none"/>
                <w:lang w:bidi="ar"/>
              </w:rPr>
              <w:t>可知</w:t>
            </w:r>
            <w:r>
              <w:rPr>
                <w:color w:val="auto"/>
                <w:sz w:val="24"/>
                <w:highlight w:val="none"/>
                <w:lang w:bidi="ar"/>
              </w:rPr>
              <w:t>，</w:t>
            </w:r>
            <w:r>
              <w:rPr>
                <w:rFonts w:hint="eastAsia"/>
                <w:color w:val="auto"/>
                <w:sz w:val="24"/>
                <w:highlight w:val="none"/>
                <w:lang w:bidi="ar"/>
              </w:rPr>
              <w:t>恩阳区环境空气质量现状</w:t>
            </w:r>
            <w:r>
              <w:rPr>
                <w:rFonts w:hint="eastAsia"/>
                <w:color w:val="auto"/>
                <w:kern w:val="0"/>
                <w:sz w:val="24"/>
                <w:highlight w:val="none"/>
              </w:rPr>
              <w:t>PM</w:t>
            </w:r>
            <w:r>
              <w:rPr>
                <w:rFonts w:hint="eastAsia"/>
                <w:color w:val="auto"/>
                <w:kern w:val="0"/>
                <w:sz w:val="24"/>
                <w:highlight w:val="none"/>
                <w:vertAlign w:val="subscript"/>
              </w:rPr>
              <w:t>10</w:t>
            </w:r>
            <w:r>
              <w:rPr>
                <w:rFonts w:hint="eastAsia"/>
                <w:color w:val="auto"/>
                <w:kern w:val="0"/>
                <w:sz w:val="24"/>
                <w:highlight w:val="none"/>
              </w:rPr>
              <w:t>、PM</w:t>
            </w:r>
            <w:r>
              <w:rPr>
                <w:rFonts w:hint="eastAsia"/>
                <w:color w:val="auto"/>
                <w:kern w:val="0"/>
                <w:sz w:val="24"/>
                <w:highlight w:val="none"/>
                <w:vertAlign w:val="subscript"/>
              </w:rPr>
              <w:t>2.5</w:t>
            </w:r>
            <w:r>
              <w:rPr>
                <w:rFonts w:hint="eastAsia"/>
                <w:color w:val="auto"/>
                <w:kern w:val="0"/>
                <w:sz w:val="24"/>
                <w:highlight w:val="none"/>
              </w:rPr>
              <w:t>、SO</w:t>
            </w:r>
            <w:r>
              <w:rPr>
                <w:rFonts w:hint="eastAsia"/>
                <w:color w:val="auto"/>
                <w:kern w:val="0"/>
                <w:sz w:val="24"/>
                <w:highlight w:val="none"/>
                <w:vertAlign w:val="subscript"/>
              </w:rPr>
              <w:t>2</w:t>
            </w:r>
            <w:r>
              <w:rPr>
                <w:rFonts w:hint="eastAsia"/>
                <w:color w:val="auto"/>
                <w:kern w:val="0"/>
                <w:sz w:val="24"/>
                <w:highlight w:val="none"/>
              </w:rPr>
              <w:t>、NO</w:t>
            </w:r>
            <w:r>
              <w:rPr>
                <w:rFonts w:hint="eastAsia"/>
                <w:color w:val="auto"/>
                <w:kern w:val="0"/>
                <w:sz w:val="24"/>
                <w:highlight w:val="none"/>
                <w:vertAlign w:val="subscript"/>
              </w:rPr>
              <w:t>2</w:t>
            </w:r>
            <w:r>
              <w:rPr>
                <w:rFonts w:hint="eastAsia"/>
                <w:color w:val="auto"/>
                <w:kern w:val="0"/>
                <w:sz w:val="24"/>
                <w:highlight w:val="none"/>
              </w:rPr>
              <w:t>的</w:t>
            </w:r>
            <w:r>
              <w:rPr>
                <w:rFonts w:hint="eastAsia"/>
                <w:color w:val="auto"/>
                <w:sz w:val="24"/>
                <w:highlight w:val="none"/>
                <w:lang w:bidi="ar"/>
              </w:rPr>
              <w:t>年均浓度</w:t>
            </w:r>
            <w:r>
              <w:rPr>
                <w:rFonts w:hint="eastAsia"/>
                <w:color w:val="auto"/>
                <w:sz w:val="24"/>
                <w:highlight w:val="none"/>
                <w:lang w:eastAsia="zh-CN" w:bidi="ar"/>
              </w:rPr>
              <w:t>，</w:t>
            </w:r>
            <w:r>
              <w:rPr>
                <w:rFonts w:hint="eastAsia"/>
                <w:color w:val="auto"/>
                <w:sz w:val="24"/>
                <w:highlight w:val="none"/>
                <w:lang w:val="en-US" w:eastAsia="zh-CN" w:bidi="ar"/>
              </w:rPr>
              <w:t>以及</w:t>
            </w:r>
            <w:r>
              <w:rPr>
                <w:rFonts w:hint="eastAsia"/>
                <w:color w:val="auto"/>
                <w:kern w:val="0"/>
                <w:sz w:val="24"/>
                <w:highlight w:val="none"/>
              </w:rPr>
              <w:t>O</w:t>
            </w:r>
            <w:r>
              <w:rPr>
                <w:rFonts w:hint="eastAsia"/>
                <w:color w:val="auto"/>
                <w:kern w:val="0"/>
                <w:sz w:val="24"/>
                <w:highlight w:val="none"/>
                <w:vertAlign w:val="subscript"/>
              </w:rPr>
              <w:t>3</w:t>
            </w:r>
            <w:r>
              <w:rPr>
                <w:rFonts w:hint="eastAsia"/>
                <w:color w:val="auto"/>
                <w:kern w:val="0"/>
                <w:sz w:val="24"/>
                <w:highlight w:val="none"/>
              </w:rPr>
              <w:t>和CO的</w:t>
            </w:r>
            <w:r>
              <w:rPr>
                <w:rFonts w:hint="eastAsia"/>
                <w:color w:val="auto"/>
                <w:sz w:val="24"/>
                <w:highlight w:val="none"/>
                <w:lang w:val="en-US" w:eastAsia="zh-CN" w:bidi="ar"/>
              </w:rPr>
              <w:t>相应百分位数浓度</w:t>
            </w:r>
            <w:r>
              <w:rPr>
                <w:rFonts w:hint="eastAsia"/>
                <w:color w:val="auto"/>
                <w:sz w:val="24"/>
                <w:highlight w:val="none"/>
                <w:lang w:bidi="ar"/>
              </w:rPr>
              <w:t>均达到《环境空气质量标准》（GB3095-2012）二级标准要求，项目所在区域为达标区。</w:t>
            </w:r>
          </w:p>
          <w:p>
            <w:pPr>
              <w:adjustRightInd w:val="0"/>
              <w:snapToGrid w:val="0"/>
              <w:spacing w:line="360" w:lineRule="auto"/>
              <w:ind w:firstLine="482" w:firstLineChars="200"/>
              <w:rPr>
                <w:b/>
                <w:bCs w:val="0"/>
                <w:color w:val="auto"/>
                <w:sz w:val="24"/>
                <w:highlight w:val="none"/>
              </w:rPr>
            </w:pPr>
            <w:r>
              <w:rPr>
                <w:rFonts w:hint="eastAsia"/>
                <w:b/>
                <w:bCs w:val="0"/>
                <w:color w:val="auto"/>
                <w:sz w:val="24"/>
                <w:highlight w:val="none"/>
                <w:lang w:eastAsia="zh-CN"/>
              </w:rPr>
              <w:t>（</w:t>
            </w:r>
            <w:r>
              <w:rPr>
                <w:rFonts w:hint="eastAsia"/>
                <w:b/>
                <w:bCs w:val="0"/>
                <w:color w:val="auto"/>
                <w:sz w:val="24"/>
                <w:highlight w:val="none"/>
                <w:lang w:val="en-US" w:eastAsia="zh-CN"/>
              </w:rPr>
              <w:t>2</w:t>
            </w:r>
            <w:r>
              <w:rPr>
                <w:rFonts w:hint="eastAsia"/>
                <w:b/>
                <w:bCs w:val="0"/>
                <w:color w:val="auto"/>
                <w:sz w:val="24"/>
                <w:highlight w:val="none"/>
                <w:lang w:eastAsia="zh-CN"/>
              </w:rPr>
              <w:t>）</w:t>
            </w:r>
            <w:r>
              <w:rPr>
                <w:b/>
                <w:bCs w:val="0"/>
                <w:color w:val="auto"/>
                <w:sz w:val="24"/>
                <w:highlight w:val="none"/>
              </w:rPr>
              <w:t>特征</w:t>
            </w:r>
            <w:r>
              <w:rPr>
                <w:rFonts w:hint="eastAsia" w:ascii="Times New Roman" w:hAnsi="Times New Roman" w:eastAsia="宋体" w:cs="Times New Roman"/>
                <w:b/>
                <w:bCs/>
                <w:color w:val="auto"/>
                <w:kern w:val="0"/>
                <w:sz w:val="24"/>
                <w:szCs w:val="24"/>
                <w:highlight w:val="none"/>
                <w:lang w:val="en-US" w:eastAsia="zh-CN" w:bidi="ar-SA"/>
              </w:rPr>
              <w:t>因子</w:t>
            </w:r>
          </w:p>
          <w:p>
            <w:pPr>
              <w:overflowPunct w:val="0"/>
              <w:autoSpaceDE w:val="0"/>
              <w:autoSpaceDN w:val="0"/>
              <w:spacing w:line="360" w:lineRule="auto"/>
              <w:ind w:firstLine="480" w:firstLineChars="200"/>
              <w:rPr>
                <w:rFonts w:hint="default" w:ascii="Times New Roman" w:hAnsi="Times New Roman" w:eastAsia="宋体" w:cs="Times New Roman"/>
                <w:color w:val="auto"/>
                <w:sz w:val="24"/>
                <w:highlight w:val="none"/>
                <w:lang w:val="en-US" w:eastAsia="zh-CN" w:bidi="ar"/>
              </w:rPr>
            </w:pPr>
            <w:r>
              <w:rPr>
                <w:rFonts w:hint="eastAsia" w:ascii="Times New Roman" w:hAnsi="Times New Roman" w:eastAsia="宋体" w:cs="Times New Roman"/>
                <w:color w:val="auto"/>
                <w:sz w:val="24"/>
                <w:highlight w:val="none"/>
                <w:lang w:val="en-US" w:eastAsia="zh-CN" w:bidi="ar"/>
              </w:rPr>
              <w:t>本</w:t>
            </w:r>
            <w:r>
              <w:rPr>
                <w:rFonts w:hint="eastAsia" w:ascii="Times New Roman" w:hAnsi="Times New Roman" w:eastAsia="宋体" w:cs="Times New Roman"/>
                <w:color w:val="auto"/>
                <w:sz w:val="24"/>
                <w:highlight w:val="none"/>
                <w:lang w:bidi="ar"/>
              </w:rPr>
              <w:t>项目特征污染物为</w:t>
            </w:r>
            <w:r>
              <w:rPr>
                <w:rFonts w:hint="eastAsia" w:ascii="Times New Roman" w:hAnsi="Times New Roman" w:eastAsia="宋体" w:cs="Times New Roman"/>
                <w:color w:val="auto"/>
                <w:sz w:val="24"/>
                <w:highlight w:val="none"/>
                <w:lang w:val="en-US" w:eastAsia="zh-CN" w:bidi="ar"/>
              </w:rPr>
              <w:t>TSP，本次评价引用四川锡水金山环保科技有限公司于2020年12月24日对巴中五仓宝盈农牧有限公司——年产45万吨饲料项目的检测报告（项目编号：SCXSJSHBKJYXGS2352-0001），引用项目位于本项目西南侧246m，因此，引用空间距离满足有效性（周边5km范围内），时间满足时效性（近3年）。</w:t>
            </w:r>
          </w:p>
          <w:p>
            <w:pPr>
              <w:widowControl/>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①监测项目：</w:t>
            </w:r>
            <w:r>
              <w:rPr>
                <w:rFonts w:hint="eastAsia"/>
                <w:color w:val="auto"/>
                <w:kern w:val="0"/>
                <w:sz w:val="24"/>
                <w:highlight w:val="none"/>
                <w:lang w:val="en-US" w:eastAsia="zh-CN"/>
              </w:rPr>
              <w:t>TSP</w:t>
            </w:r>
            <w:r>
              <w:rPr>
                <w:rFonts w:hint="eastAsia"/>
                <w:color w:val="auto"/>
                <w:kern w:val="0"/>
                <w:sz w:val="24"/>
                <w:highlight w:val="none"/>
              </w:rPr>
              <w:t>。</w:t>
            </w:r>
          </w:p>
          <w:p>
            <w:pPr>
              <w:widowControl/>
              <w:snapToGrid w:val="0"/>
              <w:spacing w:line="360" w:lineRule="auto"/>
              <w:ind w:firstLine="480" w:firstLineChars="200"/>
              <w:rPr>
                <w:color w:val="auto"/>
                <w:kern w:val="0"/>
                <w:sz w:val="24"/>
                <w:highlight w:val="none"/>
              </w:rPr>
            </w:pPr>
            <w:r>
              <w:rPr>
                <w:color w:val="auto"/>
                <w:kern w:val="0"/>
                <w:sz w:val="24"/>
                <w:highlight w:val="none"/>
              </w:rPr>
              <w:t>②</w:t>
            </w:r>
            <w:r>
              <w:rPr>
                <w:rFonts w:hint="eastAsia"/>
                <w:color w:val="auto"/>
                <w:kern w:val="0"/>
                <w:sz w:val="24"/>
                <w:highlight w:val="none"/>
              </w:rPr>
              <w:t>监测点位：1#</w:t>
            </w:r>
            <w:r>
              <w:rPr>
                <w:rFonts w:hint="eastAsia"/>
                <w:color w:val="auto"/>
                <w:kern w:val="0"/>
                <w:sz w:val="24"/>
                <w:highlight w:val="none"/>
                <w:lang w:val="en-US" w:eastAsia="zh-CN"/>
              </w:rPr>
              <w:t>项目拟建地中心</w:t>
            </w:r>
            <w:r>
              <w:rPr>
                <w:rFonts w:hint="eastAsia"/>
                <w:color w:val="auto"/>
                <w:kern w:val="0"/>
                <w:sz w:val="24"/>
                <w:highlight w:val="none"/>
              </w:rPr>
              <w:t>。</w:t>
            </w:r>
          </w:p>
          <w:p>
            <w:pPr>
              <w:widowControl/>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③监测时间：202</w:t>
            </w:r>
            <w:r>
              <w:rPr>
                <w:rFonts w:hint="eastAsia"/>
                <w:color w:val="auto"/>
                <w:kern w:val="0"/>
                <w:sz w:val="24"/>
                <w:highlight w:val="none"/>
                <w:lang w:val="en-US" w:eastAsia="zh-CN"/>
              </w:rPr>
              <w:t>0</w:t>
            </w:r>
            <w:r>
              <w:rPr>
                <w:rFonts w:hint="eastAsia"/>
                <w:color w:val="auto"/>
                <w:kern w:val="0"/>
                <w:sz w:val="24"/>
                <w:highlight w:val="none"/>
              </w:rPr>
              <w:t>年</w:t>
            </w:r>
            <w:r>
              <w:rPr>
                <w:rFonts w:hint="eastAsia"/>
                <w:color w:val="auto"/>
                <w:kern w:val="0"/>
                <w:sz w:val="24"/>
                <w:highlight w:val="none"/>
                <w:lang w:val="en-US" w:eastAsia="zh-CN"/>
              </w:rPr>
              <w:t>12</w:t>
            </w:r>
            <w:r>
              <w:rPr>
                <w:rFonts w:hint="eastAsia"/>
                <w:color w:val="auto"/>
                <w:kern w:val="0"/>
                <w:sz w:val="24"/>
                <w:highlight w:val="none"/>
              </w:rPr>
              <w:t>月</w:t>
            </w:r>
            <w:r>
              <w:rPr>
                <w:rFonts w:hint="eastAsia"/>
                <w:color w:val="auto"/>
                <w:kern w:val="0"/>
                <w:sz w:val="24"/>
                <w:highlight w:val="none"/>
                <w:lang w:val="en-US" w:eastAsia="zh-CN"/>
              </w:rPr>
              <w:t>9</w:t>
            </w:r>
            <w:r>
              <w:rPr>
                <w:rFonts w:hint="eastAsia"/>
                <w:color w:val="auto"/>
                <w:kern w:val="0"/>
                <w:sz w:val="24"/>
                <w:highlight w:val="none"/>
              </w:rPr>
              <w:t>日～</w:t>
            </w:r>
            <w:r>
              <w:rPr>
                <w:rFonts w:hint="eastAsia"/>
                <w:color w:val="auto"/>
                <w:kern w:val="0"/>
                <w:sz w:val="24"/>
                <w:highlight w:val="none"/>
                <w:lang w:val="en-US" w:eastAsia="zh-CN"/>
              </w:rPr>
              <w:t>15</w:t>
            </w:r>
            <w:r>
              <w:rPr>
                <w:rFonts w:hint="eastAsia"/>
                <w:color w:val="auto"/>
                <w:kern w:val="0"/>
                <w:sz w:val="24"/>
                <w:highlight w:val="none"/>
              </w:rPr>
              <w:t>日，连续监测</w:t>
            </w:r>
            <w:r>
              <w:rPr>
                <w:rFonts w:hint="eastAsia"/>
                <w:color w:val="auto"/>
                <w:kern w:val="0"/>
                <w:sz w:val="24"/>
                <w:highlight w:val="none"/>
                <w:lang w:val="en-US" w:eastAsia="zh-CN"/>
              </w:rPr>
              <w:t>7</w:t>
            </w:r>
            <w:r>
              <w:rPr>
                <w:rFonts w:hint="eastAsia"/>
                <w:color w:val="auto"/>
                <w:kern w:val="0"/>
                <w:sz w:val="24"/>
                <w:highlight w:val="none"/>
              </w:rPr>
              <w:t>天。</w:t>
            </w:r>
          </w:p>
          <w:p>
            <w:pPr>
              <w:widowControl/>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④监测结果：见表3-</w:t>
            </w:r>
            <w:r>
              <w:rPr>
                <w:rFonts w:hint="eastAsia"/>
                <w:color w:val="auto"/>
                <w:kern w:val="0"/>
                <w:sz w:val="24"/>
                <w:highlight w:val="none"/>
                <w:lang w:val="en-US" w:eastAsia="zh-CN"/>
              </w:rPr>
              <w:t>1</w:t>
            </w:r>
            <w:r>
              <w:rPr>
                <w:rFonts w:hint="eastAsia"/>
                <w:color w:val="auto"/>
                <w:kern w:val="0"/>
                <w:sz w:val="24"/>
                <w:highlight w:val="none"/>
              </w:rPr>
              <w:t>。</w:t>
            </w:r>
          </w:p>
          <w:p>
            <w:pPr>
              <w:pStyle w:val="41"/>
              <w:bidi w:val="0"/>
              <w:rPr>
                <w:rFonts w:hint="default"/>
                <w:color w:val="auto"/>
                <w:highlight w:val="none"/>
                <w:vertAlign w:val="baseline"/>
                <w:lang w:val="en-US" w:eastAsia="zh-CN"/>
              </w:rPr>
            </w:pPr>
            <w:r>
              <w:rPr>
                <w:rFonts w:hint="eastAsia"/>
                <w:color w:val="auto"/>
                <w:highlight w:val="none"/>
              </w:rPr>
              <w:t>表3-</w:t>
            </w:r>
            <w:r>
              <w:rPr>
                <w:rFonts w:hint="eastAsia"/>
                <w:color w:val="auto"/>
                <w:highlight w:val="none"/>
                <w:lang w:val="en-US" w:eastAsia="zh-CN"/>
              </w:rPr>
              <w:t>1</w:t>
            </w:r>
            <w:r>
              <w:rPr>
                <w:rFonts w:hint="eastAsia"/>
                <w:color w:val="auto"/>
                <w:highlight w:val="none"/>
              </w:rPr>
              <w:t xml:space="preserve">  </w:t>
            </w:r>
            <w:r>
              <w:rPr>
                <w:rFonts w:hint="eastAsia"/>
                <w:color w:val="auto"/>
                <w:highlight w:val="none"/>
                <w:lang w:val="en-US" w:eastAsia="zh-CN"/>
              </w:rPr>
              <w:t>环境空气检测结果表      单位：mg/m</w:t>
            </w:r>
            <w:r>
              <w:rPr>
                <w:rFonts w:hint="eastAsia"/>
                <w:color w:val="auto"/>
                <w:highlight w:val="none"/>
                <w:vertAlign w:val="superscript"/>
                <w:lang w:val="en-US" w:eastAsia="zh-CN"/>
              </w:rPr>
              <w:t>3</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936"/>
              <w:gridCol w:w="936"/>
              <w:gridCol w:w="937"/>
              <w:gridCol w:w="937"/>
              <w:gridCol w:w="937"/>
              <w:gridCol w:w="937"/>
              <w:gridCol w:w="937"/>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5" w:type="dxa"/>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检测点位</w:t>
                  </w:r>
                </w:p>
              </w:tc>
              <w:tc>
                <w:tcPr>
                  <w:tcW w:w="936" w:type="dxa"/>
                  <w:vMerge w:val="restart"/>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检测项目</w:t>
                  </w:r>
                </w:p>
              </w:tc>
              <w:tc>
                <w:tcPr>
                  <w:tcW w:w="6558" w:type="dxa"/>
                  <w:gridSpan w:val="7"/>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检测结果（日均值）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936" w:type="dxa"/>
                  <w:vMerge w:val="continue"/>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p>
              </w:tc>
              <w:tc>
                <w:tcPr>
                  <w:tcW w:w="936"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12月9日</w:t>
                  </w:r>
                </w:p>
              </w:tc>
              <w:tc>
                <w:tcPr>
                  <w:tcW w:w="937"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12月10日</w:t>
                  </w:r>
                </w:p>
              </w:tc>
              <w:tc>
                <w:tcPr>
                  <w:tcW w:w="937"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12月11日</w:t>
                  </w:r>
                </w:p>
              </w:tc>
              <w:tc>
                <w:tcPr>
                  <w:tcW w:w="937"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12月12日</w:t>
                  </w:r>
                </w:p>
              </w:tc>
              <w:tc>
                <w:tcPr>
                  <w:tcW w:w="937"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12月13日</w:t>
                  </w:r>
                </w:p>
              </w:tc>
              <w:tc>
                <w:tcPr>
                  <w:tcW w:w="937"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12月14日</w:t>
                  </w:r>
                </w:p>
              </w:tc>
              <w:tc>
                <w:tcPr>
                  <w:tcW w:w="937" w:type="dxa"/>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12月15日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1#项目拟建地中心</w:t>
                  </w:r>
                </w:p>
              </w:tc>
              <w:tc>
                <w:tcPr>
                  <w:tcW w:w="93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总悬浮颗粒物</w:t>
                  </w:r>
                </w:p>
              </w:tc>
              <w:tc>
                <w:tcPr>
                  <w:tcW w:w="936"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0.090</w:t>
                  </w:r>
                </w:p>
              </w:tc>
              <w:tc>
                <w:tcPr>
                  <w:tcW w:w="93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0.079</w:t>
                  </w:r>
                </w:p>
              </w:tc>
              <w:tc>
                <w:tcPr>
                  <w:tcW w:w="93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0.078</w:t>
                  </w:r>
                </w:p>
              </w:tc>
              <w:tc>
                <w:tcPr>
                  <w:tcW w:w="93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0.073</w:t>
                  </w:r>
                </w:p>
              </w:tc>
              <w:tc>
                <w:tcPr>
                  <w:tcW w:w="93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0.076</w:t>
                  </w:r>
                </w:p>
              </w:tc>
              <w:tc>
                <w:tcPr>
                  <w:tcW w:w="93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0.086</w:t>
                  </w:r>
                </w:p>
              </w:tc>
              <w:tc>
                <w:tcPr>
                  <w:tcW w:w="93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0.092</w:t>
                  </w:r>
                </w:p>
              </w:tc>
            </w:tr>
          </w:tbl>
          <w:p>
            <w:pPr>
              <w:widowControl/>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⑤</w:t>
            </w:r>
            <w:r>
              <w:rPr>
                <w:bCs/>
                <w:color w:val="auto"/>
                <w:sz w:val="24"/>
                <w:highlight w:val="none"/>
              </w:rPr>
              <w:t>空气质量现状评价</w:t>
            </w:r>
          </w:p>
          <w:p>
            <w:pPr>
              <w:widowControl/>
              <w:snapToGrid w:val="0"/>
              <w:spacing w:line="360" w:lineRule="auto"/>
              <w:ind w:firstLine="480" w:firstLineChars="200"/>
              <w:rPr>
                <w:rFonts w:hint="eastAsia"/>
                <w:color w:val="auto"/>
                <w:kern w:val="0"/>
                <w:sz w:val="24"/>
                <w:highlight w:val="none"/>
              </w:rPr>
            </w:pPr>
            <w:r>
              <w:rPr>
                <w:color w:val="auto"/>
                <w:sz w:val="24"/>
                <w:highlight w:val="none"/>
              </w:rPr>
              <w:t>1）评价因子</w:t>
            </w:r>
            <w:r>
              <w:rPr>
                <w:rFonts w:hint="eastAsia"/>
                <w:color w:val="auto"/>
                <w:sz w:val="24"/>
                <w:highlight w:val="none"/>
              </w:rPr>
              <w:t>：</w:t>
            </w:r>
            <w:r>
              <w:rPr>
                <w:rFonts w:hint="eastAsia"/>
                <w:color w:val="auto"/>
                <w:kern w:val="0"/>
                <w:sz w:val="24"/>
                <w:highlight w:val="none"/>
                <w:lang w:val="en-US" w:eastAsia="zh-CN"/>
              </w:rPr>
              <w:t>TSP</w:t>
            </w:r>
            <w:r>
              <w:rPr>
                <w:rFonts w:hint="eastAsia"/>
                <w:color w:val="auto"/>
                <w:kern w:val="0"/>
                <w:sz w:val="24"/>
                <w:highlight w:val="none"/>
              </w:rPr>
              <w:t>。</w:t>
            </w:r>
          </w:p>
          <w:p>
            <w:pPr>
              <w:widowControl/>
              <w:snapToGrid w:val="0"/>
              <w:spacing w:line="360" w:lineRule="auto"/>
              <w:ind w:firstLine="480" w:firstLineChars="200"/>
              <w:rPr>
                <w:rFonts w:hint="default" w:ascii="Times New Roman" w:hAnsi="Times New Roman" w:eastAsia="宋体" w:cs="Times New Roman"/>
                <w:color w:val="auto"/>
                <w:sz w:val="24"/>
                <w:highlight w:val="none"/>
                <w:vertAlign w:val="baseline"/>
                <w:lang w:val="en-US" w:eastAsia="zh-CN"/>
              </w:rPr>
            </w:pPr>
            <w:r>
              <w:rPr>
                <w:rFonts w:hint="eastAsia" w:ascii="Times New Roman" w:hAnsi="Times New Roman" w:eastAsia="宋体" w:cs="Times New Roman"/>
                <w:color w:val="auto"/>
                <w:sz w:val="24"/>
                <w:highlight w:val="none"/>
              </w:rPr>
              <w:t>2）评价标准：</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环境空气质量标准</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GB3095-2012</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中二级浓度限值</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TSP300</w:t>
            </w:r>
            <w:r>
              <w:rPr>
                <w:rFonts w:hint="default" w:ascii="Times New Roman" w:hAnsi="Times New Roman" w:eastAsia="宋体" w:cs="Times New Roman"/>
                <w:color w:val="auto"/>
                <w:sz w:val="24"/>
                <w:highlight w:val="none"/>
                <w:lang w:val="en-US" w:eastAsia="zh-CN"/>
              </w:rPr>
              <w:t>μg</w:t>
            </w:r>
            <w:r>
              <w:rPr>
                <w:rFonts w:hint="eastAsia"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vertAlign w:val="baseline"/>
                <w:lang w:val="en-US" w:eastAsia="zh-CN"/>
              </w:rPr>
              <w:t>。</w:t>
            </w:r>
          </w:p>
          <w:p>
            <w:pPr>
              <w:adjustRightInd w:val="0"/>
              <w:snapToGrid w:val="0"/>
              <w:spacing w:line="360" w:lineRule="auto"/>
              <w:ind w:firstLine="480"/>
              <w:rPr>
                <w:color w:val="auto"/>
                <w:sz w:val="24"/>
                <w:highlight w:val="none"/>
              </w:rPr>
            </w:pPr>
            <w:r>
              <w:rPr>
                <w:color w:val="auto"/>
                <w:sz w:val="24"/>
                <w:highlight w:val="none"/>
              </w:rPr>
              <w:t>3）评价方法</w:t>
            </w:r>
          </w:p>
          <w:p>
            <w:pPr>
              <w:adjustRightInd w:val="0"/>
              <w:snapToGrid w:val="0"/>
              <w:spacing w:line="360" w:lineRule="auto"/>
              <w:ind w:firstLine="480"/>
              <w:rPr>
                <w:color w:val="auto"/>
                <w:sz w:val="24"/>
                <w:highlight w:val="none"/>
              </w:rPr>
            </w:pPr>
            <w:r>
              <w:rPr>
                <w:color w:val="auto"/>
                <w:sz w:val="24"/>
                <w:highlight w:val="none"/>
              </w:rPr>
              <w:t>采用单因子指数法进行评价，评价公式如下：</w:t>
            </w:r>
          </w:p>
          <w:p>
            <w:pPr>
              <w:adjustRightInd w:val="0"/>
              <w:snapToGrid w:val="0"/>
              <w:spacing w:line="360" w:lineRule="auto"/>
              <w:ind w:firstLine="480"/>
              <w:jc w:val="center"/>
              <w:rPr>
                <w:color w:val="auto"/>
                <w:sz w:val="24"/>
                <w:highlight w:val="none"/>
              </w:rPr>
            </w:pPr>
            <w:r>
              <w:rPr>
                <w:color w:val="auto"/>
                <w:sz w:val="24"/>
                <w:highlight w:val="none"/>
              </w:rPr>
              <w:t>P</w:t>
            </w:r>
            <w:r>
              <w:rPr>
                <w:color w:val="auto"/>
                <w:sz w:val="24"/>
                <w:highlight w:val="none"/>
                <w:vertAlign w:val="subscript"/>
              </w:rPr>
              <w:t>i</w:t>
            </w:r>
            <w:r>
              <w:rPr>
                <w:color w:val="auto"/>
                <w:sz w:val="24"/>
                <w:highlight w:val="none"/>
              </w:rPr>
              <w:t>=C</w:t>
            </w:r>
            <w:r>
              <w:rPr>
                <w:color w:val="auto"/>
                <w:sz w:val="24"/>
                <w:highlight w:val="none"/>
                <w:vertAlign w:val="subscript"/>
              </w:rPr>
              <w:t>i</w:t>
            </w:r>
            <w:r>
              <w:rPr>
                <w:color w:val="auto"/>
                <w:sz w:val="24"/>
                <w:highlight w:val="none"/>
              </w:rPr>
              <w:t>/S</w:t>
            </w:r>
            <w:r>
              <w:rPr>
                <w:color w:val="auto"/>
                <w:sz w:val="24"/>
                <w:highlight w:val="none"/>
                <w:vertAlign w:val="subscript"/>
              </w:rPr>
              <w:t>i</w:t>
            </w:r>
          </w:p>
          <w:p>
            <w:pPr>
              <w:adjustRightInd w:val="0"/>
              <w:snapToGrid w:val="0"/>
              <w:spacing w:line="360" w:lineRule="auto"/>
              <w:ind w:firstLine="480"/>
              <w:rPr>
                <w:color w:val="auto"/>
                <w:sz w:val="24"/>
                <w:highlight w:val="none"/>
              </w:rPr>
            </w:pPr>
            <w:r>
              <w:rPr>
                <w:color w:val="auto"/>
                <w:sz w:val="24"/>
                <w:highlight w:val="none"/>
              </w:rPr>
              <w:t>式中：P</w:t>
            </w:r>
            <w:r>
              <w:rPr>
                <w:color w:val="auto"/>
                <w:sz w:val="24"/>
                <w:highlight w:val="none"/>
                <w:vertAlign w:val="subscript"/>
              </w:rPr>
              <w:t>i</w:t>
            </w:r>
            <w:r>
              <w:rPr>
                <w:color w:val="auto"/>
                <w:sz w:val="24"/>
                <w:highlight w:val="none"/>
              </w:rPr>
              <w:t>—i种污染物的单项指数；</w:t>
            </w:r>
          </w:p>
          <w:p>
            <w:pPr>
              <w:adjustRightInd w:val="0"/>
              <w:snapToGrid w:val="0"/>
              <w:spacing w:line="360" w:lineRule="auto"/>
              <w:ind w:firstLine="1200" w:firstLineChars="500"/>
              <w:rPr>
                <w:color w:val="auto"/>
                <w:sz w:val="24"/>
                <w:highlight w:val="none"/>
              </w:rPr>
            </w:pPr>
            <w:r>
              <w:rPr>
                <w:color w:val="auto"/>
                <w:sz w:val="24"/>
                <w:highlight w:val="none"/>
              </w:rPr>
              <w:t>C</w:t>
            </w:r>
            <w:r>
              <w:rPr>
                <w:color w:val="auto"/>
                <w:sz w:val="24"/>
                <w:highlight w:val="none"/>
                <w:vertAlign w:val="subscript"/>
              </w:rPr>
              <w:t>i</w:t>
            </w:r>
            <w:r>
              <w:rPr>
                <w:color w:val="auto"/>
                <w:sz w:val="24"/>
                <w:highlight w:val="none"/>
              </w:rPr>
              <w:t>—i种污染物的实测浓度(mg/Nm</w:t>
            </w:r>
            <w:r>
              <w:rPr>
                <w:color w:val="auto"/>
                <w:sz w:val="24"/>
                <w:highlight w:val="none"/>
                <w:vertAlign w:val="superscript"/>
              </w:rPr>
              <w:t>3</w:t>
            </w:r>
            <w:r>
              <w:rPr>
                <w:color w:val="auto"/>
                <w:sz w:val="24"/>
                <w:highlight w:val="none"/>
              </w:rPr>
              <w:t>)；</w:t>
            </w:r>
          </w:p>
          <w:p>
            <w:pPr>
              <w:adjustRightInd w:val="0"/>
              <w:snapToGrid w:val="0"/>
              <w:spacing w:line="360" w:lineRule="auto"/>
              <w:ind w:firstLine="1200" w:firstLineChars="500"/>
              <w:rPr>
                <w:color w:val="auto"/>
                <w:sz w:val="24"/>
                <w:highlight w:val="none"/>
              </w:rPr>
            </w:pPr>
            <w:r>
              <w:rPr>
                <w:color w:val="auto"/>
                <w:sz w:val="24"/>
                <w:highlight w:val="none"/>
              </w:rPr>
              <w:t>S</w:t>
            </w:r>
            <w:r>
              <w:rPr>
                <w:color w:val="auto"/>
                <w:sz w:val="24"/>
                <w:highlight w:val="none"/>
                <w:vertAlign w:val="subscript"/>
              </w:rPr>
              <w:t>i</w:t>
            </w:r>
            <w:r>
              <w:rPr>
                <w:color w:val="auto"/>
                <w:sz w:val="24"/>
                <w:highlight w:val="none"/>
              </w:rPr>
              <w:t>—i种污染物的评价标准(mg/Nm</w:t>
            </w:r>
            <w:r>
              <w:rPr>
                <w:color w:val="auto"/>
                <w:sz w:val="24"/>
                <w:highlight w:val="none"/>
                <w:vertAlign w:val="superscript"/>
              </w:rPr>
              <w:t>3</w:t>
            </w:r>
            <w:r>
              <w:rPr>
                <w:color w:val="auto"/>
                <w:sz w:val="24"/>
                <w:highlight w:val="none"/>
              </w:rPr>
              <w:t>)；</w:t>
            </w:r>
          </w:p>
          <w:p>
            <w:pPr>
              <w:adjustRightInd w:val="0"/>
              <w:snapToGrid w:val="0"/>
              <w:spacing w:line="360" w:lineRule="auto"/>
              <w:ind w:firstLine="480"/>
              <w:rPr>
                <w:color w:val="auto"/>
                <w:sz w:val="24"/>
                <w:highlight w:val="none"/>
              </w:rPr>
            </w:pPr>
            <w:r>
              <w:rPr>
                <w:color w:val="auto"/>
                <w:sz w:val="24"/>
                <w:highlight w:val="none"/>
              </w:rPr>
              <w:t>当Pi≥1.0时，表明大气环境已受到该项评价因子所表征的污染物的污染，Pi值越大，受污染程度越重，反之则污染程度越小。</w:t>
            </w:r>
          </w:p>
          <w:p>
            <w:pPr>
              <w:adjustRightInd w:val="0"/>
              <w:snapToGrid w:val="0"/>
              <w:spacing w:line="360" w:lineRule="auto"/>
              <w:ind w:firstLine="480"/>
              <w:rPr>
                <w:color w:val="auto"/>
                <w:sz w:val="24"/>
                <w:highlight w:val="none"/>
              </w:rPr>
            </w:pPr>
            <w:r>
              <w:rPr>
                <w:color w:val="auto"/>
                <w:sz w:val="24"/>
                <w:highlight w:val="none"/>
              </w:rPr>
              <w:t>4）评价结果：评价结果见表3-</w:t>
            </w:r>
            <w:r>
              <w:rPr>
                <w:rFonts w:hint="eastAsia"/>
                <w:color w:val="auto"/>
                <w:sz w:val="24"/>
                <w:highlight w:val="none"/>
                <w:lang w:val="en-US" w:eastAsia="zh-CN"/>
              </w:rPr>
              <w:t>2</w:t>
            </w:r>
            <w:r>
              <w:rPr>
                <w:color w:val="auto"/>
                <w:sz w:val="24"/>
                <w:highlight w:val="none"/>
              </w:rPr>
              <w:t>。</w:t>
            </w:r>
          </w:p>
          <w:p>
            <w:pPr>
              <w:pStyle w:val="41"/>
              <w:bidi w:val="0"/>
              <w:rPr>
                <w:color w:val="auto"/>
                <w:highlight w:val="none"/>
              </w:rPr>
            </w:pPr>
            <w:r>
              <w:rPr>
                <w:color w:val="auto"/>
                <w:highlight w:val="none"/>
              </w:rPr>
              <w:t>表3-</w:t>
            </w:r>
            <w:r>
              <w:rPr>
                <w:rFonts w:hint="eastAsia"/>
                <w:color w:val="auto"/>
                <w:highlight w:val="none"/>
                <w:lang w:val="en-US" w:eastAsia="zh-CN"/>
              </w:rPr>
              <w:t>2</w:t>
            </w:r>
            <w:r>
              <w:rPr>
                <w:rFonts w:hint="eastAsia"/>
                <w:color w:val="auto"/>
                <w:highlight w:val="none"/>
              </w:rPr>
              <w:t xml:space="preserve"> </w:t>
            </w:r>
            <w:r>
              <w:rPr>
                <w:color w:val="auto"/>
                <w:highlight w:val="none"/>
              </w:rPr>
              <w:t xml:space="preserve"> 环境空气质量评价结果</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3125"/>
              <w:gridCol w:w="2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361" w:type="pct"/>
                  <w:noWrap w:val="0"/>
                  <w:vAlign w:val="center"/>
                </w:tcPr>
                <w:p>
                  <w:pPr>
                    <w:widowControl/>
                    <w:adjustRightInd w:val="0"/>
                    <w:snapToGrid w:val="0"/>
                    <w:jc w:val="center"/>
                    <w:rPr>
                      <w:b/>
                      <w:color w:val="auto"/>
                      <w:szCs w:val="21"/>
                      <w:highlight w:val="none"/>
                    </w:rPr>
                  </w:pPr>
                  <w:r>
                    <w:rPr>
                      <w:b/>
                      <w:color w:val="auto"/>
                      <w:szCs w:val="21"/>
                      <w:highlight w:val="none"/>
                    </w:rPr>
                    <w:t>监测点位</w:t>
                  </w:r>
                </w:p>
              </w:tc>
              <w:tc>
                <w:tcPr>
                  <w:tcW w:w="1895" w:type="pct"/>
                  <w:noWrap w:val="0"/>
                  <w:vAlign w:val="center"/>
                </w:tcPr>
                <w:p>
                  <w:pPr>
                    <w:widowControl/>
                    <w:adjustRightInd w:val="0"/>
                    <w:snapToGrid w:val="0"/>
                    <w:jc w:val="center"/>
                    <w:rPr>
                      <w:b/>
                      <w:color w:val="auto"/>
                      <w:szCs w:val="21"/>
                      <w:highlight w:val="none"/>
                    </w:rPr>
                  </w:pPr>
                  <w:r>
                    <w:rPr>
                      <w:b/>
                      <w:color w:val="auto"/>
                      <w:szCs w:val="21"/>
                      <w:highlight w:val="none"/>
                    </w:rPr>
                    <w:t>评价项目</w:t>
                  </w:r>
                </w:p>
              </w:tc>
              <w:tc>
                <w:tcPr>
                  <w:tcW w:w="1743" w:type="pct"/>
                  <w:noWrap w:val="0"/>
                  <w:vAlign w:val="center"/>
                </w:tcPr>
                <w:p>
                  <w:pPr>
                    <w:widowControl/>
                    <w:adjustRightInd w:val="0"/>
                    <w:snapToGrid w:val="0"/>
                    <w:jc w:val="center"/>
                    <w:rPr>
                      <w:rFonts w:hint="default" w:eastAsia="宋体"/>
                      <w:b/>
                      <w:color w:val="auto"/>
                      <w:szCs w:val="21"/>
                      <w:highlight w:val="none"/>
                      <w:lang w:val="en-US" w:eastAsia="zh-CN"/>
                    </w:rPr>
                  </w:pPr>
                  <w:r>
                    <w:rPr>
                      <w:rFonts w:hint="eastAsia"/>
                      <w:b/>
                      <w:color w:val="auto"/>
                      <w:szCs w:val="21"/>
                      <w:highlight w:val="none"/>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361" w:type="pct"/>
                  <w:vMerge w:val="restart"/>
                  <w:noWrap w:val="0"/>
                  <w:vAlign w:val="center"/>
                </w:tcPr>
                <w:p>
                  <w:pPr>
                    <w:widowControl/>
                    <w:adjustRightInd w:val="0"/>
                    <w:snapToGrid w:val="0"/>
                    <w:jc w:val="center"/>
                    <w:rPr>
                      <w:bCs/>
                      <w:color w:val="auto"/>
                      <w:szCs w:val="21"/>
                      <w:highlight w:val="none"/>
                    </w:rPr>
                  </w:pPr>
                  <w:r>
                    <w:rPr>
                      <w:rFonts w:hint="default" w:ascii="Times New Roman" w:hAnsi="Times New Roman" w:eastAsia="宋体" w:cs="Times New Roman"/>
                      <w:color w:val="auto"/>
                      <w:szCs w:val="21"/>
                      <w:highlight w:val="none"/>
                      <w:lang w:val="en-US" w:eastAsia="zh-CN"/>
                    </w:rPr>
                    <w:t>1#项目拟建地中心</w:t>
                  </w:r>
                </w:p>
              </w:tc>
              <w:tc>
                <w:tcPr>
                  <w:tcW w:w="1895" w:type="pct"/>
                  <w:noWrap w:val="0"/>
                  <w:vAlign w:val="center"/>
                </w:tcPr>
                <w:p>
                  <w:pPr>
                    <w:widowControl/>
                    <w:adjustRightInd w:val="0"/>
                    <w:snapToGrid w:val="0"/>
                    <w:jc w:val="center"/>
                    <w:rPr>
                      <w:rFonts w:hint="eastAsia"/>
                      <w:bCs/>
                      <w:color w:val="auto"/>
                      <w:szCs w:val="21"/>
                      <w:highlight w:val="none"/>
                    </w:rPr>
                  </w:pPr>
                  <w:r>
                    <w:rPr>
                      <w:bCs/>
                      <w:color w:val="auto"/>
                      <w:szCs w:val="21"/>
                      <w:highlight w:val="none"/>
                    </w:rPr>
                    <w:t>浓度范围</w:t>
                  </w:r>
                  <w:r>
                    <w:rPr>
                      <w:rFonts w:hint="eastAsia"/>
                      <w:bCs/>
                      <w:color w:val="auto"/>
                      <w:szCs w:val="21"/>
                      <w:highlight w:val="none"/>
                    </w:rPr>
                    <w:t>（</w:t>
                  </w:r>
                  <w:r>
                    <w:rPr>
                      <w:color w:val="auto"/>
                      <w:kern w:val="0"/>
                      <w:szCs w:val="21"/>
                      <w:highlight w:val="none"/>
                    </w:rPr>
                    <w:t>mg/m</w:t>
                  </w:r>
                  <w:r>
                    <w:rPr>
                      <w:color w:val="auto"/>
                      <w:kern w:val="0"/>
                      <w:szCs w:val="21"/>
                      <w:highlight w:val="none"/>
                      <w:vertAlign w:val="superscript"/>
                    </w:rPr>
                    <w:t>3</w:t>
                  </w:r>
                  <w:r>
                    <w:rPr>
                      <w:rFonts w:hint="eastAsia"/>
                      <w:bCs/>
                      <w:color w:val="auto"/>
                      <w:szCs w:val="21"/>
                      <w:highlight w:val="none"/>
                    </w:rPr>
                    <w:t>）</w:t>
                  </w:r>
                </w:p>
              </w:tc>
              <w:tc>
                <w:tcPr>
                  <w:tcW w:w="1743" w:type="pct"/>
                  <w:noWrap w:val="0"/>
                  <w:vAlign w:val="center"/>
                </w:tcPr>
                <w:p>
                  <w:pPr>
                    <w:widowControl/>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0.073~0.092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361" w:type="pct"/>
                  <w:vMerge w:val="continue"/>
                  <w:noWrap w:val="0"/>
                  <w:vAlign w:val="center"/>
                </w:tcPr>
                <w:p>
                  <w:pPr>
                    <w:adjustRightInd w:val="0"/>
                    <w:snapToGrid w:val="0"/>
                    <w:ind w:firstLine="420"/>
                    <w:jc w:val="center"/>
                    <w:rPr>
                      <w:bCs/>
                      <w:color w:val="auto"/>
                      <w:highlight w:val="none"/>
                    </w:rPr>
                  </w:pPr>
                </w:p>
              </w:tc>
              <w:tc>
                <w:tcPr>
                  <w:tcW w:w="1895" w:type="pct"/>
                  <w:noWrap w:val="0"/>
                  <w:vAlign w:val="center"/>
                </w:tcPr>
                <w:p>
                  <w:pPr>
                    <w:widowControl/>
                    <w:adjustRightInd w:val="0"/>
                    <w:snapToGrid w:val="0"/>
                    <w:jc w:val="center"/>
                    <w:rPr>
                      <w:bCs/>
                      <w:color w:val="auto"/>
                      <w:szCs w:val="21"/>
                      <w:highlight w:val="none"/>
                    </w:rPr>
                  </w:pPr>
                  <w:r>
                    <w:rPr>
                      <w:bCs/>
                      <w:color w:val="auto"/>
                      <w:szCs w:val="21"/>
                      <w:highlight w:val="none"/>
                    </w:rPr>
                    <w:t>单项标准指数</w:t>
                  </w:r>
                </w:p>
              </w:tc>
              <w:tc>
                <w:tcPr>
                  <w:tcW w:w="1743" w:type="pct"/>
                  <w:noWrap w:val="0"/>
                  <w:vAlign w:val="center"/>
                </w:tcPr>
                <w:p>
                  <w:pPr>
                    <w:widowControl/>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0.243~0.307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361" w:type="pct"/>
                  <w:vMerge w:val="continue"/>
                  <w:noWrap w:val="0"/>
                  <w:vAlign w:val="center"/>
                </w:tcPr>
                <w:p>
                  <w:pPr>
                    <w:adjustRightInd w:val="0"/>
                    <w:snapToGrid w:val="0"/>
                    <w:ind w:firstLine="420"/>
                    <w:jc w:val="center"/>
                    <w:rPr>
                      <w:bCs/>
                      <w:color w:val="auto"/>
                      <w:highlight w:val="none"/>
                    </w:rPr>
                  </w:pPr>
                </w:p>
              </w:tc>
              <w:tc>
                <w:tcPr>
                  <w:tcW w:w="1895" w:type="pct"/>
                  <w:noWrap w:val="0"/>
                  <w:vAlign w:val="center"/>
                </w:tcPr>
                <w:p>
                  <w:pPr>
                    <w:widowControl/>
                    <w:adjustRightInd w:val="0"/>
                    <w:snapToGrid w:val="0"/>
                    <w:jc w:val="center"/>
                    <w:rPr>
                      <w:bCs/>
                      <w:color w:val="auto"/>
                      <w:szCs w:val="21"/>
                      <w:highlight w:val="none"/>
                    </w:rPr>
                  </w:pPr>
                  <w:r>
                    <w:rPr>
                      <w:bCs/>
                      <w:color w:val="auto"/>
                      <w:szCs w:val="21"/>
                      <w:highlight w:val="none"/>
                    </w:rPr>
                    <w:t>评价标准</w:t>
                  </w:r>
                  <w:r>
                    <w:rPr>
                      <w:rFonts w:hint="eastAsia"/>
                      <w:bCs/>
                      <w:color w:val="auto"/>
                      <w:szCs w:val="21"/>
                      <w:highlight w:val="none"/>
                    </w:rPr>
                    <w:t>（</w:t>
                  </w:r>
                  <w:r>
                    <w:rPr>
                      <w:color w:val="auto"/>
                      <w:kern w:val="0"/>
                      <w:szCs w:val="21"/>
                      <w:highlight w:val="none"/>
                    </w:rPr>
                    <w:t>mg/m</w:t>
                  </w:r>
                  <w:r>
                    <w:rPr>
                      <w:color w:val="auto"/>
                      <w:kern w:val="0"/>
                      <w:szCs w:val="21"/>
                      <w:highlight w:val="none"/>
                      <w:vertAlign w:val="superscript"/>
                    </w:rPr>
                    <w:t>3</w:t>
                  </w:r>
                  <w:r>
                    <w:rPr>
                      <w:rFonts w:hint="eastAsia"/>
                      <w:bCs/>
                      <w:color w:val="auto"/>
                      <w:szCs w:val="21"/>
                      <w:highlight w:val="none"/>
                    </w:rPr>
                    <w:t>）</w:t>
                  </w:r>
                </w:p>
              </w:tc>
              <w:tc>
                <w:tcPr>
                  <w:tcW w:w="1743" w:type="pct"/>
                  <w:noWrap w:val="0"/>
                  <w:vAlign w:val="center"/>
                </w:tcPr>
                <w:p>
                  <w:pPr>
                    <w:widowControl/>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361" w:type="pct"/>
                  <w:vMerge w:val="continue"/>
                  <w:noWrap w:val="0"/>
                  <w:vAlign w:val="center"/>
                </w:tcPr>
                <w:p>
                  <w:pPr>
                    <w:adjustRightInd w:val="0"/>
                    <w:snapToGrid w:val="0"/>
                    <w:ind w:firstLine="420"/>
                    <w:jc w:val="center"/>
                    <w:rPr>
                      <w:bCs/>
                      <w:color w:val="auto"/>
                      <w:highlight w:val="none"/>
                    </w:rPr>
                  </w:pPr>
                </w:p>
              </w:tc>
              <w:tc>
                <w:tcPr>
                  <w:tcW w:w="1895" w:type="pct"/>
                  <w:noWrap w:val="0"/>
                  <w:vAlign w:val="center"/>
                </w:tcPr>
                <w:p>
                  <w:pPr>
                    <w:widowControl/>
                    <w:adjustRightInd w:val="0"/>
                    <w:snapToGrid w:val="0"/>
                    <w:jc w:val="center"/>
                    <w:rPr>
                      <w:bCs/>
                      <w:color w:val="auto"/>
                      <w:szCs w:val="21"/>
                      <w:highlight w:val="none"/>
                    </w:rPr>
                  </w:pPr>
                  <w:r>
                    <w:rPr>
                      <w:bCs/>
                      <w:color w:val="auto"/>
                      <w:szCs w:val="21"/>
                      <w:highlight w:val="none"/>
                    </w:rPr>
                    <w:t>超标率</w:t>
                  </w:r>
                </w:p>
              </w:tc>
              <w:tc>
                <w:tcPr>
                  <w:tcW w:w="1743" w:type="pct"/>
                  <w:noWrap w:val="0"/>
                  <w:vAlign w:val="center"/>
                </w:tcPr>
                <w:p>
                  <w:pPr>
                    <w:widowControl/>
                    <w:adjustRightInd w:val="0"/>
                    <w:snapToGrid w:val="0"/>
                    <w:jc w:val="center"/>
                    <w:rPr>
                      <w:bCs/>
                      <w:color w:val="auto"/>
                      <w:szCs w:val="21"/>
                      <w:highlight w:val="none"/>
                    </w:rPr>
                  </w:pPr>
                  <w:r>
                    <w:rPr>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361" w:type="pct"/>
                  <w:vMerge w:val="continue"/>
                  <w:noWrap w:val="0"/>
                  <w:vAlign w:val="center"/>
                </w:tcPr>
                <w:p>
                  <w:pPr>
                    <w:adjustRightInd w:val="0"/>
                    <w:snapToGrid w:val="0"/>
                    <w:ind w:firstLine="420"/>
                    <w:jc w:val="center"/>
                    <w:rPr>
                      <w:bCs/>
                      <w:color w:val="auto"/>
                      <w:highlight w:val="none"/>
                    </w:rPr>
                  </w:pPr>
                </w:p>
              </w:tc>
              <w:tc>
                <w:tcPr>
                  <w:tcW w:w="1895" w:type="pct"/>
                  <w:noWrap w:val="0"/>
                  <w:vAlign w:val="center"/>
                </w:tcPr>
                <w:p>
                  <w:pPr>
                    <w:widowControl/>
                    <w:adjustRightInd w:val="0"/>
                    <w:snapToGrid w:val="0"/>
                    <w:jc w:val="center"/>
                    <w:rPr>
                      <w:bCs/>
                      <w:color w:val="auto"/>
                      <w:szCs w:val="21"/>
                      <w:highlight w:val="none"/>
                    </w:rPr>
                  </w:pPr>
                  <w:r>
                    <w:rPr>
                      <w:bCs/>
                      <w:color w:val="auto"/>
                      <w:szCs w:val="21"/>
                      <w:highlight w:val="none"/>
                    </w:rPr>
                    <w:t>最大超标倍数</w:t>
                  </w:r>
                </w:p>
              </w:tc>
              <w:tc>
                <w:tcPr>
                  <w:tcW w:w="1743" w:type="pct"/>
                  <w:noWrap w:val="0"/>
                  <w:vAlign w:val="center"/>
                </w:tcPr>
                <w:p>
                  <w:pPr>
                    <w:widowControl/>
                    <w:adjustRightInd w:val="0"/>
                    <w:snapToGrid w:val="0"/>
                    <w:jc w:val="center"/>
                    <w:rPr>
                      <w:bCs/>
                      <w:color w:val="auto"/>
                      <w:szCs w:val="21"/>
                      <w:highlight w:val="none"/>
                    </w:rPr>
                  </w:pPr>
                  <w:r>
                    <w:rPr>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361" w:type="pct"/>
                  <w:vMerge w:val="continue"/>
                  <w:noWrap w:val="0"/>
                  <w:vAlign w:val="center"/>
                </w:tcPr>
                <w:p>
                  <w:pPr>
                    <w:adjustRightInd w:val="0"/>
                    <w:snapToGrid w:val="0"/>
                    <w:ind w:firstLine="420"/>
                    <w:jc w:val="center"/>
                    <w:rPr>
                      <w:bCs/>
                      <w:color w:val="auto"/>
                      <w:highlight w:val="none"/>
                    </w:rPr>
                  </w:pPr>
                </w:p>
              </w:tc>
              <w:tc>
                <w:tcPr>
                  <w:tcW w:w="1895" w:type="pct"/>
                  <w:noWrap w:val="0"/>
                  <w:vAlign w:val="center"/>
                </w:tcPr>
                <w:p>
                  <w:pPr>
                    <w:widowControl/>
                    <w:adjustRightInd w:val="0"/>
                    <w:snapToGrid w:val="0"/>
                    <w:jc w:val="center"/>
                    <w:rPr>
                      <w:bCs/>
                      <w:color w:val="auto"/>
                      <w:szCs w:val="21"/>
                      <w:highlight w:val="none"/>
                    </w:rPr>
                  </w:pPr>
                  <w:r>
                    <w:rPr>
                      <w:bCs/>
                      <w:color w:val="auto"/>
                      <w:szCs w:val="21"/>
                      <w:highlight w:val="none"/>
                    </w:rPr>
                    <w:t>达标情况</w:t>
                  </w:r>
                </w:p>
              </w:tc>
              <w:tc>
                <w:tcPr>
                  <w:tcW w:w="1743" w:type="pct"/>
                  <w:noWrap w:val="0"/>
                  <w:vAlign w:val="center"/>
                </w:tcPr>
                <w:p>
                  <w:pPr>
                    <w:widowControl/>
                    <w:adjustRightInd w:val="0"/>
                    <w:snapToGrid w:val="0"/>
                    <w:jc w:val="center"/>
                    <w:rPr>
                      <w:bCs/>
                      <w:color w:val="auto"/>
                      <w:szCs w:val="21"/>
                      <w:highlight w:val="none"/>
                    </w:rPr>
                  </w:pPr>
                  <w:r>
                    <w:rPr>
                      <w:bCs/>
                      <w:color w:val="auto"/>
                      <w:szCs w:val="21"/>
                      <w:highlight w:val="none"/>
                    </w:rPr>
                    <w:t>达标</w:t>
                  </w:r>
                </w:p>
              </w:tc>
            </w:tr>
          </w:tbl>
          <w:p>
            <w:pPr>
              <w:spacing w:line="360" w:lineRule="auto"/>
              <w:ind w:firstLine="480" w:firstLineChars="200"/>
              <w:jc w:val="left"/>
              <w:outlineLvl w:val="1"/>
              <w:rPr>
                <w:rFonts w:hint="eastAsia"/>
                <w:b/>
                <w:color w:val="auto"/>
                <w:sz w:val="24"/>
                <w:highlight w:val="none"/>
              </w:rPr>
            </w:pPr>
            <w:r>
              <w:rPr>
                <w:color w:val="auto"/>
                <w:kern w:val="0"/>
                <w:sz w:val="24"/>
                <w:highlight w:val="none"/>
              </w:rPr>
              <w:t>由上表可知，</w:t>
            </w:r>
            <w:r>
              <w:rPr>
                <w:rFonts w:hint="eastAsia"/>
                <w:color w:val="auto"/>
                <w:kern w:val="0"/>
                <w:sz w:val="24"/>
                <w:highlight w:val="none"/>
                <w:lang w:val="en-US" w:eastAsia="zh-CN"/>
              </w:rPr>
              <w:t>TSP</w:t>
            </w:r>
            <w:r>
              <w:rPr>
                <w:color w:val="auto"/>
                <w:kern w:val="0"/>
                <w:sz w:val="24"/>
                <w:highlight w:val="none"/>
              </w:rPr>
              <w:t>监测浓度能满足</w:t>
            </w:r>
            <w:r>
              <w:rPr>
                <w:rFonts w:hint="eastAsia"/>
                <w:color w:val="auto"/>
                <w:kern w:val="0"/>
                <w:sz w:val="24"/>
                <w:highlight w:val="none"/>
                <w:lang w:eastAsia="zh-CN"/>
              </w:rPr>
              <w:t>《</w:t>
            </w:r>
            <w:r>
              <w:rPr>
                <w:rFonts w:hint="eastAsia"/>
                <w:color w:val="auto"/>
                <w:kern w:val="0"/>
                <w:sz w:val="24"/>
                <w:highlight w:val="none"/>
                <w:lang w:val="en-US" w:eastAsia="zh-CN"/>
              </w:rPr>
              <w:t>环境空气质量标准</w:t>
            </w:r>
            <w:r>
              <w:rPr>
                <w:rFonts w:hint="eastAsia"/>
                <w:color w:val="auto"/>
                <w:kern w:val="0"/>
                <w:sz w:val="24"/>
                <w:highlight w:val="none"/>
                <w:lang w:eastAsia="zh-CN"/>
              </w:rPr>
              <w:t>》（</w:t>
            </w:r>
            <w:r>
              <w:rPr>
                <w:rFonts w:hint="eastAsia"/>
                <w:color w:val="auto"/>
                <w:kern w:val="0"/>
                <w:sz w:val="24"/>
                <w:highlight w:val="none"/>
                <w:lang w:val="en-US" w:eastAsia="zh-CN"/>
              </w:rPr>
              <w:t>GB3095-2012</w:t>
            </w:r>
            <w:r>
              <w:rPr>
                <w:rFonts w:hint="eastAsia"/>
                <w:color w:val="auto"/>
                <w:kern w:val="0"/>
                <w:sz w:val="24"/>
                <w:highlight w:val="none"/>
                <w:lang w:eastAsia="zh-CN"/>
              </w:rPr>
              <w:t>）</w:t>
            </w:r>
            <w:r>
              <w:rPr>
                <w:rFonts w:hint="eastAsia"/>
                <w:color w:val="auto"/>
                <w:kern w:val="0"/>
                <w:sz w:val="24"/>
                <w:highlight w:val="none"/>
                <w:lang w:val="en-US" w:eastAsia="zh-CN"/>
              </w:rPr>
              <w:t>中二级浓度限值</w:t>
            </w:r>
            <w:r>
              <w:rPr>
                <w:color w:val="auto"/>
                <w:kern w:val="0"/>
                <w:sz w:val="24"/>
                <w:highlight w:val="none"/>
              </w:rPr>
              <w:t>，说明项目所在区域环境空气质量较好。</w:t>
            </w:r>
          </w:p>
          <w:p>
            <w:pPr>
              <w:adjustRightInd w:val="0"/>
              <w:snapToGrid w:val="0"/>
              <w:spacing w:line="360" w:lineRule="auto"/>
              <w:jc w:val="left"/>
              <w:rPr>
                <w:b/>
                <w:color w:val="auto"/>
                <w:sz w:val="24"/>
                <w:highlight w:val="none"/>
              </w:rPr>
            </w:pPr>
            <w:r>
              <w:rPr>
                <w:b/>
                <w:color w:val="auto"/>
                <w:sz w:val="24"/>
                <w:highlight w:val="none"/>
              </w:rPr>
              <w:t>2、地表水环境质量现状</w:t>
            </w:r>
          </w:p>
          <w:p>
            <w:pPr>
              <w:widowControl/>
              <w:snapToGrid w:val="0"/>
              <w:spacing w:line="360" w:lineRule="auto"/>
              <w:ind w:firstLine="480" w:firstLineChars="200"/>
              <w:rPr>
                <w:rFonts w:hint="eastAsia"/>
                <w:color w:val="auto"/>
                <w:kern w:val="0"/>
                <w:sz w:val="24"/>
                <w:highlight w:val="none"/>
                <w:lang w:eastAsia="zh-CN"/>
              </w:rPr>
            </w:pPr>
            <w:r>
              <w:rPr>
                <w:rFonts w:hint="eastAsia" w:ascii="宋体" w:hAnsi="宋体"/>
                <w:color w:val="auto"/>
                <w:kern w:val="0"/>
                <w:sz w:val="24"/>
                <w:highlight w:val="none"/>
              </w:rPr>
              <w:t>为了解区域地表水环境质量状况，</w:t>
            </w:r>
            <w:r>
              <w:rPr>
                <w:rFonts w:hint="eastAsia" w:ascii="Times New Roman" w:hAnsi="Times New Roman" w:eastAsia="宋体" w:cs="Times New Roman"/>
                <w:color w:val="auto"/>
                <w:kern w:val="0"/>
                <w:sz w:val="24"/>
                <w:szCs w:val="24"/>
                <w:highlight w:val="none"/>
                <w:lang w:val="en-US" w:eastAsia="zh-CN"/>
              </w:rPr>
              <w:t>根据</w:t>
            </w:r>
            <w:r>
              <w:rPr>
                <w:rFonts w:hint="eastAsia"/>
                <w:color w:val="auto"/>
                <w:kern w:val="0"/>
                <w:sz w:val="24"/>
                <w:highlight w:val="none"/>
              </w:rPr>
              <w:t>巴中市生态环境局于202</w:t>
            </w:r>
            <w:r>
              <w:rPr>
                <w:rFonts w:hint="eastAsia"/>
                <w:color w:val="auto"/>
                <w:kern w:val="0"/>
                <w:sz w:val="24"/>
                <w:highlight w:val="none"/>
                <w:lang w:val="en-US" w:eastAsia="zh-CN"/>
              </w:rPr>
              <w:t>2</w:t>
            </w:r>
            <w:r>
              <w:rPr>
                <w:rFonts w:hint="eastAsia"/>
                <w:color w:val="auto"/>
                <w:kern w:val="0"/>
                <w:sz w:val="24"/>
                <w:highlight w:val="none"/>
              </w:rPr>
              <w:t>年6月</w:t>
            </w:r>
            <w:r>
              <w:rPr>
                <w:rFonts w:hint="eastAsia"/>
                <w:color w:val="auto"/>
                <w:kern w:val="0"/>
                <w:sz w:val="24"/>
                <w:highlight w:val="none"/>
                <w:lang w:val="en-US" w:eastAsia="zh-CN"/>
              </w:rPr>
              <w:t>5</w:t>
            </w:r>
            <w:r>
              <w:rPr>
                <w:rFonts w:hint="eastAsia"/>
                <w:color w:val="auto"/>
                <w:kern w:val="0"/>
                <w:sz w:val="24"/>
                <w:highlight w:val="none"/>
              </w:rPr>
              <w:t>日发布的《202</w:t>
            </w:r>
            <w:r>
              <w:rPr>
                <w:rFonts w:hint="eastAsia"/>
                <w:color w:val="auto"/>
                <w:kern w:val="0"/>
                <w:sz w:val="24"/>
                <w:highlight w:val="none"/>
                <w:lang w:val="en-US" w:eastAsia="zh-CN"/>
              </w:rPr>
              <w:t>1</w:t>
            </w:r>
            <w:r>
              <w:rPr>
                <w:rFonts w:hint="eastAsia"/>
                <w:color w:val="auto"/>
                <w:kern w:val="0"/>
                <w:sz w:val="24"/>
                <w:highlight w:val="none"/>
              </w:rPr>
              <w:t>年巴中市生态环境质量状况公报》</w:t>
            </w:r>
            <w:r>
              <w:rPr>
                <w:rFonts w:hint="eastAsia"/>
                <w:color w:val="auto"/>
                <w:kern w:val="0"/>
                <w:sz w:val="24"/>
                <w:highlight w:val="none"/>
                <w:lang w:eastAsia="zh-CN"/>
              </w:rPr>
              <w:t>（</w:t>
            </w:r>
            <w:r>
              <w:rPr>
                <w:rFonts w:hint="eastAsia"/>
                <w:color w:val="auto"/>
                <w:kern w:val="0"/>
                <w:sz w:val="24"/>
                <w:highlight w:val="none"/>
              </w:rPr>
              <w:t>http://sthjj.cnbz.gov.cn/group4/M00/05/DB/rBUtI2KcK7CAIztDAKDdIH_-WUk800.pdf）</w:t>
            </w:r>
            <w:r>
              <w:rPr>
                <w:rFonts w:hint="eastAsia"/>
                <w:color w:val="auto"/>
                <w:kern w:val="0"/>
                <w:sz w:val="24"/>
                <w:highlight w:val="none"/>
                <w:lang w:eastAsia="zh-CN"/>
              </w:rPr>
              <w:t>。</w:t>
            </w:r>
          </w:p>
          <w:p>
            <w:pPr>
              <w:widowControl/>
              <w:snapToGrid w:val="0"/>
              <w:spacing w:line="360" w:lineRule="auto"/>
              <w:ind w:firstLine="480" w:firstLineChars="200"/>
              <w:rPr>
                <w:rFonts w:hint="eastAsia" w:eastAsia="宋体"/>
                <w:color w:val="auto"/>
                <w:kern w:val="0"/>
                <w:sz w:val="24"/>
                <w:highlight w:val="none"/>
                <w:lang w:eastAsia="zh-CN"/>
              </w:rPr>
            </w:pPr>
            <w:r>
              <w:rPr>
                <w:rFonts w:hint="eastAsia" w:ascii="Times New Roman" w:hAnsi="Times New Roman" w:eastAsia="宋体" w:cs="Times New Roman"/>
                <w:color w:val="auto"/>
                <w:kern w:val="0"/>
                <w:sz w:val="24"/>
                <w:highlight w:val="none"/>
              </w:rPr>
              <w:t>根据《202</w:t>
            </w:r>
            <w:r>
              <w:rPr>
                <w:rFonts w:hint="eastAsia"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rPr>
              <w:t>年巴中市生态环境质量状况公报》</w:t>
            </w:r>
            <w:r>
              <w:rPr>
                <w:rFonts w:hint="eastAsia" w:ascii="Times New Roman" w:hAnsi="Times New Roman" w:eastAsia="宋体" w:cs="Times New Roman"/>
                <w:color w:val="auto"/>
                <w:kern w:val="0"/>
                <w:sz w:val="24"/>
                <w:highlight w:val="none"/>
                <w:lang w:eastAsia="zh-CN"/>
              </w:rPr>
              <w:t>：</w:t>
            </w:r>
            <w:r>
              <w:rPr>
                <w:rFonts w:hint="eastAsia"/>
                <w:color w:val="auto"/>
                <w:kern w:val="0"/>
                <w:sz w:val="24"/>
                <w:highlight w:val="none"/>
                <w:lang w:eastAsia="zh-CN"/>
              </w:rPr>
              <w:t>2021年，巴河总体水质为优，国省控断面</w:t>
            </w:r>
            <w:r>
              <w:rPr>
                <w:rFonts w:hint="default" w:ascii="Times New Roman" w:hAnsi="Times New Roman" w:cs="Times New Roman"/>
                <w:color w:val="auto"/>
                <w:kern w:val="0"/>
                <w:sz w:val="24"/>
                <w:highlight w:val="none"/>
                <w:lang w:eastAsia="zh-CN"/>
              </w:rPr>
              <w:t>Ⅰ-Ⅲ</w:t>
            </w:r>
            <w:r>
              <w:rPr>
                <w:rFonts w:hint="eastAsia"/>
                <w:color w:val="auto"/>
                <w:kern w:val="0"/>
                <w:sz w:val="24"/>
                <w:highlight w:val="none"/>
                <w:lang w:eastAsia="zh-CN"/>
              </w:rPr>
              <w:t>类水质占比100%。与上年相比，巴河总体水质不变，保持为优，</w:t>
            </w:r>
            <w:r>
              <w:rPr>
                <w:rFonts w:hint="default" w:ascii="Times New Roman" w:hAnsi="Times New Roman" w:cs="Times New Roman"/>
                <w:color w:val="auto"/>
                <w:kern w:val="0"/>
                <w:sz w:val="24"/>
                <w:highlight w:val="none"/>
                <w:lang w:eastAsia="zh-CN"/>
              </w:rPr>
              <w:t>Ⅰ-Ⅲ</w:t>
            </w:r>
            <w:r>
              <w:rPr>
                <w:rFonts w:hint="eastAsia"/>
                <w:color w:val="auto"/>
                <w:kern w:val="0"/>
                <w:sz w:val="24"/>
                <w:highlight w:val="none"/>
                <w:lang w:eastAsia="zh-CN"/>
              </w:rPr>
              <w:t>类水质占比100%，鳌溪断面水质有所变差，水质类别由</w:t>
            </w:r>
            <w:r>
              <w:rPr>
                <w:rFonts w:hint="default" w:ascii="Times New Roman" w:hAnsi="Times New Roman" w:cs="Times New Roman"/>
                <w:color w:val="auto"/>
                <w:kern w:val="0"/>
                <w:sz w:val="24"/>
                <w:highlight w:val="none"/>
                <w:lang w:eastAsia="zh-CN"/>
              </w:rPr>
              <w:t>Ⅱ类变为Ⅲ</w:t>
            </w:r>
            <w:r>
              <w:rPr>
                <w:rFonts w:hint="eastAsia"/>
                <w:color w:val="auto"/>
                <w:kern w:val="0"/>
                <w:sz w:val="24"/>
                <w:highlight w:val="none"/>
                <w:lang w:eastAsia="zh-CN"/>
              </w:rPr>
              <w:t>类，其余各断面水质均无明显变化。</w:t>
            </w:r>
          </w:p>
          <w:p>
            <w:pPr>
              <w:widowControl/>
              <w:spacing w:line="360" w:lineRule="auto"/>
              <w:ind w:firstLine="480" w:firstLineChars="200"/>
              <w:rPr>
                <w:rFonts w:ascii="宋体" w:hAnsi="宋体" w:cs="宋体"/>
                <w:color w:val="auto"/>
                <w:kern w:val="0"/>
                <w:szCs w:val="21"/>
                <w:highlight w:val="none"/>
              </w:rPr>
            </w:pPr>
            <w:r>
              <w:rPr>
                <w:rFonts w:hint="eastAsia" w:ascii="宋体" w:hAnsi="宋体" w:eastAsia="宋体" w:cs="Times New Roman"/>
                <w:color w:val="auto"/>
                <w:kern w:val="0"/>
                <w:sz w:val="24"/>
                <w:highlight w:val="none"/>
                <w:lang w:val="en-US" w:eastAsia="zh-CN"/>
              </w:rPr>
              <w:t>本项目废水最终排入大坝河，属于巴河流域。</w:t>
            </w:r>
            <w:r>
              <w:rPr>
                <w:rFonts w:hint="eastAsia"/>
                <w:bCs/>
                <w:color w:val="auto"/>
                <w:kern w:val="0"/>
                <w:sz w:val="24"/>
                <w:highlight w:val="none"/>
              </w:rPr>
              <w:t>根据《</w:t>
            </w:r>
            <w:r>
              <w:rPr>
                <w:rFonts w:hint="eastAsia"/>
                <w:color w:val="auto"/>
                <w:kern w:val="0"/>
                <w:sz w:val="24"/>
                <w:highlight w:val="none"/>
              </w:rPr>
              <w:t>202</w:t>
            </w:r>
            <w:r>
              <w:rPr>
                <w:rFonts w:hint="eastAsia"/>
                <w:color w:val="auto"/>
                <w:kern w:val="0"/>
                <w:sz w:val="24"/>
                <w:highlight w:val="none"/>
                <w:lang w:val="en-US" w:eastAsia="zh-CN"/>
              </w:rPr>
              <w:t>1</w:t>
            </w:r>
            <w:r>
              <w:rPr>
                <w:rFonts w:hint="eastAsia"/>
                <w:color w:val="auto"/>
                <w:kern w:val="0"/>
                <w:sz w:val="24"/>
                <w:highlight w:val="none"/>
              </w:rPr>
              <w:t>年巴中市生态环境质量状况公报</w:t>
            </w:r>
            <w:r>
              <w:rPr>
                <w:rFonts w:hint="eastAsia"/>
                <w:bCs/>
                <w:color w:val="auto"/>
                <w:kern w:val="0"/>
                <w:sz w:val="24"/>
                <w:highlight w:val="none"/>
              </w:rPr>
              <w:t>》，巴河满足《地表水环境质量标准》（GB3838-2002）Ⅲ类标准，项目所在区域地表水体环境质量现状较好。</w:t>
            </w:r>
          </w:p>
          <w:p>
            <w:pPr>
              <w:adjustRightInd w:val="0"/>
              <w:snapToGrid w:val="0"/>
              <w:spacing w:line="360" w:lineRule="auto"/>
              <w:jc w:val="left"/>
              <w:rPr>
                <w:rFonts w:hint="eastAsia"/>
                <w:bCs/>
                <w:color w:val="auto"/>
                <w:kern w:val="0"/>
                <w:sz w:val="24"/>
                <w:szCs w:val="24"/>
                <w:highlight w:val="none"/>
              </w:rPr>
            </w:pPr>
            <w:r>
              <w:rPr>
                <w:b/>
                <w:bCs/>
                <w:color w:val="auto"/>
                <w:kern w:val="0"/>
                <w:sz w:val="24"/>
                <w:highlight w:val="none"/>
              </w:rPr>
              <w:t>3、声环境质量现状</w:t>
            </w:r>
          </w:p>
          <w:p>
            <w:pPr>
              <w:widowControl/>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本项目声环境质量现状采用成都斯坦德分析检测有限公司2023年3月1日至3月2日对本项目所在区域声环境质量现状监测数据（项目编号：CDSTDFXJCYXGS130-0001）。</w:t>
            </w:r>
          </w:p>
          <w:p>
            <w:pPr>
              <w:spacing w:line="360" w:lineRule="auto"/>
              <w:ind w:firstLine="480" w:firstLineChars="200"/>
              <w:rPr>
                <w:b/>
                <w:color w:val="auto"/>
                <w:kern w:val="0"/>
                <w:sz w:val="24"/>
                <w:highlight w:val="none"/>
              </w:rPr>
            </w:pPr>
            <w:r>
              <w:rPr>
                <w:rFonts w:hint="eastAsia"/>
                <w:bCs/>
                <w:color w:val="auto"/>
                <w:kern w:val="0"/>
                <w:sz w:val="24"/>
                <w:highlight w:val="none"/>
              </w:rPr>
              <w:t>（1）监测点位：见表3-</w:t>
            </w:r>
            <w:r>
              <w:rPr>
                <w:rFonts w:hint="eastAsia"/>
                <w:bCs/>
                <w:color w:val="auto"/>
                <w:kern w:val="0"/>
                <w:sz w:val="24"/>
                <w:highlight w:val="none"/>
                <w:lang w:val="en-US" w:eastAsia="zh-CN"/>
              </w:rPr>
              <w:t>3</w:t>
            </w:r>
            <w:r>
              <w:rPr>
                <w:rFonts w:hint="eastAsia"/>
                <w:bCs/>
                <w:color w:val="auto"/>
                <w:kern w:val="0"/>
                <w:sz w:val="24"/>
                <w:highlight w:val="none"/>
              </w:rPr>
              <w:t>。</w:t>
            </w:r>
          </w:p>
          <w:p>
            <w:pPr>
              <w:pStyle w:val="41"/>
              <w:bidi w:val="0"/>
              <w:rPr>
                <w:rFonts w:hint="default" w:eastAsia="宋体"/>
                <w:color w:val="auto"/>
                <w:highlight w:val="none"/>
                <w:lang w:val="en-US" w:eastAsia="zh-CN"/>
              </w:rPr>
            </w:pPr>
            <w:r>
              <w:rPr>
                <w:rFonts w:hint="eastAsia"/>
                <w:color w:val="auto"/>
                <w:highlight w:val="none"/>
              </w:rPr>
              <w:t>表3-</w:t>
            </w:r>
            <w:r>
              <w:rPr>
                <w:rFonts w:hint="eastAsia"/>
                <w:color w:val="auto"/>
                <w:highlight w:val="none"/>
                <w:lang w:val="en-US" w:eastAsia="zh-CN"/>
              </w:rPr>
              <w:t>3</w:t>
            </w:r>
            <w:r>
              <w:rPr>
                <w:rFonts w:hint="eastAsia"/>
                <w:color w:val="auto"/>
                <w:highlight w:val="none"/>
              </w:rPr>
              <w:t xml:space="preserve">  噪声监测</w:t>
            </w:r>
            <w:r>
              <w:rPr>
                <w:rFonts w:hint="eastAsia"/>
                <w:color w:val="auto"/>
                <w:highlight w:val="none"/>
                <w:lang w:val="en-US" w:eastAsia="zh-CN"/>
              </w:rPr>
              <w:t>点位表</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2191"/>
              <w:gridCol w:w="605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05" w:hRule="atLeast"/>
              </w:trPr>
              <w:tc>
                <w:tcPr>
                  <w:tcW w:w="1329" w:type="pct"/>
                  <w:noWrap w:val="0"/>
                  <w:vAlign w:val="center"/>
                </w:tcPr>
                <w:p>
                  <w:pPr>
                    <w:adjustRightInd w:val="0"/>
                    <w:snapToGrid w:val="0"/>
                    <w:jc w:val="center"/>
                    <w:rPr>
                      <w:b/>
                      <w:color w:val="auto"/>
                      <w:szCs w:val="21"/>
                      <w:highlight w:val="none"/>
                    </w:rPr>
                  </w:pPr>
                  <w:r>
                    <w:rPr>
                      <w:b/>
                      <w:color w:val="auto"/>
                      <w:szCs w:val="21"/>
                      <w:highlight w:val="none"/>
                    </w:rPr>
                    <w:t>编号</w:t>
                  </w:r>
                </w:p>
              </w:tc>
              <w:tc>
                <w:tcPr>
                  <w:tcW w:w="3670" w:type="pct"/>
                  <w:noWrap w:val="0"/>
                  <w:vAlign w:val="center"/>
                </w:tcPr>
                <w:p>
                  <w:pPr>
                    <w:adjustRightInd w:val="0"/>
                    <w:snapToGrid w:val="0"/>
                    <w:jc w:val="center"/>
                    <w:rPr>
                      <w:b/>
                      <w:color w:val="auto"/>
                      <w:szCs w:val="21"/>
                      <w:highlight w:val="none"/>
                    </w:rPr>
                  </w:pPr>
                  <w:r>
                    <w:rPr>
                      <w:b/>
                      <w:color w:val="auto"/>
                      <w:szCs w:val="21"/>
                      <w:highlight w:val="none"/>
                    </w:rPr>
                    <w:t>监测点位</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1329" w:type="pct"/>
                  <w:noWrap w:val="0"/>
                  <w:vAlign w:val="center"/>
                </w:tcPr>
                <w:p>
                  <w:pPr>
                    <w:adjustRightInd w:val="0"/>
                    <w:snapToGrid w:val="0"/>
                    <w:jc w:val="center"/>
                    <w:rPr>
                      <w:rFonts w:ascii="Times New Roman" w:hAnsi="Times New Roman"/>
                      <w:color w:val="auto"/>
                      <w:kern w:val="2"/>
                      <w:sz w:val="21"/>
                      <w:szCs w:val="21"/>
                      <w:highlight w:val="none"/>
                      <w:lang w:val="en-US" w:eastAsia="zh-CN" w:bidi="ar-SA"/>
                    </w:rPr>
                  </w:pPr>
                  <w:r>
                    <w:rPr>
                      <w:rFonts w:ascii="Times New Roman" w:hAnsi="Times New Roman"/>
                      <w:color w:val="auto"/>
                      <w:szCs w:val="21"/>
                      <w:highlight w:val="none"/>
                    </w:rPr>
                    <w:t>1#</w:t>
                  </w:r>
                </w:p>
              </w:tc>
              <w:tc>
                <w:tcPr>
                  <w:tcW w:w="3670" w:type="pct"/>
                  <w:noWrap w:val="0"/>
                  <w:vAlign w:val="center"/>
                </w:tcPr>
                <w:p>
                  <w:pPr>
                    <w:jc w:val="center"/>
                    <w:rPr>
                      <w:rFonts w:hint="default" w:ascii="Times New Roman" w:hAnsi="Times New Roman" w:eastAsia="宋体"/>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项目东侧厂界外1m处</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1329" w:type="pct"/>
                  <w:noWrap w:val="0"/>
                  <w:vAlign w:val="center"/>
                </w:tcPr>
                <w:p>
                  <w:pPr>
                    <w:adjustRightInd w:val="0"/>
                    <w:snapToGrid w:val="0"/>
                    <w:jc w:val="center"/>
                    <w:rPr>
                      <w:rFonts w:hint="default" w:ascii="Times New Roman" w:hAnsi="Times New Roman" w:eastAsia="宋体"/>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2#</w:t>
                  </w:r>
                </w:p>
              </w:tc>
              <w:tc>
                <w:tcPr>
                  <w:tcW w:w="3670" w:type="pct"/>
                  <w:noWrap w:val="0"/>
                  <w:vAlign w:val="center"/>
                </w:tcPr>
                <w:p>
                  <w:pPr>
                    <w:jc w:val="center"/>
                    <w:rPr>
                      <w:rFonts w:hint="eastAsia" w:ascii="Times New Roman" w:hAnsi="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项目南侧厂界外1m处</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1329" w:type="pct"/>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3#</w:t>
                  </w:r>
                </w:p>
              </w:tc>
              <w:tc>
                <w:tcPr>
                  <w:tcW w:w="3670" w:type="pct"/>
                  <w:noWrap w:val="0"/>
                  <w:vAlign w:val="center"/>
                </w:tcPr>
                <w:p>
                  <w:pPr>
                    <w:jc w:val="center"/>
                    <w:rPr>
                      <w:rFonts w:hint="eastAsia" w:ascii="Times New Roman" w:hAnsi="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项目西侧厂界外1m处</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1329" w:type="pct"/>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4#</w:t>
                  </w:r>
                </w:p>
              </w:tc>
              <w:tc>
                <w:tcPr>
                  <w:tcW w:w="3670" w:type="pct"/>
                  <w:noWrap w:val="0"/>
                  <w:vAlign w:val="center"/>
                </w:tcPr>
                <w:p>
                  <w:pPr>
                    <w:jc w:val="center"/>
                    <w:rPr>
                      <w:rFonts w:hint="eastAsia" w:ascii="Times New Roman" w:hAnsi="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项目北侧厂界外1m处</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1329" w:type="pct"/>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5#</w:t>
                  </w:r>
                </w:p>
              </w:tc>
              <w:tc>
                <w:tcPr>
                  <w:tcW w:w="3670" w:type="pct"/>
                  <w:noWrap w:val="0"/>
                  <w:vAlign w:val="center"/>
                </w:tcPr>
                <w:p>
                  <w:pPr>
                    <w:jc w:val="center"/>
                    <w:rPr>
                      <w:rFonts w:hint="default" w:ascii="Times New Roman" w:hAnsi="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项目西南侧厂</w:t>
                  </w:r>
                  <w:r>
                    <w:rPr>
                      <w:rFonts w:ascii="Times New Roman" w:hAnsi="Times New Roman"/>
                      <w:color w:val="auto"/>
                      <w:szCs w:val="21"/>
                      <w:highlight w:val="none"/>
                    </w:rPr>
                    <w:t>界</w:t>
                  </w:r>
                  <w:r>
                    <w:rPr>
                      <w:rFonts w:hint="eastAsia" w:ascii="Times New Roman" w:hAnsi="Times New Roman"/>
                      <w:color w:val="auto"/>
                      <w:szCs w:val="21"/>
                      <w:highlight w:val="none"/>
                    </w:rPr>
                    <w:t>外</w:t>
                  </w:r>
                  <w:r>
                    <w:rPr>
                      <w:rFonts w:hint="eastAsia" w:ascii="Times New Roman" w:hAnsi="Times New Roman"/>
                      <w:color w:val="auto"/>
                      <w:szCs w:val="21"/>
                      <w:highlight w:val="none"/>
                      <w:lang w:val="en-US" w:eastAsia="zh-CN"/>
                    </w:rPr>
                    <w:t>41m居民处</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1329" w:type="pct"/>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6#</w:t>
                  </w:r>
                </w:p>
              </w:tc>
              <w:tc>
                <w:tcPr>
                  <w:tcW w:w="3670" w:type="pct"/>
                  <w:noWrap w:val="0"/>
                  <w:vAlign w:val="center"/>
                </w:tcPr>
                <w:p>
                  <w:pPr>
                    <w:jc w:val="center"/>
                    <w:rPr>
                      <w:rFonts w:hint="eastAsia" w:ascii="Times New Roman" w:hAnsi="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项目西侧厂</w:t>
                  </w:r>
                  <w:r>
                    <w:rPr>
                      <w:rFonts w:ascii="Times New Roman" w:hAnsi="Times New Roman"/>
                      <w:color w:val="auto"/>
                      <w:szCs w:val="21"/>
                      <w:highlight w:val="none"/>
                    </w:rPr>
                    <w:t>界</w:t>
                  </w:r>
                  <w:r>
                    <w:rPr>
                      <w:rFonts w:hint="eastAsia" w:ascii="Times New Roman" w:hAnsi="Times New Roman"/>
                      <w:color w:val="auto"/>
                      <w:szCs w:val="21"/>
                      <w:highlight w:val="none"/>
                    </w:rPr>
                    <w:t>外</w:t>
                  </w:r>
                  <w:r>
                    <w:rPr>
                      <w:rFonts w:hint="eastAsia" w:ascii="Times New Roman" w:hAnsi="Times New Roman"/>
                      <w:color w:val="auto"/>
                      <w:szCs w:val="21"/>
                      <w:highlight w:val="none"/>
                      <w:lang w:val="en-US" w:eastAsia="zh-CN"/>
                    </w:rPr>
                    <w:t>10m居民处</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239" w:type="dxa"/>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7#</w:t>
                  </w:r>
                </w:p>
              </w:tc>
              <w:tc>
                <w:tcPr>
                  <w:tcW w:w="6185" w:type="dxa"/>
                  <w:noWrap w:val="0"/>
                  <w:vAlign w:val="center"/>
                </w:tcPr>
                <w:p>
                  <w:pPr>
                    <w:jc w:val="center"/>
                    <w:rPr>
                      <w:rFonts w:hint="eastAsia" w:ascii="Times New Roman" w:hAnsi="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项目西侧厂</w:t>
                  </w:r>
                  <w:r>
                    <w:rPr>
                      <w:rFonts w:ascii="Times New Roman" w:hAnsi="Times New Roman"/>
                      <w:color w:val="auto"/>
                      <w:szCs w:val="21"/>
                      <w:highlight w:val="none"/>
                    </w:rPr>
                    <w:t>界</w:t>
                  </w:r>
                  <w:r>
                    <w:rPr>
                      <w:rFonts w:hint="eastAsia" w:ascii="Times New Roman" w:hAnsi="Times New Roman"/>
                      <w:color w:val="auto"/>
                      <w:szCs w:val="21"/>
                      <w:highlight w:val="none"/>
                    </w:rPr>
                    <w:t>外</w:t>
                  </w:r>
                  <w:r>
                    <w:rPr>
                      <w:rFonts w:hint="eastAsia" w:ascii="Times New Roman" w:hAnsi="Times New Roman"/>
                      <w:color w:val="auto"/>
                      <w:szCs w:val="21"/>
                      <w:highlight w:val="none"/>
                      <w:lang w:val="en-US" w:eastAsia="zh-CN"/>
                    </w:rPr>
                    <w:t>22m居民处</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239" w:type="dxa"/>
                  <w:noWrap w:val="0"/>
                  <w:vAlign w:val="center"/>
                </w:tcPr>
                <w:p>
                  <w:pPr>
                    <w:adjustRightInd w:val="0"/>
                    <w:snapToGrid w:val="0"/>
                    <w:jc w:val="center"/>
                    <w:rPr>
                      <w:rFonts w:hint="default" w:ascii="Times New Roman" w:hAnsi="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8#</w:t>
                  </w:r>
                </w:p>
              </w:tc>
              <w:tc>
                <w:tcPr>
                  <w:tcW w:w="6185" w:type="dxa"/>
                  <w:noWrap w:val="0"/>
                  <w:vAlign w:val="center"/>
                </w:tcPr>
                <w:p>
                  <w:pPr>
                    <w:jc w:val="center"/>
                    <w:rPr>
                      <w:rFonts w:hint="eastAsia" w:ascii="Times New Roman" w:hAnsi="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项目西北侧厂</w:t>
                  </w:r>
                  <w:r>
                    <w:rPr>
                      <w:rFonts w:ascii="Times New Roman" w:hAnsi="Times New Roman"/>
                      <w:color w:val="auto"/>
                      <w:szCs w:val="21"/>
                      <w:highlight w:val="none"/>
                    </w:rPr>
                    <w:t>界</w:t>
                  </w:r>
                  <w:r>
                    <w:rPr>
                      <w:rFonts w:hint="eastAsia" w:ascii="Times New Roman" w:hAnsi="Times New Roman"/>
                      <w:color w:val="auto"/>
                      <w:szCs w:val="21"/>
                      <w:highlight w:val="none"/>
                    </w:rPr>
                    <w:t>外</w:t>
                  </w:r>
                  <w:r>
                    <w:rPr>
                      <w:rFonts w:hint="eastAsia" w:ascii="Times New Roman" w:hAnsi="Times New Roman"/>
                      <w:color w:val="auto"/>
                      <w:szCs w:val="21"/>
                      <w:highlight w:val="none"/>
                      <w:lang w:val="en-US" w:eastAsia="zh-CN"/>
                    </w:rPr>
                    <w:t>42m居民处</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239" w:type="dxa"/>
                  <w:noWrap w:val="0"/>
                  <w:vAlign w:val="center"/>
                </w:tcPr>
                <w:p>
                  <w:pPr>
                    <w:adjustRightInd w:val="0"/>
                    <w:snapToGrid w:val="0"/>
                    <w:jc w:val="center"/>
                    <w:rPr>
                      <w:rFonts w:hint="default" w:ascii="Times New Roman" w:hAnsi="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9#</w:t>
                  </w:r>
                </w:p>
              </w:tc>
              <w:tc>
                <w:tcPr>
                  <w:tcW w:w="6185" w:type="dxa"/>
                  <w:noWrap w:val="0"/>
                  <w:vAlign w:val="center"/>
                </w:tcPr>
                <w:p>
                  <w:pPr>
                    <w:jc w:val="center"/>
                    <w:rPr>
                      <w:rFonts w:hint="default" w:ascii="Times New Roman" w:hAnsi="Times New Roman"/>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项目北侧厂界外36m学校处</w:t>
                  </w:r>
                </w:p>
              </w:tc>
            </w:tr>
          </w:tbl>
          <w:p>
            <w:pPr>
              <w:spacing w:line="360" w:lineRule="auto"/>
              <w:ind w:firstLine="480" w:firstLineChars="200"/>
              <w:rPr>
                <w:rFonts w:hint="eastAsia"/>
                <w:color w:val="auto"/>
                <w:kern w:val="0"/>
                <w:sz w:val="24"/>
                <w:highlight w:val="none"/>
              </w:rPr>
            </w:pPr>
            <w:r>
              <w:rPr>
                <w:rFonts w:hint="eastAsia"/>
                <w:bCs/>
                <w:color w:val="auto"/>
                <w:kern w:val="0"/>
                <w:sz w:val="24"/>
                <w:highlight w:val="none"/>
              </w:rPr>
              <w:t>（2）监测时间及频率：</w:t>
            </w:r>
            <w:r>
              <w:rPr>
                <w:rFonts w:hint="eastAsia"/>
                <w:color w:val="auto"/>
                <w:kern w:val="0"/>
                <w:sz w:val="24"/>
                <w:highlight w:val="none"/>
              </w:rPr>
              <w:t>202</w:t>
            </w:r>
            <w:r>
              <w:rPr>
                <w:rFonts w:hint="eastAsia"/>
                <w:color w:val="auto"/>
                <w:kern w:val="0"/>
                <w:sz w:val="24"/>
                <w:highlight w:val="none"/>
                <w:lang w:val="en-US" w:eastAsia="zh-CN"/>
              </w:rPr>
              <w:t>3</w:t>
            </w:r>
            <w:r>
              <w:rPr>
                <w:rFonts w:hint="eastAsia"/>
                <w:color w:val="auto"/>
                <w:kern w:val="0"/>
                <w:sz w:val="24"/>
                <w:highlight w:val="none"/>
              </w:rPr>
              <w:t>年3月1日</w:t>
            </w:r>
            <w:r>
              <w:rPr>
                <w:rFonts w:hint="eastAsia" w:ascii="Times New Roman" w:hAnsi="Times New Roman" w:eastAsia="宋体" w:cs="Times New Roman"/>
                <w:color w:val="auto"/>
                <w:kern w:val="0"/>
                <w:sz w:val="24"/>
                <w:highlight w:val="none"/>
                <w:lang w:val="en-US" w:eastAsia="zh-CN"/>
              </w:rPr>
              <w:t>至3月2日</w:t>
            </w:r>
            <w:r>
              <w:rPr>
                <w:rFonts w:hint="eastAsia"/>
                <w:color w:val="auto"/>
                <w:kern w:val="0"/>
                <w:sz w:val="24"/>
                <w:highlight w:val="none"/>
              </w:rPr>
              <w:t>，监测1天，昼间1次</w:t>
            </w:r>
            <w:r>
              <w:rPr>
                <w:rFonts w:hint="eastAsia"/>
                <w:color w:val="auto"/>
                <w:kern w:val="0"/>
                <w:sz w:val="24"/>
                <w:highlight w:val="none"/>
                <w:lang w:eastAsia="zh-CN"/>
              </w:rPr>
              <w:t>，</w:t>
            </w:r>
            <w:r>
              <w:rPr>
                <w:rFonts w:hint="eastAsia"/>
                <w:color w:val="auto"/>
                <w:kern w:val="0"/>
                <w:sz w:val="24"/>
                <w:highlight w:val="none"/>
                <w:lang w:val="en-US" w:eastAsia="zh-CN"/>
              </w:rPr>
              <w:t>夜间1次</w:t>
            </w:r>
            <w:r>
              <w:rPr>
                <w:rFonts w:hint="eastAsia"/>
                <w:color w:val="auto"/>
                <w:kern w:val="0"/>
                <w:sz w:val="24"/>
                <w:highlight w:val="none"/>
              </w:rPr>
              <w:t>。</w:t>
            </w:r>
          </w:p>
          <w:p>
            <w:pPr>
              <w:spacing w:line="360" w:lineRule="auto"/>
              <w:ind w:firstLine="480" w:firstLineChars="200"/>
              <w:rPr>
                <w:rFonts w:hint="eastAsia"/>
                <w:color w:val="auto"/>
                <w:kern w:val="0"/>
                <w:sz w:val="24"/>
                <w:highlight w:val="none"/>
              </w:rPr>
            </w:pPr>
            <w:r>
              <w:rPr>
                <w:rFonts w:hint="eastAsia"/>
                <w:bCs/>
                <w:color w:val="auto"/>
                <w:kern w:val="0"/>
                <w:sz w:val="24"/>
                <w:highlight w:val="none"/>
              </w:rPr>
              <w:t>（3）监测指标：</w:t>
            </w:r>
            <w:r>
              <w:rPr>
                <w:rFonts w:hint="eastAsia"/>
                <w:color w:val="auto"/>
                <w:kern w:val="0"/>
                <w:sz w:val="24"/>
                <w:highlight w:val="none"/>
              </w:rPr>
              <w:t>连续等效A声级。</w:t>
            </w:r>
          </w:p>
          <w:p>
            <w:pPr>
              <w:spacing w:line="360" w:lineRule="auto"/>
              <w:ind w:firstLine="480" w:firstLineChars="200"/>
              <w:rPr>
                <w:rFonts w:hint="eastAsia"/>
                <w:bCs/>
                <w:color w:val="auto"/>
                <w:sz w:val="24"/>
                <w:highlight w:val="none"/>
              </w:rPr>
            </w:pPr>
            <w:r>
              <w:rPr>
                <w:rFonts w:hint="eastAsia"/>
                <w:bCs/>
                <w:color w:val="auto"/>
                <w:kern w:val="0"/>
                <w:sz w:val="24"/>
                <w:highlight w:val="none"/>
              </w:rPr>
              <w:t>（4）评价标准：</w:t>
            </w:r>
            <w:r>
              <w:rPr>
                <w:rFonts w:hint="eastAsia" w:ascii="Times New Roman" w:hAnsi="Times New Roman"/>
                <w:bCs/>
                <w:color w:val="auto"/>
                <w:sz w:val="24"/>
                <w:szCs w:val="24"/>
                <w:highlight w:val="none"/>
                <w:lang w:val="en-US" w:eastAsia="zh-CN"/>
              </w:rPr>
              <w:t>1#、2#、3#、4#</w:t>
            </w:r>
            <w:r>
              <w:rPr>
                <w:rFonts w:hint="eastAsia" w:ascii="Times New Roman" w:hAnsi="Times New Roman"/>
                <w:bCs/>
                <w:color w:val="auto"/>
                <w:sz w:val="24"/>
                <w:szCs w:val="24"/>
                <w:highlight w:val="none"/>
              </w:rPr>
              <w:t>执行《声环境质量标准》（GB3096-2008）中</w:t>
            </w:r>
            <w:r>
              <w:rPr>
                <w:rFonts w:hint="eastAsia" w:ascii="Times New Roman" w:hAnsi="Times New Roman"/>
                <w:bCs/>
                <w:color w:val="auto"/>
                <w:sz w:val="24"/>
                <w:szCs w:val="24"/>
                <w:highlight w:val="none"/>
                <w:lang w:val="en-US" w:eastAsia="zh-CN"/>
              </w:rPr>
              <w:t>3</w:t>
            </w:r>
            <w:r>
              <w:rPr>
                <w:rFonts w:hint="eastAsia" w:ascii="Times New Roman" w:hAnsi="Times New Roman"/>
                <w:bCs/>
                <w:color w:val="auto"/>
                <w:sz w:val="24"/>
                <w:szCs w:val="24"/>
                <w:highlight w:val="none"/>
              </w:rPr>
              <w:t>类标准</w:t>
            </w:r>
            <w:r>
              <w:rPr>
                <w:rFonts w:hint="eastAsia" w:ascii="Times New Roman" w:hAnsi="Times New Roman"/>
                <w:bCs/>
                <w:color w:val="auto"/>
                <w:sz w:val="24"/>
                <w:szCs w:val="24"/>
                <w:highlight w:val="none"/>
                <w:lang w:val="en-US" w:eastAsia="zh-CN"/>
              </w:rPr>
              <w:t>，5#、6#、7#、8#</w:t>
            </w:r>
            <w:r>
              <w:rPr>
                <w:rFonts w:hint="eastAsia"/>
                <w:bCs/>
                <w:color w:val="auto"/>
                <w:sz w:val="24"/>
                <w:szCs w:val="24"/>
                <w:highlight w:val="none"/>
                <w:lang w:val="en-US" w:eastAsia="zh-CN"/>
              </w:rPr>
              <w:t>、</w:t>
            </w:r>
            <w:r>
              <w:rPr>
                <w:rFonts w:hint="eastAsia" w:ascii="Times New Roman" w:hAnsi="Times New Roman"/>
                <w:bCs/>
                <w:color w:val="auto"/>
                <w:sz w:val="24"/>
                <w:szCs w:val="24"/>
                <w:highlight w:val="none"/>
                <w:lang w:val="en-US" w:eastAsia="zh-CN"/>
              </w:rPr>
              <w:t>9#</w:t>
            </w:r>
            <w:r>
              <w:rPr>
                <w:rFonts w:hint="eastAsia" w:ascii="Times New Roman" w:hAnsi="Times New Roman"/>
                <w:bCs/>
                <w:color w:val="auto"/>
                <w:sz w:val="24"/>
                <w:szCs w:val="24"/>
                <w:highlight w:val="none"/>
              </w:rPr>
              <w:t>执行《声环境质量标准》（GB3096-2008）中</w:t>
            </w:r>
            <w:r>
              <w:rPr>
                <w:rFonts w:hint="eastAsia" w:ascii="Times New Roman" w:hAnsi="Times New Roman"/>
                <w:bCs/>
                <w:color w:val="auto"/>
                <w:sz w:val="24"/>
                <w:szCs w:val="24"/>
                <w:highlight w:val="none"/>
                <w:lang w:val="en-US" w:eastAsia="zh-CN"/>
              </w:rPr>
              <w:t>2</w:t>
            </w:r>
            <w:r>
              <w:rPr>
                <w:rFonts w:hint="eastAsia" w:ascii="Times New Roman" w:hAnsi="Times New Roman"/>
                <w:bCs/>
                <w:color w:val="auto"/>
                <w:sz w:val="24"/>
                <w:szCs w:val="24"/>
                <w:highlight w:val="none"/>
              </w:rPr>
              <w:t>类标准</w:t>
            </w:r>
            <w:r>
              <w:rPr>
                <w:rFonts w:hint="eastAsia" w:ascii="Times New Roman" w:hAnsi="Times New Roman"/>
                <w:bCs/>
                <w:color w:val="auto"/>
                <w:sz w:val="24"/>
                <w:szCs w:val="24"/>
                <w:highlight w:val="none"/>
                <w:lang w:eastAsia="zh-CN"/>
              </w:rPr>
              <w:t>。</w:t>
            </w:r>
          </w:p>
          <w:p>
            <w:pPr>
              <w:pStyle w:val="41"/>
              <w:bidi w:val="0"/>
              <w:rPr>
                <w:color w:val="auto"/>
                <w:highlight w:val="none"/>
              </w:rPr>
            </w:pPr>
            <w:r>
              <w:rPr>
                <w:rFonts w:hint="eastAsia"/>
                <w:color w:val="auto"/>
                <w:highlight w:val="none"/>
              </w:rPr>
              <w:t>表3-</w:t>
            </w:r>
            <w:r>
              <w:rPr>
                <w:rFonts w:hint="eastAsia"/>
                <w:color w:val="auto"/>
                <w:highlight w:val="none"/>
                <w:lang w:val="en-US" w:eastAsia="zh-CN"/>
              </w:rPr>
              <w:t>4</w:t>
            </w:r>
            <w:r>
              <w:rPr>
                <w:rFonts w:hint="eastAsia"/>
                <w:color w:val="auto"/>
                <w:highlight w:val="none"/>
              </w:rPr>
              <w:t xml:space="preserve">  声环境质量标准           单位：dB(A)</w:t>
            </w:r>
          </w:p>
          <w:tbl>
            <w:tblPr>
              <w:tblStyle w:val="21"/>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345"/>
              <w:gridCol w:w="2449"/>
              <w:gridCol w:w="244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1" w:hRule="atLeast"/>
                <w:jc w:val="center"/>
              </w:trPr>
              <w:tc>
                <w:tcPr>
                  <w:tcW w:w="202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执行标准</w:t>
                  </w:r>
                </w:p>
              </w:tc>
              <w:tc>
                <w:tcPr>
                  <w:tcW w:w="1485"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昼间</w:t>
                  </w:r>
                </w:p>
              </w:tc>
              <w:tc>
                <w:tcPr>
                  <w:tcW w:w="1485"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028"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2类</w:t>
                  </w:r>
                </w:p>
              </w:tc>
              <w:tc>
                <w:tcPr>
                  <w:tcW w:w="1485"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1485"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028" w:type="pct"/>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3类</w:t>
                  </w:r>
                </w:p>
              </w:tc>
              <w:tc>
                <w:tcPr>
                  <w:tcW w:w="1485" w:type="pct"/>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65</w:t>
                  </w:r>
                </w:p>
              </w:tc>
              <w:tc>
                <w:tcPr>
                  <w:tcW w:w="1485" w:type="pct"/>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55</w:t>
                  </w:r>
                </w:p>
              </w:tc>
            </w:tr>
          </w:tbl>
          <w:p>
            <w:pPr>
              <w:pStyle w:val="5"/>
              <w:spacing w:line="360" w:lineRule="auto"/>
              <w:ind w:firstLine="480" w:firstLineChars="200"/>
              <w:rPr>
                <w:color w:val="auto"/>
                <w:sz w:val="24"/>
                <w:highlight w:val="none"/>
              </w:rPr>
            </w:pPr>
            <w:r>
              <w:rPr>
                <w:rFonts w:hint="eastAsia"/>
                <w:bCs/>
                <w:color w:val="auto"/>
                <w:kern w:val="0"/>
                <w:sz w:val="24"/>
                <w:highlight w:val="none"/>
              </w:rPr>
              <w:t>（5）</w:t>
            </w:r>
            <w:r>
              <w:rPr>
                <w:rFonts w:hint="eastAsia"/>
                <w:color w:val="auto"/>
                <w:kern w:val="0"/>
                <w:sz w:val="24"/>
                <w:highlight w:val="none"/>
              </w:rPr>
              <w:t>监测结果：见表3-</w:t>
            </w:r>
            <w:r>
              <w:rPr>
                <w:rFonts w:hint="eastAsia"/>
                <w:color w:val="auto"/>
                <w:kern w:val="0"/>
                <w:sz w:val="24"/>
                <w:highlight w:val="none"/>
                <w:lang w:val="en-US" w:eastAsia="zh-CN"/>
              </w:rPr>
              <w:t>5</w:t>
            </w:r>
            <w:r>
              <w:rPr>
                <w:rFonts w:hint="eastAsia"/>
                <w:color w:val="auto"/>
                <w:kern w:val="0"/>
                <w:sz w:val="24"/>
                <w:highlight w:val="none"/>
              </w:rPr>
              <w:t>。</w:t>
            </w:r>
          </w:p>
          <w:p>
            <w:pPr>
              <w:pStyle w:val="41"/>
              <w:bidi w:val="0"/>
              <w:rPr>
                <w:color w:val="auto"/>
                <w:highlight w:val="none"/>
              </w:rPr>
            </w:pPr>
            <w:r>
              <w:rPr>
                <w:rFonts w:hint="eastAsia"/>
                <w:color w:val="auto"/>
                <w:highlight w:val="none"/>
              </w:rPr>
              <w:t>表3-</w:t>
            </w:r>
            <w:r>
              <w:rPr>
                <w:rFonts w:hint="eastAsia"/>
                <w:color w:val="auto"/>
                <w:highlight w:val="none"/>
                <w:lang w:val="en-US" w:eastAsia="zh-CN"/>
              </w:rPr>
              <w:t>5</w:t>
            </w:r>
            <w:r>
              <w:rPr>
                <w:rFonts w:hint="eastAsia"/>
                <w:color w:val="auto"/>
                <w:highlight w:val="none"/>
              </w:rPr>
              <w:t xml:space="preserve">  </w:t>
            </w:r>
            <w:r>
              <w:rPr>
                <w:rFonts w:hint="eastAsia"/>
                <w:color w:val="auto"/>
                <w:highlight w:val="none"/>
                <w:lang w:val="en-US" w:eastAsia="zh-CN"/>
              </w:rPr>
              <w:t>噪声检测结果表</w:t>
            </w:r>
            <w:r>
              <w:rPr>
                <w:rFonts w:hint="eastAsia"/>
                <w:color w:val="auto"/>
                <w:highlight w:val="none"/>
              </w:rPr>
              <w:t xml:space="preserve">       单位：dB(A)</w:t>
            </w:r>
          </w:p>
          <w:tbl>
            <w:tblPr>
              <w:tblStyle w:val="21"/>
              <w:tblW w:w="499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54"/>
              <w:gridCol w:w="2060"/>
              <w:gridCol w:w="2060"/>
              <w:gridCol w:w="206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1" w:hRule="atLeast"/>
                <w:jc w:val="center"/>
              </w:trPr>
              <w:tc>
                <w:tcPr>
                  <w:tcW w:w="1246" w:type="pct"/>
                  <w:vMerge w:val="restart"/>
                  <w:tcBorders>
                    <w:top w:val="single" w:color="auto" w:sz="2" w:space="0"/>
                    <w:left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检测日期</w:t>
                  </w:r>
                </w:p>
              </w:tc>
              <w:tc>
                <w:tcPr>
                  <w:tcW w:w="1250" w:type="pct"/>
                  <w:vMerge w:val="restart"/>
                  <w:tcBorders>
                    <w:top w:val="single" w:color="auto" w:sz="2" w:space="0"/>
                    <w:left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检测点位</w:t>
                  </w:r>
                </w:p>
              </w:tc>
              <w:tc>
                <w:tcPr>
                  <w:tcW w:w="2502" w:type="pct"/>
                  <w:gridSpan w:val="2"/>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检测结果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1" w:hRule="atLeast"/>
                <w:jc w:val="center"/>
              </w:trPr>
              <w:tc>
                <w:tcPr>
                  <w:tcW w:w="1246" w:type="pct"/>
                  <w:vMerge w:val="continue"/>
                  <w:tcBorders>
                    <w:left w:val="single" w:color="auto" w:sz="2" w:space="0"/>
                    <w:bottom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b/>
                      <w:bCs/>
                      <w:color w:val="auto"/>
                      <w:szCs w:val="21"/>
                      <w:highlight w:val="none"/>
                      <w:lang w:val="en-US" w:eastAsia="zh-CN"/>
                    </w:rPr>
                  </w:pPr>
                </w:p>
              </w:tc>
              <w:tc>
                <w:tcPr>
                  <w:tcW w:w="1250" w:type="pct"/>
                  <w:vMerge w:val="continue"/>
                  <w:tcBorders>
                    <w:left w:val="single" w:color="auto" w:sz="2" w:space="0"/>
                    <w:bottom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b/>
                      <w:bCs/>
                      <w:color w:val="auto"/>
                      <w:szCs w:val="21"/>
                      <w:highlight w:val="none"/>
                      <w:lang w:val="en-US" w:eastAsia="zh-CN"/>
                    </w:rPr>
                  </w:pPr>
                </w:p>
              </w:tc>
              <w:tc>
                <w:tcPr>
                  <w:tcW w:w="1250"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昼间</w:t>
                  </w:r>
                </w:p>
              </w:tc>
              <w:tc>
                <w:tcPr>
                  <w:tcW w:w="1252"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46" w:type="pct"/>
                  <w:vMerge w:val="restart"/>
                  <w:tcBorders>
                    <w:top w:val="single" w:color="auto" w:sz="2" w:space="0"/>
                    <w:left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2023.03.01~03.02</w:t>
                  </w:r>
                </w:p>
              </w:tc>
              <w:tc>
                <w:tcPr>
                  <w:tcW w:w="1250"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ascii="Times New Roman" w:hAnsi="Times New Roman"/>
                      <w:color w:val="auto"/>
                      <w:szCs w:val="21"/>
                      <w:highlight w:val="none"/>
                    </w:rPr>
                    <w:t>1#</w:t>
                  </w:r>
                </w:p>
              </w:tc>
              <w:tc>
                <w:tcPr>
                  <w:tcW w:w="1250"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49</w:t>
                  </w:r>
                </w:p>
              </w:tc>
              <w:tc>
                <w:tcPr>
                  <w:tcW w:w="1252"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46"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1250" w:type="pct"/>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2#</w:t>
                  </w:r>
                </w:p>
              </w:tc>
              <w:tc>
                <w:tcPr>
                  <w:tcW w:w="125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56</w:t>
                  </w:r>
                </w:p>
              </w:tc>
              <w:tc>
                <w:tcPr>
                  <w:tcW w:w="1252"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46"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1250" w:type="pct"/>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3#</w:t>
                  </w:r>
                </w:p>
              </w:tc>
              <w:tc>
                <w:tcPr>
                  <w:tcW w:w="125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53</w:t>
                  </w:r>
                </w:p>
              </w:tc>
              <w:tc>
                <w:tcPr>
                  <w:tcW w:w="1252"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46"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1250" w:type="pct"/>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4#</w:t>
                  </w:r>
                </w:p>
              </w:tc>
              <w:tc>
                <w:tcPr>
                  <w:tcW w:w="125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59</w:t>
                  </w:r>
                </w:p>
              </w:tc>
              <w:tc>
                <w:tcPr>
                  <w:tcW w:w="1252"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46"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1250" w:type="pct"/>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5#</w:t>
                  </w:r>
                </w:p>
              </w:tc>
              <w:tc>
                <w:tcPr>
                  <w:tcW w:w="125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52</w:t>
                  </w:r>
                </w:p>
              </w:tc>
              <w:tc>
                <w:tcPr>
                  <w:tcW w:w="1252"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46"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1250" w:type="pct"/>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6#</w:t>
                  </w:r>
                </w:p>
              </w:tc>
              <w:tc>
                <w:tcPr>
                  <w:tcW w:w="125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49</w:t>
                  </w:r>
                </w:p>
              </w:tc>
              <w:tc>
                <w:tcPr>
                  <w:tcW w:w="1252"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46"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1250" w:type="pct"/>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7#</w:t>
                  </w:r>
                </w:p>
              </w:tc>
              <w:tc>
                <w:tcPr>
                  <w:tcW w:w="125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46</w:t>
                  </w:r>
                </w:p>
              </w:tc>
              <w:tc>
                <w:tcPr>
                  <w:tcW w:w="1252"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46"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1250" w:type="pct"/>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8#</w:t>
                  </w:r>
                </w:p>
              </w:tc>
              <w:tc>
                <w:tcPr>
                  <w:tcW w:w="125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55</w:t>
                  </w:r>
                </w:p>
              </w:tc>
              <w:tc>
                <w:tcPr>
                  <w:tcW w:w="1252"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46" w:type="pct"/>
                  <w:vMerge w:val="continue"/>
                  <w:tcBorders>
                    <w:left w:val="single" w:color="auto" w:sz="2" w:space="0"/>
                    <w:right w:val="single" w:color="auto" w:sz="2"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p>
              </w:tc>
              <w:tc>
                <w:tcPr>
                  <w:tcW w:w="1250" w:type="pct"/>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9#</w:t>
                  </w:r>
                </w:p>
              </w:tc>
              <w:tc>
                <w:tcPr>
                  <w:tcW w:w="1250"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52</w:t>
                  </w:r>
                </w:p>
              </w:tc>
              <w:tc>
                <w:tcPr>
                  <w:tcW w:w="1252" w:type="pc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44</w:t>
                  </w:r>
                </w:p>
              </w:tc>
            </w:tr>
          </w:tbl>
          <w:p>
            <w:pPr>
              <w:adjustRightInd w:val="0"/>
              <w:snapToGrid w:val="0"/>
              <w:spacing w:line="360" w:lineRule="auto"/>
              <w:ind w:firstLine="480" w:firstLineChars="200"/>
              <w:jc w:val="left"/>
              <w:rPr>
                <w:rFonts w:hint="eastAsia"/>
                <w:color w:val="auto"/>
                <w:kern w:val="0"/>
                <w:sz w:val="24"/>
                <w:highlight w:val="none"/>
              </w:rPr>
            </w:pPr>
            <w:r>
              <w:rPr>
                <w:rFonts w:hint="eastAsia"/>
                <w:color w:val="auto"/>
                <w:kern w:val="0"/>
                <w:sz w:val="24"/>
                <w:highlight w:val="none"/>
                <w:lang w:val="en-US" w:eastAsia="zh-CN"/>
              </w:rPr>
              <w:t>由</w:t>
            </w:r>
            <w:r>
              <w:rPr>
                <w:rFonts w:hint="eastAsia"/>
                <w:color w:val="auto"/>
                <w:kern w:val="0"/>
                <w:sz w:val="24"/>
                <w:highlight w:val="none"/>
              </w:rPr>
              <w:t>上表的监测结果可知，本项目厂界四周昼、夜间噪声均能满足《声环境质量标准》（GB3096-2008）中</w:t>
            </w:r>
            <w:r>
              <w:rPr>
                <w:rFonts w:hint="eastAsia"/>
                <w:color w:val="auto"/>
                <w:kern w:val="0"/>
                <w:sz w:val="24"/>
                <w:highlight w:val="none"/>
                <w:lang w:val="en-US" w:eastAsia="zh-CN"/>
              </w:rPr>
              <w:t>3</w:t>
            </w:r>
            <w:r>
              <w:rPr>
                <w:rFonts w:hint="eastAsia"/>
                <w:color w:val="auto"/>
                <w:kern w:val="0"/>
                <w:sz w:val="24"/>
                <w:highlight w:val="none"/>
              </w:rPr>
              <w:t>类标准</w:t>
            </w:r>
            <w:r>
              <w:rPr>
                <w:rFonts w:hint="eastAsia"/>
                <w:color w:val="auto"/>
                <w:kern w:val="0"/>
                <w:sz w:val="24"/>
                <w:highlight w:val="none"/>
                <w:lang w:eastAsia="zh-CN"/>
              </w:rPr>
              <w:t>；</w:t>
            </w:r>
            <w:r>
              <w:rPr>
                <w:rFonts w:hint="eastAsia"/>
                <w:color w:val="auto"/>
                <w:kern w:val="0"/>
                <w:sz w:val="24"/>
                <w:highlight w:val="none"/>
                <w:lang w:val="en-US" w:eastAsia="zh-CN"/>
              </w:rPr>
              <w:t>西南侧41m居民处、西北侧42m居民、西侧10m、22m居民处和北侧36m学校处</w:t>
            </w:r>
            <w:r>
              <w:rPr>
                <w:rFonts w:hint="eastAsia"/>
                <w:color w:val="auto"/>
                <w:kern w:val="0"/>
                <w:sz w:val="24"/>
                <w:highlight w:val="none"/>
              </w:rPr>
              <w:t>昼、夜间噪声均能满足《声环境质量标准》（GB3096-2008）中</w:t>
            </w:r>
            <w:r>
              <w:rPr>
                <w:rFonts w:hint="eastAsia"/>
                <w:color w:val="auto"/>
                <w:kern w:val="0"/>
                <w:sz w:val="24"/>
                <w:highlight w:val="none"/>
                <w:lang w:val="en-US" w:eastAsia="zh-CN"/>
              </w:rPr>
              <w:t>2</w:t>
            </w:r>
            <w:r>
              <w:rPr>
                <w:rFonts w:hint="eastAsia"/>
                <w:color w:val="auto"/>
                <w:kern w:val="0"/>
                <w:sz w:val="24"/>
                <w:highlight w:val="none"/>
              </w:rPr>
              <w:t>类标准</w:t>
            </w:r>
            <w:r>
              <w:rPr>
                <w:rFonts w:hint="eastAsia"/>
                <w:color w:val="auto"/>
                <w:kern w:val="0"/>
                <w:sz w:val="24"/>
                <w:highlight w:val="none"/>
                <w:lang w:eastAsia="zh-CN"/>
              </w:rPr>
              <w:t>。</w:t>
            </w:r>
            <w:r>
              <w:rPr>
                <w:rFonts w:hint="eastAsia"/>
                <w:color w:val="auto"/>
                <w:kern w:val="0"/>
                <w:sz w:val="24"/>
                <w:highlight w:val="none"/>
              </w:rPr>
              <w:t>项目所在地声环境质量较好。</w:t>
            </w:r>
          </w:p>
          <w:p>
            <w:pPr>
              <w:adjustRightInd w:val="0"/>
              <w:snapToGrid w:val="0"/>
              <w:spacing w:line="360" w:lineRule="auto"/>
              <w:jc w:val="left"/>
              <w:rPr>
                <w:b/>
                <w:bCs/>
                <w:color w:val="auto"/>
                <w:kern w:val="0"/>
                <w:sz w:val="24"/>
                <w:highlight w:val="none"/>
              </w:rPr>
            </w:pPr>
            <w:r>
              <w:rPr>
                <w:rFonts w:hint="eastAsia"/>
                <w:b/>
                <w:bCs/>
                <w:color w:val="auto"/>
                <w:kern w:val="0"/>
                <w:sz w:val="24"/>
                <w:highlight w:val="none"/>
                <w:lang w:val="en-US" w:eastAsia="zh-CN"/>
              </w:rPr>
              <w:t>4</w:t>
            </w:r>
            <w:r>
              <w:rPr>
                <w:b/>
                <w:bCs/>
                <w:color w:val="auto"/>
                <w:kern w:val="0"/>
                <w:sz w:val="24"/>
                <w:highlight w:val="none"/>
              </w:rPr>
              <w:t>、地下水</w:t>
            </w:r>
            <w:r>
              <w:rPr>
                <w:rFonts w:hint="eastAsia"/>
                <w:b/>
                <w:bCs/>
                <w:color w:val="auto"/>
                <w:kern w:val="0"/>
                <w:sz w:val="24"/>
                <w:highlight w:val="none"/>
                <w:lang w:eastAsia="zh-CN"/>
              </w:rPr>
              <w:t>、</w:t>
            </w:r>
            <w:r>
              <w:rPr>
                <w:rFonts w:hint="eastAsia"/>
                <w:b/>
                <w:bCs/>
                <w:color w:val="auto"/>
                <w:kern w:val="0"/>
                <w:sz w:val="24"/>
                <w:highlight w:val="none"/>
                <w:lang w:val="en-US" w:eastAsia="zh-CN"/>
              </w:rPr>
              <w:t>土壤</w:t>
            </w:r>
            <w:r>
              <w:rPr>
                <w:b/>
                <w:bCs/>
                <w:color w:val="auto"/>
                <w:kern w:val="0"/>
                <w:sz w:val="24"/>
                <w:highlight w:val="none"/>
              </w:rPr>
              <w:t>环境质量现状</w:t>
            </w:r>
          </w:p>
          <w:p>
            <w:pPr>
              <w:adjustRightInd w:val="0"/>
              <w:snapToGrid w:val="0"/>
              <w:spacing w:line="360" w:lineRule="auto"/>
              <w:ind w:firstLine="480" w:firstLineChars="200"/>
              <w:jc w:val="left"/>
              <w:rPr>
                <w:rFonts w:hint="eastAsia"/>
                <w:color w:val="auto"/>
                <w:kern w:val="0"/>
                <w:sz w:val="24"/>
                <w:highlight w:val="none"/>
              </w:rPr>
            </w:pPr>
            <w:r>
              <w:rPr>
                <w:rFonts w:hint="eastAsia"/>
                <w:color w:val="auto"/>
                <w:kern w:val="0"/>
                <w:sz w:val="24"/>
                <w:highlight w:val="none"/>
              </w:rPr>
              <w:t>根据《建设项目环境影响报告表编制技术指南（污染影响类）（试行）》要求，本项目严格落实相应的分区防渗措施后，不存在土壤、地下水环境污染途径，故不开展土壤、地下水环境质量现状调查。</w:t>
            </w:r>
          </w:p>
          <w:p>
            <w:pPr>
              <w:adjustRightInd w:val="0"/>
              <w:snapToGrid w:val="0"/>
              <w:spacing w:line="360" w:lineRule="auto"/>
              <w:jc w:val="left"/>
              <w:rPr>
                <w:b/>
                <w:bCs/>
                <w:color w:val="auto"/>
                <w:kern w:val="0"/>
                <w:sz w:val="24"/>
                <w:highlight w:val="none"/>
              </w:rPr>
            </w:pPr>
            <w:r>
              <w:rPr>
                <w:rFonts w:hint="eastAsia"/>
                <w:b/>
                <w:bCs/>
                <w:color w:val="auto"/>
                <w:kern w:val="0"/>
                <w:sz w:val="24"/>
                <w:highlight w:val="none"/>
                <w:lang w:val="en-US" w:eastAsia="zh-CN"/>
              </w:rPr>
              <w:t>5</w:t>
            </w:r>
            <w:r>
              <w:rPr>
                <w:b/>
                <w:bCs/>
                <w:color w:val="auto"/>
                <w:kern w:val="0"/>
                <w:sz w:val="24"/>
                <w:highlight w:val="none"/>
              </w:rPr>
              <w:t>、生态环境</w:t>
            </w:r>
          </w:p>
          <w:p>
            <w:pPr>
              <w:adjustRightInd w:val="0"/>
              <w:snapToGrid w:val="0"/>
              <w:spacing w:line="360" w:lineRule="auto"/>
              <w:ind w:firstLine="480" w:firstLineChars="200"/>
              <w:rPr>
                <w:rFonts w:ascii="宋体" w:hAnsi="宋体" w:cs="宋体"/>
                <w:color w:val="auto"/>
                <w:kern w:val="0"/>
                <w:szCs w:val="21"/>
                <w:highlight w:val="none"/>
              </w:rPr>
            </w:pPr>
            <w:r>
              <w:rPr>
                <w:color w:val="auto"/>
                <w:kern w:val="0"/>
                <w:sz w:val="24"/>
                <w:highlight w:val="none"/>
              </w:rPr>
              <w:t>本项目区域人为活动频繁，已不存在原生植被，植被为人工种植，项目周围无自然保护区</w:t>
            </w:r>
            <w:r>
              <w:rPr>
                <w:rFonts w:hint="eastAsia"/>
                <w:color w:val="auto"/>
                <w:kern w:val="0"/>
                <w:sz w:val="24"/>
                <w:highlight w:val="none"/>
                <w:lang w:val="en-US" w:eastAsia="zh-CN"/>
              </w:rPr>
              <w:t>和</w:t>
            </w:r>
            <w:r>
              <w:rPr>
                <w:color w:val="auto"/>
                <w:kern w:val="0"/>
                <w:sz w:val="24"/>
                <w:highlight w:val="none"/>
              </w:rPr>
              <w:t>风景名胜区，该区域及周围无有生态价值的植被，生物多样性程度较低。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3" w:type="pct"/>
            <w:noWrap w:val="0"/>
            <w:vAlign w:val="center"/>
          </w:tcPr>
          <w:p>
            <w:pPr>
              <w:pStyle w:val="19"/>
              <w:adjustRightInd w:val="0"/>
              <w:snapToGrid w:val="0"/>
              <w:spacing w:before="0" w:beforeAutospacing="0" w:after="0" w:afterAutospacing="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环境保护目标</w:t>
            </w:r>
          </w:p>
        </w:tc>
        <w:tc>
          <w:tcPr>
            <w:tcW w:w="4676" w:type="pct"/>
            <w:noWrap w:val="0"/>
            <w:vAlign w:val="center"/>
          </w:tcPr>
          <w:p>
            <w:pPr>
              <w:adjustRightInd w:val="0"/>
              <w:snapToGrid w:val="0"/>
              <w:spacing w:line="360" w:lineRule="auto"/>
              <w:ind w:firstLine="422" w:firstLineChars="200"/>
              <w:jc w:val="center"/>
              <w:rPr>
                <w:b/>
                <w:bCs/>
                <w:color w:val="auto"/>
                <w:kern w:val="0"/>
                <w:szCs w:val="21"/>
                <w:highlight w:val="none"/>
              </w:rPr>
            </w:pPr>
            <w:r>
              <w:rPr>
                <w:b/>
                <w:bCs/>
                <w:color w:val="auto"/>
                <w:kern w:val="0"/>
                <w:szCs w:val="21"/>
                <w:highlight w:val="none"/>
              </w:rPr>
              <w:t>表3-</w:t>
            </w:r>
            <w:r>
              <w:rPr>
                <w:rFonts w:hint="eastAsia"/>
                <w:b/>
                <w:bCs/>
                <w:color w:val="auto"/>
                <w:kern w:val="0"/>
                <w:szCs w:val="21"/>
                <w:highlight w:val="none"/>
              </w:rPr>
              <w:t xml:space="preserve">6 </w:t>
            </w:r>
            <w:r>
              <w:rPr>
                <w:b/>
                <w:bCs/>
                <w:color w:val="auto"/>
                <w:kern w:val="0"/>
                <w:szCs w:val="21"/>
                <w:highlight w:val="none"/>
              </w:rPr>
              <w:t xml:space="preserve"> 项目主要环境保护目标</w:t>
            </w:r>
          </w:p>
          <w:tbl>
            <w:tblPr>
              <w:tblStyle w:val="2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208"/>
              <w:gridCol w:w="958"/>
              <w:gridCol w:w="1009"/>
              <w:gridCol w:w="1101"/>
              <w:gridCol w:w="1101"/>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5" w:type="pct"/>
                  <w:noWrap w:val="0"/>
                  <w:vAlign w:val="center"/>
                </w:tcPr>
                <w:p>
                  <w:pPr>
                    <w:adjustRightInd w:val="0"/>
                    <w:snapToGrid w:val="0"/>
                    <w:jc w:val="center"/>
                    <w:rPr>
                      <w:b/>
                      <w:bCs/>
                      <w:color w:val="auto"/>
                      <w:kern w:val="0"/>
                      <w:szCs w:val="21"/>
                      <w:highlight w:val="none"/>
                    </w:rPr>
                  </w:pPr>
                  <w:r>
                    <w:rPr>
                      <w:b/>
                      <w:bCs/>
                      <w:color w:val="auto"/>
                      <w:szCs w:val="21"/>
                      <w:highlight w:val="none"/>
                    </w:rPr>
                    <w:t>环境要素</w:t>
                  </w:r>
                </w:p>
              </w:tc>
              <w:tc>
                <w:tcPr>
                  <w:tcW w:w="733" w:type="pct"/>
                  <w:noWrap w:val="0"/>
                  <w:vAlign w:val="center"/>
                </w:tcPr>
                <w:p>
                  <w:pPr>
                    <w:adjustRightInd w:val="0"/>
                    <w:snapToGrid w:val="0"/>
                    <w:jc w:val="center"/>
                    <w:rPr>
                      <w:b/>
                      <w:bCs/>
                      <w:color w:val="auto"/>
                      <w:kern w:val="0"/>
                      <w:szCs w:val="21"/>
                      <w:highlight w:val="none"/>
                    </w:rPr>
                  </w:pPr>
                  <w:r>
                    <w:rPr>
                      <w:b/>
                      <w:bCs/>
                      <w:color w:val="auto"/>
                      <w:szCs w:val="21"/>
                      <w:highlight w:val="none"/>
                    </w:rPr>
                    <w:t>保护目标名称</w:t>
                  </w:r>
                </w:p>
              </w:tc>
              <w:tc>
                <w:tcPr>
                  <w:tcW w:w="581" w:type="pct"/>
                  <w:noWrap w:val="0"/>
                  <w:vAlign w:val="center"/>
                </w:tcPr>
                <w:p>
                  <w:pPr>
                    <w:adjustRightInd w:val="0"/>
                    <w:snapToGrid w:val="0"/>
                    <w:jc w:val="center"/>
                    <w:rPr>
                      <w:b/>
                      <w:bCs/>
                      <w:color w:val="auto"/>
                      <w:kern w:val="0"/>
                      <w:szCs w:val="21"/>
                      <w:highlight w:val="none"/>
                    </w:rPr>
                  </w:pPr>
                  <w:r>
                    <w:rPr>
                      <w:b/>
                      <w:bCs/>
                      <w:color w:val="auto"/>
                      <w:szCs w:val="21"/>
                      <w:highlight w:val="none"/>
                    </w:rPr>
                    <w:t>性质</w:t>
                  </w:r>
                </w:p>
              </w:tc>
              <w:tc>
                <w:tcPr>
                  <w:tcW w:w="612" w:type="pct"/>
                  <w:noWrap w:val="0"/>
                  <w:vAlign w:val="center"/>
                </w:tcPr>
                <w:p>
                  <w:pPr>
                    <w:adjustRightInd w:val="0"/>
                    <w:snapToGrid w:val="0"/>
                    <w:jc w:val="center"/>
                    <w:rPr>
                      <w:b/>
                      <w:bCs/>
                      <w:color w:val="auto"/>
                      <w:kern w:val="0"/>
                      <w:szCs w:val="21"/>
                      <w:highlight w:val="none"/>
                    </w:rPr>
                  </w:pPr>
                  <w:r>
                    <w:rPr>
                      <w:b/>
                      <w:bCs/>
                      <w:color w:val="auto"/>
                      <w:szCs w:val="21"/>
                      <w:highlight w:val="none"/>
                    </w:rPr>
                    <w:t>方位</w:t>
                  </w:r>
                </w:p>
              </w:tc>
              <w:tc>
                <w:tcPr>
                  <w:tcW w:w="668" w:type="pct"/>
                  <w:noWrap w:val="0"/>
                  <w:vAlign w:val="center"/>
                </w:tcPr>
                <w:p>
                  <w:pPr>
                    <w:adjustRightInd w:val="0"/>
                    <w:snapToGrid w:val="0"/>
                    <w:jc w:val="center"/>
                    <w:rPr>
                      <w:rFonts w:hint="eastAsia"/>
                      <w:b/>
                      <w:bCs/>
                      <w:color w:val="auto"/>
                      <w:szCs w:val="21"/>
                      <w:highlight w:val="none"/>
                    </w:rPr>
                  </w:pPr>
                  <w:r>
                    <w:rPr>
                      <w:b/>
                      <w:bCs/>
                      <w:color w:val="auto"/>
                      <w:szCs w:val="21"/>
                      <w:highlight w:val="none"/>
                    </w:rPr>
                    <w:t>距离</w:t>
                  </w:r>
                  <w:r>
                    <w:rPr>
                      <w:rFonts w:hint="eastAsia"/>
                      <w:b/>
                      <w:bCs/>
                      <w:color w:val="auto"/>
                      <w:szCs w:val="21"/>
                      <w:highlight w:val="none"/>
                    </w:rPr>
                    <w:t>（m）</w:t>
                  </w:r>
                </w:p>
              </w:tc>
              <w:tc>
                <w:tcPr>
                  <w:tcW w:w="668" w:type="pct"/>
                  <w:noWrap w:val="0"/>
                  <w:vAlign w:val="center"/>
                </w:tcPr>
                <w:p>
                  <w:pPr>
                    <w:adjustRightInd w:val="0"/>
                    <w:snapToGrid w:val="0"/>
                    <w:jc w:val="center"/>
                    <w:rPr>
                      <w:rFonts w:hint="eastAsia"/>
                      <w:b/>
                      <w:bCs/>
                      <w:color w:val="auto"/>
                      <w:kern w:val="0"/>
                      <w:szCs w:val="21"/>
                      <w:highlight w:val="none"/>
                    </w:rPr>
                  </w:pPr>
                  <w:r>
                    <w:rPr>
                      <w:rFonts w:hint="eastAsia"/>
                      <w:b/>
                      <w:bCs/>
                      <w:color w:val="auto"/>
                      <w:szCs w:val="21"/>
                      <w:highlight w:val="none"/>
                    </w:rPr>
                    <w:t>规模</w:t>
                  </w:r>
                </w:p>
              </w:tc>
              <w:tc>
                <w:tcPr>
                  <w:tcW w:w="1210" w:type="pct"/>
                  <w:noWrap w:val="0"/>
                  <w:vAlign w:val="center"/>
                </w:tcPr>
                <w:p>
                  <w:pPr>
                    <w:adjustRightInd w:val="0"/>
                    <w:snapToGrid w:val="0"/>
                    <w:jc w:val="center"/>
                    <w:rPr>
                      <w:b/>
                      <w:bCs/>
                      <w:color w:val="auto"/>
                      <w:kern w:val="0"/>
                      <w:szCs w:val="21"/>
                      <w:highlight w:val="none"/>
                    </w:rPr>
                  </w:pPr>
                  <w:r>
                    <w:rPr>
                      <w:b/>
                      <w:bCs/>
                      <w:color w:val="auto"/>
                      <w:szCs w:val="21"/>
                      <w:highlight w:val="none"/>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restart"/>
                  <w:noWrap w:val="0"/>
                  <w:vAlign w:val="center"/>
                </w:tcPr>
                <w:p>
                  <w:pPr>
                    <w:adjustRightInd w:val="0"/>
                    <w:snapToGrid w:val="0"/>
                    <w:jc w:val="center"/>
                    <w:rPr>
                      <w:bCs/>
                      <w:color w:val="auto"/>
                      <w:kern w:val="0"/>
                      <w:szCs w:val="21"/>
                      <w:highlight w:val="none"/>
                    </w:rPr>
                  </w:pPr>
                  <w:r>
                    <w:rPr>
                      <w:bCs/>
                      <w:color w:val="auto"/>
                      <w:kern w:val="0"/>
                      <w:szCs w:val="21"/>
                      <w:highlight w:val="none"/>
                    </w:rPr>
                    <w:t>大气环境</w:t>
                  </w:r>
                </w:p>
              </w:tc>
              <w:tc>
                <w:tcPr>
                  <w:tcW w:w="733"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柳林中学</w:t>
                  </w:r>
                </w:p>
              </w:tc>
              <w:tc>
                <w:tcPr>
                  <w:tcW w:w="581"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学校</w:t>
                  </w:r>
                </w:p>
              </w:tc>
              <w:tc>
                <w:tcPr>
                  <w:tcW w:w="612"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北侧</w:t>
                  </w:r>
                </w:p>
              </w:tc>
              <w:tc>
                <w:tcPr>
                  <w:tcW w:w="668"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36</w:t>
                  </w:r>
                </w:p>
              </w:tc>
              <w:tc>
                <w:tcPr>
                  <w:tcW w:w="668" w:type="pct"/>
                  <w:noWrap w:val="0"/>
                  <w:vAlign w:val="center"/>
                </w:tcPr>
                <w:p>
                  <w:pPr>
                    <w:adjustRightInd w:val="0"/>
                    <w:snapToGrid w:val="0"/>
                    <w:jc w:val="center"/>
                    <w:rPr>
                      <w:bCs/>
                      <w:color w:val="auto"/>
                      <w:kern w:val="0"/>
                      <w:szCs w:val="21"/>
                      <w:highlight w:val="none"/>
                    </w:rPr>
                  </w:pPr>
                  <w:r>
                    <w:rPr>
                      <w:rFonts w:hint="eastAsia" w:eastAsia="宋体"/>
                      <w:color w:val="auto"/>
                      <w:kern w:val="0"/>
                      <w:sz w:val="21"/>
                      <w:szCs w:val="21"/>
                      <w:highlight w:val="none"/>
                      <w:lang w:val="en-US" w:eastAsia="zh-CN" w:bidi="ar-SA"/>
                    </w:rPr>
                    <w:t>约1000人</w:t>
                  </w:r>
                </w:p>
              </w:tc>
              <w:tc>
                <w:tcPr>
                  <w:tcW w:w="1210" w:type="pct"/>
                  <w:vMerge w:val="restart"/>
                  <w:noWrap w:val="0"/>
                  <w:vAlign w:val="center"/>
                </w:tcPr>
                <w:p>
                  <w:pPr>
                    <w:adjustRightInd w:val="0"/>
                    <w:snapToGrid w:val="0"/>
                    <w:jc w:val="center"/>
                    <w:rPr>
                      <w:bCs/>
                      <w:color w:val="auto"/>
                      <w:kern w:val="0"/>
                      <w:szCs w:val="21"/>
                      <w:highlight w:val="none"/>
                    </w:rPr>
                  </w:pPr>
                  <w:r>
                    <w:rPr>
                      <w:color w:val="auto"/>
                      <w:szCs w:val="21"/>
                      <w:highlight w:val="none"/>
                    </w:rPr>
                    <w:t>《环境空气质量》(GB3095-2012)二级标准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noWrap w:val="0"/>
                  <w:vAlign w:val="center"/>
                </w:tcPr>
                <w:p>
                  <w:pPr>
                    <w:adjustRightInd w:val="0"/>
                    <w:snapToGrid w:val="0"/>
                    <w:jc w:val="center"/>
                    <w:rPr>
                      <w:bCs/>
                      <w:color w:val="auto"/>
                      <w:kern w:val="0"/>
                      <w:szCs w:val="21"/>
                      <w:highlight w:val="none"/>
                    </w:rPr>
                  </w:pPr>
                </w:p>
              </w:tc>
              <w:tc>
                <w:tcPr>
                  <w:tcW w:w="733"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柳林镇场镇</w:t>
                  </w:r>
                </w:p>
              </w:tc>
              <w:tc>
                <w:tcPr>
                  <w:tcW w:w="581"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场镇人群聚集地</w:t>
                  </w:r>
                </w:p>
              </w:tc>
              <w:tc>
                <w:tcPr>
                  <w:tcW w:w="612"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北侧、西侧</w:t>
                  </w:r>
                </w:p>
              </w:tc>
              <w:tc>
                <w:tcPr>
                  <w:tcW w:w="668"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10</w:t>
                  </w:r>
                </w:p>
              </w:tc>
              <w:tc>
                <w:tcPr>
                  <w:tcW w:w="668" w:type="pct"/>
                  <w:noWrap w:val="0"/>
                  <w:vAlign w:val="center"/>
                </w:tcPr>
                <w:p>
                  <w:pPr>
                    <w:adjustRightInd w:val="0"/>
                    <w:snapToGrid w:val="0"/>
                    <w:jc w:val="center"/>
                    <w:rPr>
                      <w:rFonts w:hint="default" w:eastAsia="宋体"/>
                      <w:bCs/>
                      <w:color w:val="auto"/>
                      <w:kern w:val="0"/>
                      <w:szCs w:val="21"/>
                      <w:highlight w:val="none"/>
                      <w:lang w:val="en-US" w:eastAsia="zh-CN"/>
                    </w:rPr>
                  </w:pPr>
                  <w:r>
                    <w:rPr>
                      <w:rFonts w:hint="eastAsia" w:eastAsia="宋体"/>
                      <w:bCs/>
                      <w:color w:val="auto"/>
                      <w:kern w:val="0"/>
                      <w:szCs w:val="21"/>
                      <w:highlight w:val="none"/>
                      <w:lang w:val="en-US" w:eastAsia="zh-CN"/>
                    </w:rPr>
                    <w:t>约7000人</w:t>
                  </w:r>
                </w:p>
              </w:tc>
              <w:tc>
                <w:tcPr>
                  <w:tcW w:w="1210"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noWrap w:val="0"/>
                  <w:vAlign w:val="center"/>
                </w:tcPr>
                <w:p>
                  <w:pPr>
                    <w:adjustRightInd w:val="0"/>
                    <w:snapToGrid w:val="0"/>
                    <w:jc w:val="center"/>
                    <w:rPr>
                      <w:bCs/>
                      <w:color w:val="auto"/>
                      <w:kern w:val="0"/>
                      <w:szCs w:val="21"/>
                      <w:highlight w:val="none"/>
                    </w:rPr>
                  </w:pPr>
                </w:p>
              </w:tc>
              <w:tc>
                <w:tcPr>
                  <w:tcW w:w="733" w:type="pct"/>
                  <w:noWrap w:val="0"/>
                  <w:vAlign w:val="center"/>
                </w:tcPr>
                <w:p>
                  <w:pPr>
                    <w:adjustRightInd w:val="0"/>
                    <w:snapToGrid w:val="0"/>
                    <w:jc w:val="center"/>
                    <w:rPr>
                      <w:rFonts w:hint="eastAsia"/>
                      <w:color w:val="auto"/>
                      <w:kern w:val="0"/>
                      <w:szCs w:val="21"/>
                      <w:highlight w:val="none"/>
                      <w:lang w:val="en-US" w:eastAsia="zh-CN"/>
                    </w:rPr>
                  </w:pPr>
                  <w:r>
                    <w:rPr>
                      <w:rFonts w:hint="eastAsia"/>
                      <w:color w:val="auto"/>
                      <w:kern w:val="0"/>
                      <w:szCs w:val="21"/>
                      <w:highlight w:val="none"/>
                      <w:lang w:val="en-US" w:eastAsia="zh-CN"/>
                    </w:rPr>
                    <w:t>柳林镇食品药品监管所</w:t>
                  </w:r>
                </w:p>
              </w:tc>
              <w:tc>
                <w:tcPr>
                  <w:tcW w:w="581" w:type="pct"/>
                  <w:noWrap w:val="0"/>
                  <w:vAlign w:val="center"/>
                </w:tcPr>
                <w:p>
                  <w:pPr>
                    <w:adjustRightInd w:val="0"/>
                    <w:snapToGrid w:val="0"/>
                    <w:jc w:val="center"/>
                    <w:rPr>
                      <w:rFonts w:hint="eastAsia" w:eastAsia="宋体"/>
                      <w:color w:val="auto"/>
                      <w:kern w:val="0"/>
                      <w:sz w:val="21"/>
                      <w:szCs w:val="21"/>
                      <w:highlight w:val="none"/>
                      <w:lang w:val="en-US" w:eastAsia="zh-CN" w:bidi="ar-SA"/>
                    </w:rPr>
                  </w:pPr>
                  <w:r>
                    <w:rPr>
                      <w:rFonts w:hint="eastAsia"/>
                      <w:color w:val="auto"/>
                      <w:kern w:val="0"/>
                      <w:szCs w:val="21"/>
                      <w:highlight w:val="none"/>
                      <w:lang w:val="en-US" w:eastAsia="zh-CN"/>
                    </w:rPr>
                    <w:t>机关单位</w:t>
                  </w:r>
                </w:p>
              </w:tc>
              <w:tc>
                <w:tcPr>
                  <w:tcW w:w="612"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东北侧</w:t>
                  </w:r>
                </w:p>
              </w:tc>
              <w:tc>
                <w:tcPr>
                  <w:tcW w:w="668"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326</w:t>
                  </w:r>
                </w:p>
              </w:tc>
              <w:tc>
                <w:tcPr>
                  <w:tcW w:w="668" w:type="pct"/>
                  <w:noWrap w:val="0"/>
                  <w:vAlign w:val="center"/>
                </w:tcPr>
                <w:p>
                  <w:pPr>
                    <w:adjustRightInd w:val="0"/>
                    <w:snapToGrid w:val="0"/>
                    <w:jc w:val="center"/>
                    <w:rPr>
                      <w:rFonts w:hint="default" w:eastAsia="宋体"/>
                      <w:bCs/>
                      <w:color w:val="auto"/>
                      <w:kern w:val="0"/>
                      <w:szCs w:val="21"/>
                      <w:highlight w:val="none"/>
                      <w:lang w:val="en-US" w:eastAsia="zh-CN"/>
                    </w:rPr>
                  </w:pPr>
                  <w:r>
                    <w:rPr>
                      <w:rFonts w:hint="eastAsia" w:eastAsia="宋体"/>
                      <w:bCs/>
                      <w:color w:val="auto"/>
                      <w:kern w:val="0"/>
                      <w:szCs w:val="21"/>
                      <w:highlight w:val="none"/>
                      <w:lang w:val="en-US" w:eastAsia="zh-CN"/>
                    </w:rPr>
                    <w:t>约50人</w:t>
                  </w:r>
                </w:p>
              </w:tc>
              <w:tc>
                <w:tcPr>
                  <w:tcW w:w="1210"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noWrap w:val="0"/>
                  <w:vAlign w:val="center"/>
                </w:tcPr>
                <w:p>
                  <w:pPr>
                    <w:adjustRightInd w:val="0"/>
                    <w:snapToGrid w:val="0"/>
                    <w:jc w:val="center"/>
                    <w:rPr>
                      <w:bCs/>
                      <w:color w:val="auto"/>
                      <w:kern w:val="0"/>
                      <w:szCs w:val="21"/>
                      <w:highlight w:val="none"/>
                    </w:rPr>
                  </w:pPr>
                </w:p>
              </w:tc>
              <w:tc>
                <w:tcPr>
                  <w:tcW w:w="733"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居民</w:t>
                  </w:r>
                </w:p>
              </w:tc>
              <w:tc>
                <w:tcPr>
                  <w:tcW w:w="581"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居民聚集地</w:t>
                  </w:r>
                </w:p>
              </w:tc>
              <w:tc>
                <w:tcPr>
                  <w:tcW w:w="612"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西南侧</w:t>
                  </w:r>
                </w:p>
              </w:tc>
              <w:tc>
                <w:tcPr>
                  <w:tcW w:w="668"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291</w:t>
                  </w:r>
                </w:p>
              </w:tc>
              <w:tc>
                <w:tcPr>
                  <w:tcW w:w="668" w:type="pct"/>
                  <w:noWrap w:val="0"/>
                  <w:vAlign w:val="center"/>
                </w:tcPr>
                <w:p>
                  <w:pPr>
                    <w:adjustRightInd w:val="0"/>
                    <w:snapToGrid w:val="0"/>
                    <w:jc w:val="center"/>
                    <w:rPr>
                      <w:rFonts w:hint="default" w:eastAsia="宋体"/>
                      <w:bCs/>
                      <w:color w:val="auto"/>
                      <w:kern w:val="0"/>
                      <w:szCs w:val="21"/>
                      <w:highlight w:val="none"/>
                      <w:lang w:val="en-US" w:eastAsia="zh-CN"/>
                    </w:rPr>
                  </w:pPr>
                  <w:r>
                    <w:rPr>
                      <w:rFonts w:hint="eastAsia" w:eastAsia="宋体"/>
                      <w:bCs/>
                      <w:color w:val="auto"/>
                      <w:kern w:val="0"/>
                      <w:szCs w:val="21"/>
                      <w:highlight w:val="none"/>
                      <w:lang w:val="en-US" w:eastAsia="zh-CN"/>
                    </w:rPr>
                    <w:t>约9户27人</w:t>
                  </w:r>
                </w:p>
              </w:tc>
              <w:tc>
                <w:tcPr>
                  <w:tcW w:w="1210"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noWrap w:val="0"/>
                  <w:vAlign w:val="center"/>
                </w:tcPr>
                <w:p>
                  <w:pPr>
                    <w:adjustRightInd w:val="0"/>
                    <w:snapToGrid w:val="0"/>
                    <w:jc w:val="center"/>
                    <w:rPr>
                      <w:bCs/>
                      <w:color w:val="auto"/>
                      <w:kern w:val="0"/>
                      <w:szCs w:val="21"/>
                      <w:highlight w:val="none"/>
                    </w:rPr>
                  </w:pPr>
                </w:p>
              </w:tc>
              <w:tc>
                <w:tcPr>
                  <w:tcW w:w="733"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居民</w:t>
                  </w:r>
                </w:p>
              </w:tc>
              <w:tc>
                <w:tcPr>
                  <w:tcW w:w="581"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居民聚集地</w:t>
                  </w:r>
                </w:p>
              </w:tc>
              <w:tc>
                <w:tcPr>
                  <w:tcW w:w="612"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西南侧</w:t>
                  </w:r>
                </w:p>
              </w:tc>
              <w:tc>
                <w:tcPr>
                  <w:tcW w:w="668"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364</w:t>
                  </w:r>
                </w:p>
              </w:tc>
              <w:tc>
                <w:tcPr>
                  <w:tcW w:w="668" w:type="pct"/>
                  <w:noWrap w:val="0"/>
                  <w:vAlign w:val="center"/>
                </w:tcPr>
                <w:p>
                  <w:pPr>
                    <w:adjustRightInd w:val="0"/>
                    <w:snapToGrid w:val="0"/>
                    <w:jc w:val="center"/>
                    <w:rPr>
                      <w:rFonts w:hint="default" w:ascii="Times New Roman" w:hAnsi="Times New Roman" w:eastAsia="宋体"/>
                      <w:bCs/>
                      <w:color w:val="auto"/>
                      <w:kern w:val="0"/>
                      <w:sz w:val="21"/>
                      <w:szCs w:val="21"/>
                      <w:highlight w:val="none"/>
                      <w:lang w:val="en-US" w:eastAsia="zh-CN" w:bidi="ar-SA"/>
                    </w:rPr>
                  </w:pPr>
                  <w:r>
                    <w:rPr>
                      <w:rFonts w:hint="eastAsia" w:eastAsia="宋体"/>
                      <w:bCs/>
                      <w:color w:val="auto"/>
                      <w:kern w:val="0"/>
                      <w:szCs w:val="21"/>
                      <w:highlight w:val="none"/>
                      <w:lang w:val="en-US" w:eastAsia="zh-CN"/>
                    </w:rPr>
                    <w:t>约8户24人</w:t>
                  </w:r>
                </w:p>
              </w:tc>
              <w:tc>
                <w:tcPr>
                  <w:tcW w:w="1210"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noWrap w:val="0"/>
                  <w:vAlign w:val="center"/>
                </w:tcPr>
                <w:p>
                  <w:pPr>
                    <w:adjustRightInd w:val="0"/>
                    <w:snapToGrid w:val="0"/>
                    <w:jc w:val="center"/>
                    <w:rPr>
                      <w:bCs/>
                      <w:color w:val="auto"/>
                      <w:kern w:val="0"/>
                      <w:szCs w:val="21"/>
                      <w:highlight w:val="none"/>
                    </w:rPr>
                  </w:pPr>
                </w:p>
              </w:tc>
              <w:tc>
                <w:tcPr>
                  <w:tcW w:w="733"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居民</w:t>
                  </w:r>
                </w:p>
              </w:tc>
              <w:tc>
                <w:tcPr>
                  <w:tcW w:w="581"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居民聚集地</w:t>
                  </w:r>
                </w:p>
              </w:tc>
              <w:tc>
                <w:tcPr>
                  <w:tcW w:w="612"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西南侧</w:t>
                  </w:r>
                </w:p>
              </w:tc>
              <w:tc>
                <w:tcPr>
                  <w:tcW w:w="668"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492</w:t>
                  </w:r>
                </w:p>
              </w:tc>
              <w:tc>
                <w:tcPr>
                  <w:tcW w:w="668" w:type="pct"/>
                  <w:noWrap w:val="0"/>
                  <w:vAlign w:val="center"/>
                </w:tcPr>
                <w:p>
                  <w:pPr>
                    <w:adjustRightInd w:val="0"/>
                    <w:snapToGrid w:val="0"/>
                    <w:jc w:val="center"/>
                    <w:rPr>
                      <w:rFonts w:hint="default" w:eastAsia="宋体"/>
                      <w:bCs/>
                      <w:color w:val="auto"/>
                      <w:kern w:val="0"/>
                      <w:szCs w:val="21"/>
                      <w:highlight w:val="none"/>
                      <w:lang w:val="en-US" w:eastAsia="zh-CN"/>
                    </w:rPr>
                  </w:pPr>
                  <w:r>
                    <w:rPr>
                      <w:rFonts w:hint="eastAsia" w:eastAsia="宋体"/>
                      <w:bCs/>
                      <w:color w:val="auto"/>
                      <w:kern w:val="0"/>
                      <w:szCs w:val="21"/>
                      <w:highlight w:val="none"/>
                      <w:lang w:val="en-US" w:eastAsia="zh-CN"/>
                    </w:rPr>
                    <w:t>约16户48人</w:t>
                  </w:r>
                </w:p>
              </w:tc>
              <w:tc>
                <w:tcPr>
                  <w:tcW w:w="1210"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noWrap w:val="0"/>
                  <w:vAlign w:val="center"/>
                </w:tcPr>
                <w:p>
                  <w:pPr>
                    <w:adjustRightInd w:val="0"/>
                    <w:snapToGrid w:val="0"/>
                    <w:jc w:val="center"/>
                    <w:rPr>
                      <w:bCs/>
                      <w:color w:val="auto"/>
                      <w:kern w:val="0"/>
                      <w:szCs w:val="21"/>
                      <w:highlight w:val="none"/>
                    </w:rPr>
                  </w:pPr>
                </w:p>
              </w:tc>
              <w:tc>
                <w:tcPr>
                  <w:tcW w:w="733"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居民</w:t>
                  </w:r>
                </w:p>
              </w:tc>
              <w:tc>
                <w:tcPr>
                  <w:tcW w:w="581"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零散居民</w:t>
                  </w:r>
                </w:p>
              </w:tc>
              <w:tc>
                <w:tcPr>
                  <w:tcW w:w="612"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西南侧</w:t>
                  </w:r>
                </w:p>
              </w:tc>
              <w:tc>
                <w:tcPr>
                  <w:tcW w:w="668"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377</w:t>
                  </w:r>
                </w:p>
              </w:tc>
              <w:tc>
                <w:tcPr>
                  <w:tcW w:w="668" w:type="pct"/>
                  <w:noWrap w:val="0"/>
                  <w:vAlign w:val="center"/>
                </w:tcPr>
                <w:p>
                  <w:pPr>
                    <w:adjustRightInd w:val="0"/>
                    <w:snapToGrid w:val="0"/>
                    <w:jc w:val="center"/>
                    <w:rPr>
                      <w:rFonts w:hint="default" w:eastAsia="宋体"/>
                      <w:bCs/>
                      <w:color w:val="auto"/>
                      <w:kern w:val="0"/>
                      <w:szCs w:val="21"/>
                      <w:highlight w:val="none"/>
                      <w:lang w:val="en-US" w:eastAsia="zh-CN"/>
                    </w:rPr>
                  </w:pPr>
                  <w:r>
                    <w:rPr>
                      <w:rFonts w:hint="eastAsia" w:eastAsia="宋体"/>
                      <w:bCs/>
                      <w:color w:val="auto"/>
                      <w:kern w:val="0"/>
                      <w:szCs w:val="21"/>
                      <w:highlight w:val="none"/>
                      <w:lang w:val="en-US" w:eastAsia="zh-CN"/>
                    </w:rPr>
                    <w:t>约1户3人</w:t>
                  </w:r>
                </w:p>
              </w:tc>
              <w:tc>
                <w:tcPr>
                  <w:tcW w:w="1210"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noWrap w:val="0"/>
                  <w:vAlign w:val="center"/>
                </w:tcPr>
                <w:p>
                  <w:pPr>
                    <w:adjustRightInd w:val="0"/>
                    <w:snapToGrid w:val="0"/>
                    <w:jc w:val="center"/>
                    <w:rPr>
                      <w:bCs/>
                      <w:color w:val="auto"/>
                      <w:kern w:val="0"/>
                      <w:szCs w:val="21"/>
                      <w:highlight w:val="none"/>
                    </w:rPr>
                  </w:pPr>
                </w:p>
              </w:tc>
              <w:tc>
                <w:tcPr>
                  <w:tcW w:w="733" w:type="pct"/>
                  <w:noWrap w:val="0"/>
                  <w:vAlign w:val="center"/>
                </w:tcPr>
                <w:p>
                  <w:pPr>
                    <w:adjustRightInd w:val="0"/>
                    <w:snapToGrid w:val="0"/>
                    <w:jc w:val="center"/>
                    <w:rPr>
                      <w:rFonts w:hint="eastAsia"/>
                      <w:color w:val="auto"/>
                      <w:kern w:val="0"/>
                      <w:szCs w:val="21"/>
                      <w:highlight w:val="none"/>
                      <w:lang w:val="en-US" w:eastAsia="zh-CN"/>
                    </w:rPr>
                  </w:pPr>
                  <w:r>
                    <w:rPr>
                      <w:rFonts w:hint="eastAsia"/>
                      <w:color w:val="auto"/>
                      <w:kern w:val="0"/>
                      <w:szCs w:val="21"/>
                      <w:highlight w:val="none"/>
                      <w:lang w:val="en-US" w:eastAsia="zh-CN"/>
                    </w:rPr>
                    <w:t>柳林镇工商所办公处</w:t>
                  </w:r>
                </w:p>
              </w:tc>
              <w:tc>
                <w:tcPr>
                  <w:tcW w:w="581" w:type="pct"/>
                  <w:noWrap w:val="0"/>
                  <w:vAlign w:val="center"/>
                </w:tcPr>
                <w:p>
                  <w:pPr>
                    <w:adjustRightInd w:val="0"/>
                    <w:snapToGrid w:val="0"/>
                    <w:jc w:val="center"/>
                    <w:rPr>
                      <w:rFonts w:hint="eastAsia" w:eastAsia="宋体"/>
                      <w:color w:val="auto"/>
                      <w:kern w:val="0"/>
                      <w:sz w:val="21"/>
                      <w:szCs w:val="21"/>
                      <w:highlight w:val="none"/>
                      <w:lang w:val="en-US" w:eastAsia="zh-CN" w:bidi="ar-SA"/>
                    </w:rPr>
                  </w:pPr>
                  <w:r>
                    <w:rPr>
                      <w:rFonts w:hint="eastAsia"/>
                      <w:color w:val="auto"/>
                      <w:kern w:val="0"/>
                      <w:szCs w:val="21"/>
                      <w:highlight w:val="none"/>
                      <w:lang w:val="en-US" w:eastAsia="zh-CN"/>
                    </w:rPr>
                    <w:t>机关单位</w:t>
                  </w:r>
                </w:p>
              </w:tc>
              <w:tc>
                <w:tcPr>
                  <w:tcW w:w="612"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西南侧</w:t>
                  </w:r>
                </w:p>
              </w:tc>
              <w:tc>
                <w:tcPr>
                  <w:tcW w:w="668"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242</w:t>
                  </w:r>
                </w:p>
              </w:tc>
              <w:tc>
                <w:tcPr>
                  <w:tcW w:w="668" w:type="pct"/>
                  <w:noWrap w:val="0"/>
                  <w:vAlign w:val="center"/>
                </w:tcPr>
                <w:p>
                  <w:pPr>
                    <w:adjustRightInd w:val="0"/>
                    <w:snapToGrid w:val="0"/>
                    <w:jc w:val="center"/>
                    <w:rPr>
                      <w:rFonts w:hint="default" w:eastAsia="宋体"/>
                      <w:bCs/>
                      <w:color w:val="auto"/>
                      <w:kern w:val="0"/>
                      <w:szCs w:val="21"/>
                      <w:highlight w:val="none"/>
                      <w:lang w:val="en-US" w:eastAsia="zh-CN"/>
                    </w:rPr>
                  </w:pPr>
                  <w:r>
                    <w:rPr>
                      <w:rFonts w:hint="eastAsia" w:eastAsia="宋体"/>
                      <w:bCs/>
                      <w:color w:val="auto"/>
                      <w:kern w:val="0"/>
                      <w:szCs w:val="21"/>
                      <w:highlight w:val="none"/>
                      <w:lang w:val="en-US" w:eastAsia="zh-CN"/>
                    </w:rPr>
                    <w:t>约30人</w:t>
                  </w:r>
                </w:p>
              </w:tc>
              <w:tc>
                <w:tcPr>
                  <w:tcW w:w="1210"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noWrap w:val="0"/>
                  <w:vAlign w:val="center"/>
                </w:tcPr>
                <w:p>
                  <w:pPr>
                    <w:adjustRightInd w:val="0"/>
                    <w:snapToGrid w:val="0"/>
                    <w:jc w:val="center"/>
                    <w:rPr>
                      <w:bCs/>
                      <w:color w:val="auto"/>
                      <w:kern w:val="0"/>
                      <w:szCs w:val="21"/>
                      <w:highlight w:val="none"/>
                    </w:rPr>
                  </w:pPr>
                </w:p>
              </w:tc>
              <w:tc>
                <w:tcPr>
                  <w:tcW w:w="733"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居民</w:t>
                  </w:r>
                </w:p>
              </w:tc>
              <w:tc>
                <w:tcPr>
                  <w:tcW w:w="581"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居民聚集地</w:t>
                  </w:r>
                </w:p>
              </w:tc>
              <w:tc>
                <w:tcPr>
                  <w:tcW w:w="612"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西侧</w:t>
                  </w:r>
                </w:p>
              </w:tc>
              <w:tc>
                <w:tcPr>
                  <w:tcW w:w="668"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120</w:t>
                  </w:r>
                </w:p>
              </w:tc>
              <w:tc>
                <w:tcPr>
                  <w:tcW w:w="668" w:type="pct"/>
                  <w:noWrap w:val="0"/>
                  <w:vAlign w:val="center"/>
                </w:tcPr>
                <w:p>
                  <w:pPr>
                    <w:adjustRightInd w:val="0"/>
                    <w:snapToGrid w:val="0"/>
                    <w:jc w:val="center"/>
                    <w:rPr>
                      <w:rFonts w:hint="default" w:eastAsia="宋体"/>
                      <w:bCs/>
                      <w:color w:val="auto"/>
                      <w:kern w:val="0"/>
                      <w:szCs w:val="21"/>
                      <w:highlight w:val="none"/>
                      <w:lang w:val="en-US" w:eastAsia="zh-CN"/>
                    </w:rPr>
                  </w:pPr>
                  <w:r>
                    <w:rPr>
                      <w:rFonts w:hint="eastAsia" w:eastAsia="宋体"/>
                      <w:bCs/>
                      <w:color w:val="auto"/>
                      <w:kern w:val="0"/>
                      <w:szCs w:val="21"/>
                      <w:highlight w:val="none"/>
                      <w:lang w:val="en-US" w:eastAsia="zh-CN"/>
                    </w:rPr>
                    <w:t>约40户120人</w:t>
                  </w:r>
                </w:p>
              </w:tc>
              <w:tc>
                <w:tcPr>
                  <w:tcW w:w="1210"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noWrap w:val="0"/>
                  <w:vAlign w:val="center"/>
                </w:tcPr>
                <w:p>
                  <w:pPr>
                    <w:adjustRightInd w:val="0"/>
                    <w:snapToGrid w:val="0"/>
                    <w:jc w:val="center"/>
                    <w:rPr>
                      <w:bCs/>
                      <w:color w:val="auto"/>
                      <w:kern w:val="0"/>
                      <w:szCs w:val="21"/>
                      <w:highlight w:val="none"/>
                    </w:rPr>
                  </w:pPr>
                </w:p>
              </w:tc>
              <w:tc>
                <w:tcPr>
                  <w:tcW w:w="733" w:type="pct"/>
                  <w:noWrap w:val="0"/>
                  <w:vAlign w:val="center"/>
                </w:tcPr>
                <w:p>
                  <w:pPr>
                    <w:adjustRightInd w:val="0"/>
                    <w:snapToGrid w:val="0"/>
                    <w:jc w:val="center"/>
                    <w:rPr>
                      <w:rFonts w:hint="eastAsia"/>
                      <w:color w:val="auto"/>
                      <w:kern w:val="0"/>
                      <w:sz w:val="21"/>
                      <w:szCs w:val="21"/>
                      <w:highlight w:val="none"/>
                      <w:lang w:val="en-US" w:eastAsia="zh-CN" w:bidi="ar-SA"/>
                    </w:rPr>
                  </w:pPr>
                  <w:r>
                    <w:rPr>
                      <w:rFonts w:hint="eastAsia"/>
                      <w:color w:val="auto"/>
                      <w:kern w:val="0"/>
                      <w:szCs w:val="21"/>
                      <w:highlight w:val="none"/>
                      <w:lang w:val="en-US" w:eastAsia="zh-CN"/>
                    </w:rPr>
                    <w:t>柳林小学</w:t>
                  </w:r>
                </w:p>
              </w:tc>
              <w:tc>
                <w:tcPr>
                  <w:tcW w:w="581" w:type="pct"/>
                  <w:noWrap w:val="0"/>
                  <w:vAlign w:val="center"/>
                </w:tcPr>
                <w:p>
                  <w:pPr>
                    <w:adjustRightInd w:val="0"/>
                    <w:snapToGrid w:val="0"/>
                    <w:jc w:val="center"/>
                    <w:rPr>
                      <w:rFonts w:hint="default"/>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学校</w:t>
                  </w:r>
                </w:p>
              </w:tc>
              <w:tc>
                <w:tcPr>
                  <w:tcW w:w="612"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西北侧</w:t>
                  </w:r>
                </w:p>
              </w:tc>
              <w:tc>
                <w:tcPr>
                  <w:tcW w:w="668"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397</w:t>
                  </w:r>
                </w:p>
              </w:tc>
              <w:tc>
                <w:tcPr>
                  <w:tcW w:w="668" w:type="pct"/>
                  <w:noWrap w:val="0"/>
                  <w:vAlign w:val="center"/>
                </w:tcPr>
                <w:p>
                  <w:pPr>
                    <w:adjustRightInd w:val="0"/>
                    <w:snapToGrid w:val="0"/>
                    <w:jc w:val="center"/>
                    <w:rPr>
                      <w:rFonts w:hint="default"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约500人</w:t>
                  </w:r>
                </w:p>
              </w:tc>
              <w:tc>
                <w:tcPr>
                  <w:tcW w:w="1210"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restart"/>
                  <w:noWrap w:val="0"/>
                  <w:vAlign w:val="center"/>
                </w:tcPr>
                <w:p>
                  <w:pPr>
                    <w:adjustRightInd w:val="0"/>
                    <w:snapToGrid w:val="0"/>
                    <w:jc w:val="center"/>
                    <w:rPr>
                      <w:bCs/>
                      <w:color w:val="auto"/>
                      <w:kern w:val="0"/>
                      <w:szCs w:val="21"/>
                      <w:highlight w:val="none"/>
                    </w:rPr>
                  </w:pPr>
                  <w:r>
                    <w:rPr>
                      <w:bCs/>
                      <w:color w:val="auto"/>
                      <w:kern w:val="0"/>
                      <w:szCs w:val="21"/>
                      <w:highlight w:val="none"/>
                    </w:rPr>
                    <w:t>声环境</w:t>
                  </w:r>
                </w:p>
              </w:tc>
              <w:tc>
                <w:tcPr>
                  <w:tcW w:w="733"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柳林中学</w:t>
                  </w:r>
                </w:p>
              </w:tc>
              <w:tc>
                <w:tcPr>
                  <w:tcW w:w="581"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学校</w:t>
                  </w:r>
                </w:p>
              </w:tc>
              <w:tc>
                <w:tcPr>
                  <w:tcW w:w="612"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北侧</w:t>
                  </w:r>
                </w:p>
              </w:tc>
              <w:tc>
                <w:tcPr>
                  <w:tcW w:w="668"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36</w:t>
                  </w:r>
                </w:p>
              </w:tc>
              <w:tc>
                <w:tcPr>
                  <w:tcW w:w="668" w:type="pct"/>
                  <w:noWrap w:val="0"/>
                  <w:vAlign w:val="center"/>
                </w:tcPr>
                <w:p>
                  <w:pPr>
                    <w:adjustRightInd w:val="0"/>
                    <w:snapToGrid w:val="0"/>
                    <w:jc w:val="center"/>
                    <w:rPr>
                      <w:rFonts w:hint="eastAsia" w:ascii="Times New Roman" w:hAnsi="Times New Roman" w:eastAsia="宋体"/>
                      <w:bCs/>
                      <w:color w:val="auto"/>
                      <w:kern w:val="0"/>
                      <w:sz w:val="21"/>
                      <w:szCs w:val="21"/>
                      <w:highlight w:val="none"/>
                      <w:lang w:val="en-US" w:eastAsia="zh-CN" w:bidi="ar-SA"/>
                    </w:rPr>
                  </w:pPr>
                  <w:r>
                    <w:rPr>
                      <w:rFonts w:hint="eastAsia" w:eastAsia="宋体"/>
                      <w:color w:val="auto"/>
                      <w:kern w:val="0"/>
                      <w:sz w:val="21"/>
                      <w:szCs w:val="21"/>
                      <w:highlight w:val="none"/>
                      <w:lang w:val="en-US" w:eastAsia="zh-CN" w:bidi="ar-SA"/>
                    </w:rPr>
                    <w:t>约1000人</w:t>
                  </w:r>
                </w:p>
              </w:tc>
              <w:tc>
                <w:tcPr>
                  <w:tcW w:w="1210" w:type="pct"/>
                  <w:vMerge w:val="restart"/>
                  <w:noWrap w:val="0"/>
                  <w:vAlign w:val="center"/>
                </w:tcPr>
                <w:p>
                  <w:pPr>
                    <w:adjustRightInd w:val="0"/>
                    <w:snapToGrid w:val="0"/>
                    <w:jc w:val="center"/>
                    <w:rPr>
                      <w:rFonts w:hint="eastAsia"/>
                      <w:bCs/>
                      <w:color w:val="auto"/>
                      <w:kern w:val="0"/>
                      <w:szCs w:val="21"/>
                      <w:highlight w:val="none"/>
                    </w:rPr>
                  </w:pPr>
                  <w:r>
                    <w:rPr>
                      <w:rFonts w:hint="eastAsia"/>
                      <w:bCs/>
                      <w:color w:val="auto"/>
                      <w:kern w:val="0"/>
                      <w:szCs w:val="21"/>
                      <w:highlight w:val="none"/>
                    </w:rPr>
                    <w:t>《声环境质量标准》（GB3096-2008）</w:t>
                  </w:r>
                  <w:r>
                    <w:rPr>
                      <w:rFonts w:hint="eastAsia"/>
                      <w:bCs/>
                      <w:color w:val="auto"/>
                      <w:kern w:val="0"/>
                      <w:szCs w:val="21"/>
                      <w:highlight w:val="none"/>
                      <w:lang w:val="en-US" w:eastAsia="zh-CN"/>
                    </w:rPr>
                    <w:t>2</w:t>
                  </w:r>
                  <w:r>
                    <w:rPr>
                      <w:rFonts w:hint="eastAsia"/>
                      <w:bCs/>
                      <w:color w:val="auto"/>
                      <w:kern w:val="0"/>
                      <w:szCs w:val="21"/>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noWrap w:val="0"/>
                  <w:vAlign w:val="center"/>
                </w:tcPr>
                <w:p>
                  <w:pPr>
                    <w:adjustRightInd w:val="0"/>
                    <w:snapToGrid w:val="0"/>
                    <w:jc w:val="center"/>
                    <w:rPr>
                      <w:bCs/>
                      <w:color w:val="auto"/>
                      <w:kern w:val="0"/>
                      <w:szCs w:val="21"/>
                      <w:highlight w:val="none"/>
                    </w:rPr>
                  </w:pPr>
                </w:p>
              </w:tc>
              <w:tc>
                <w:tcPr>
                  <w:tcW w:w="733" w:type="pct"/>
                  <w:noWrap w:val="0"/>
                  <w:vAlign w:val="center"/>
                </w:tcPr>
                <w:p>
                  <w:pPr>
                    <w:adjustRightInd w:val="0"/>
                    <w:snapToGrid w:val="0"/>
                    <w:jc w:val="center"/>
                    <w:rPr>
                      <w:rFonts w:hint="eastAsia" w:ascii="Times New Roman" w:hAnsi="Times New Roman" w:eastAsia="宋体"/>
                      <w:bCs/>
                      <w:color w:val="auto"/>
                      <w:kern w:val="0"/>
                      <w:sz w:val="21"/>
                      <w:szCs w:val="21"/>
                      <w:highlight w:val="none"/>
                      <w:lang w:val="en-US" w:eastAsia="zh-CN" w:bidi="ar-SA"/>
                    </w:rPr>
                  </w:pPr>
                  <w:r>
                    <w:rPr>
                      <w:rFonts w:hint="eastAsia"/>
                      <w:color w:val="auto"/>
                      <w:kern w:val="0"/>
                      <w:szCs w:val="21"/>
                      <w:highlight w:val="none"/>
                      <w:lang w:val="en-US" w:eastAsia="zh-CN"/>
                    </w:rPr>
                    <w:t>居民</w:t>
                  </w:r>
                </w:p>
              </w:tc>
              <w:tc>
                <w:tcPr>
                  <w:tcW w:w="581" w:type="pct"/>
                  <w:noWrap w:val="0"/>
                  <w:vAlign w:val="center"/>
                </w:tcPr>
                <w:p>
                  <w:pPr>
                    <w:adjustRightInd w:val="0"/>
                    <w:snapToGrid w:val="0"/>
                    <w:jc w:val="center"/>
                    <w:rPr>
                      <w:rFonts w:hint="eastAsia" w:ascii="Times New Roman" w:hAnsi="Times New Roman" w:eastAsia="宋体"/>
                      <w:bCs/>
                      <w:color w:val="auto"/>
                      <w:kern w:val="0"/>
                      <w:sz w:val="21"/>
                      <w:szCs w:val="21"/>
                      <w:highlight w:val="none"/>
                      <w:lang w:val="en-US" w:eastAsia="zh-CN" w:bidi="ar-SA"/>
                    </w:rPr>
                  </w:pPr>
                  <w:r>
                    <w:rPr>
                      <w:rFonts w:hint="eastAsia"/>
                      <w:color w:val="auto"/>
                      <w:kern w:val="0"/>
                      <w:szCs w:val="21"/>
                      <w:highlight w:val="none"/>
                      <w:lang w:val="en-US" w:eastAsia="zh-CN"/>
                    </w:rPr>
                    <w:t>居民聚集地</w:t>
                  </w:r>
                </w:p>
              </w:tc>
              <w:tc>
                <w:tcPr>
                  <w:tcW w:w="612" w:type="pct"/>
                  <w:noWrap w:val="0"/>
                  <w:vAlign w:val="center"/>
                </w:tcPr>
                <w:p>
                  <w:pPr>
                    <w:adjustRightInd w:val="0"/>
                    <w:snapToGrid w:val="0"/>
                    <w:jc w:val="center"/>
                    <w:rPr>
                      <w:rFonts w:hint="eastAsia" w:ascii="Times New Roman" w:hAnsi="Times New Roman" w:eastAsia="宋体"/>
                      <w:bCs/>
                      <w:color w:val="auto"/>
                      <w:kern w:val="0"/>
                      <w:sz w:val="21"/>
                      <w:szCs w:val="21"/>
                      <w:highlight w:val="none"/>
                      <w:lang w:val="en-US" w:eastAsia="zh-CN" w:bidi="ar-SA"/>
                    </w:rPr>
                  </w:pPr>
                  <w:r>
                    <w:rPr>
                      <w:rFonts w:hint="eastAsia"/>
                      <w:bCs/>
                      <w:color w:val="auto"/>
                      <w:kern w:val="0"/>
                      <w:szCs w:val="21"/>
                      <w:highlight w:val="none"/>
                      <w:lang w:val="en-US" w:eastAsia="zh-CN"/>
                    </w:rPr>
                    <w:t>西侧</w:t>
                  </w:r>
                </w:p>
              </w:tc>
              <w:tc>
                <w:tcPr>
                  <w:tcW w:w="668" w:type="pct"/>
                  <w:noWrap w:val="0"/>
                  <w:vAlign w:val="center"/>
                </w:tcPr>
                <w:p>
                  <w:pPr>
                    <w:adjustRightInd w:val="0"/>
                    <w:snapToGrid w:val="0"/>
                    <w:jc w:val="center"/>
                    <w:rPr>
                      <w:rFonts w:hint="eastAsia" w:ascii="Times New Roman" w:hAnsi="Times New Roman" w:eastAsia="宋体"/>
                      <w:bCs/>
                      <w:color w:val="auto"/>
                      <w:kern w:val="0"/>
                      <w:sz w:val="21"/>
                      <w:szCs w:val="21"/>
                      <w:highlight w:val="none"/>
                      <w:lang w:val="en-US" w:eastAsia="zh-CN" w:bidi="ar-SA"/>
                    </w:rPr>
                  </w:pPr>
                  <w:r>
                    <w:rPr>
                      <w:rFonts w:hint="eastAsia"/>
                      <w:bCs/>
                      <w:color w:val="auto"/>
                      <w:kern w:val="0"/>
                      <w:szCs w:val="21"/>
                      <w:highlight w:val="none"/>
                      <w:lang w:val="en-US" w:eastAsia="zh-CN"/>
                    </w:rPr>
                    <w:t>10</w:t>
                  </w:r>
                </w:p>
              </w:tc>
              <w:tc>
                <w:tcPr>
                  <w:tcW w:w="668" w:type="pct"/>
                  <w:noWrap w:val="0"/>
                  <w:vAlign w:val="center"/>
                </w:tcPr>
                <w:p>
                  <w:pPr>
                    <w:adjustRightInd w:val="0"/>
                    <w:snapToGrid w:val="0"/>
                    <w:jc w:val="center"/>
                    <w:rPr>
                      <w:rFonts w:hint="eastAsia" w:ascii="Times New Roman" w:hAnsi="Times New Roman" w:eastAsia="宋体"/>
                      <w:bCs/>
                      <w:color w:val="auto"/>
                      <w:kern w:val="0"/>
                      <w:sz w:val="21"/>
                      <w:szCs w:val="21"/>
                      <w:highlight w:val="none"/>
                      <w:lang w:val="en-US" w:eastAsia="zh-CN" w:bidi="ar-SA"/>
                    </w:rPr>
                  </w:pPr>
                  <w:r>
                    <w:rPr>
                      <w:rFonts w:hint="eastAsia"/>
                      <w:bCs/>
                      <w:color w:val="auto"/>
                      <w:kern w:val="0"/>
                      <w:szCs w:val="21"/>
                      <w:highlight w:val="none"/>
                      <w:lang w:val="en-US" w:eastAsia="zh-CN"/>
                    </w:rPr>
                    <w:t>约300人</w:t>
                  </w:r>
                </w:p>
              </w:tc>
              <w:tc>
                <w:tcPr>
                  <w:tcW w:w="1210" w:type="pct"/>
                  <w:vMerge w:val="continue"/>
                  <w:noWrap w:val="0"/>
                  <w:vAlign w:val="center"/>
                </w:tcPr>
                <w:p>
                  <w:pPr>
                    <w:adjustRightInd w:val="0"/>
                    <w:snapToGrid w:val="0"/>
                    <w:jc w:val="center"/>
                    <w:rPr>
                      <w:rFonts w:hint="eastAsia"/>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noWrap w:val="0"/>
                  <w:vAlign w:val="center"/>
                </w:tcPr>
                <w:p>
                  <w:pPr>
                    <w:adjustRightInd w:val="0"/>
                    <w:snapToGrid w:val="0"/>
                    <w:jc w:val="center"/>
                    <w:rPr>
                      <w:bCs/>
                      <w:color w:val="auto"/>
                      <w:kern w:val="0"/>
                      <w:szCs w:val="21"/>
                      <w:highlight w:val="none"/>
                    </w:rPr>
                  </w:pPr>
                </w:p>
              </w:tc>
              <w:tc>
                <w:tcPr>
                  <w:tcW w:w="733" w:type="pct"/>
                  <w:noWrap w:val="0"/>
                  <w:vAlign w:val="center"/>
                </w:tcPr>
                <w:p>
                  <w:pPr>
                    <w:adjustRightInd w:val="0"/>
                    <w:snapToGrid w:val="0"/>
                    <w:jc w:val="center"/>
                    <w:rPr>
                      <w:bCs/>
                      <w:color w:val="auto"/>
                      <w:kern w:val="0"/>
                      <w:szCs w:val="21"/>
                      <w:highlight w:val="none"/>
                    </w:rPr>
                  </w:pPr>
                  <w:r>
                    <w:rPr>
                      <w:rFonts w:hint="eastAsia"/>
                      <w:color w:val="auto"/>
                      <w:kern w:val="0"/>
                      <w:szCs w:val="21"/>
                      <w:highlight w:val="none"/>
                      <w:lang w:val="en-US" w:eastAsia="zh-CN"/>
                    </w:rPr>
                    <w:t>居民</w:t>
                  </w:r>
                </w:p>
              </w:tc>
              <w:tc>
                <w:tcPr>
                  <w:tcW w:w="581" w:type="pct"/>
                  <w:noWrap w:val="0"/>
                  <w:vAlign w:val="center"/>
                </w:tcPr>
                <w:p>
                  <w:pPr>
                    <w:adjustRightInd w:val="0"/>
                    <w:snapToGrid w:val="0"/>
                    <w:jc w:val="center"/>
                    <w:rPr>
                      <w:bCs/>
                      <w:color w:val="auto"/>
                      <w:kern w:val="0"/>
                      <w:szCs w:val="21"/>
                      <w:highlight w:val="none"/>
                    </w:rPr>
                  </w:pPr>
                  <w:r>
                    <w:rPr>
                      <w:rFonts w:hint="eastAsia"/>
                      <w:color w:val="auto"/>
                      <w:kern w:val="0"/>
                      <w:szCs w:val="21"/>
                      <w:highlight w:val="none"/>
                      <w:lang w:val="en-US" w:eastAsia="zh-CN"/>
                    </w:rPr>
                    <w:t>居民聚集地</w:t>
                  </w:r>
                </w:p>
              </w:tc>
              <w:tc>
                <w:tcPr>
                  <w:tcW w:w="612" w:type="pct"/>
                  <w:noWrap w:val="0"/>
                  <w:vAlign w:val="center"/>
                </w:tcPr>
                <w:p>
                  <w:pPr>
                    <w:adjustRightInd w:val="0"/>
                    <w:snapToGrid w:val="0"/>
                    <w:jc w:val="center"/>
                    <w:rPr>
                      <w:rFonts w:hint="eastAsia" w:eastAsia="宋体"/>
                      <w:bCs/>
                      <w:color w:val="auto"/>
                      <w:kern w:val="0"/>
                      <w:szCs w:val="21"/>
                      <w:highlight w:val="none"/>
                      <w:lang w:val="en-US" w:eastAsia="zh-CN"/>
                    </w:rPr>
                  </w:pPr>
                  <w:r>
                    <w:rPr>
                      <w:rFonts w:hint="eastAsia"/>
                      <w:bCs/>
                      <w:color w:val="auto"/>
                      <w:kern w:val="0"/>
                      <w:szCs w:val="21"/>
                      <w:highlight w:val="none"/>
                      <w:lang w:val="en-US" w:eastAsia="zh-CN"/>
                    </w:rPr>
                    <w:t>西南侧</w:t>
                  </w:r>
                </w:p>
              </w:tc>
              <w:tc>
                <w:tcPr>
                  <w:tcW w:w="668" w:type="pct"/>
                  <w:noWrap w:val="0"/>
                  <w:vAlign w:val="center"/>
                </w:tcPr>
                <w:p>
                  <w:pPr>
                    <w:adjustRightInd w:val="0"/>
                    <w:snapToGrid w:val="0"/>
                    <w:jc w:val="center"/>
                    <w:rPr>
                      <w:rFonts w:hint="default" w:eastAsia="宋体"/>
                      <w:bCs/>
                      <w:color w:val="auto"/>
                      <w:kern w:val="0"/>
                      <w:szCs w:val="21"/>
                      <w:highlight w:val="none"/>
                      <w:lang w:val="en-US" w:eastAsia="zh-CN"/>
                    </w:rPr>
                  </w:pPr>
                  <w:r>
                    <w:rPr>
                      <w:rFonts w:hint="eastAsia"/>
                      <w:bCs/>
                      <w:color w:val="auto"/>
                      <w:kern w:val="0"/>
                      <w:szCs w:val="21"/>
                      <w:highlight w:val="none"/>
                      <w:lang w:val="en-US" w:eastAsia="zh-CN"/>
                    </w:rPr>
                    <w:t>41</w:t>
                  </w:r>
                </w:p>
              </w:tc>
              <w:tc>
                <w:tcPr>
                  <w:tcW w:w="668" w:type="pct"/>
                  <w:noWrap w:val="0"/>
                  <w:vAlign w:val="center"/>
                </w:tcPr>
                <w:p>
                  <w:pPr>
                    <w:adjustRightInd w:val="0"/>
                    <w:snapToGrid w:val="0"/>
                    <w:jc w:val="center"/>
                    <w:rPr>
                      <w:rFonts w:hint="default" w:eastAsia="宋体"/>
                      <w:bCs/>
                      <w:color w:val="auto"/>
                      <w:kern w:val="0"/>
                      <w:szCs w:val="21"/>
                      <w:highlight w:val="none"/>
                      <w:lang w:val="en-US" w:eastAsia="zh-CN"/>
                    </w:rPr>
                  </w:pPr>
                  <w:r>
                    <w:rPr>
                      <w:rFonts w:hint="eastAsia"/>
                      <w:bCs/>
                      <w:color w:val="auto"/>
                      <w:kern w:val="0"/>
                      <w:szCs w:val="21"/>
                      <w:highlight w:val="none"/>
                      <w:lang w:val="en-US" w:eastAsia="zh-CN"/>
                    </w:rPr>
                    <w:t>约150人</w:t>
                  </w:r>
                </w:p>
              </w:tc>
              <w:tc>
                <w:tcPr>
                  <w:tcW w:w="1210" w:type="pct"/>
                  <w:vMerge w:val="continue"/>
                  <w:noWrap w:val="0"/>
                  <w:vAlign w:val="center"/>
                </w:tcPr>
                <w:p>
                  <w:pPr>
                    <w:adjustRightInd w:val="0"/>
                    <w:snapToGrid w:val="0"/>
                    <w:jc w:val="center"/>
                    <w:rPr>
                      <w:rFonts w:hint="eastAsia"/>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noWrap w:val="0"/>
                  <w:vAlign w:val="center"/>
                </w:tcPr>
                <w:p>
                  <w:pPr>
                    <w:adjustRightInd w:val="0"/>
                    <w:snapToGrid w:val="0"/>
                    <w:jc w:val="center"/>
                    <w:rPr>
                      <w:bCs/>
                      <w:color w:val="auto"/>
                      <w:kern w:val="0"/>
                      <w:szCs w:val="21"/>
                      <w:highlight w:val="none"/>
                    </w:rPr>
                  </w:pPr>
                </w:p>
              </w:tc>
              <w:tc>
                <w:tcPr>
                  <w:tcW w:w="733" w:type="pct"/>
                  <w:noWrap w:val="0"/>
                  <w:vAlign w:val="center"/>
                </w:tcPr>
                <w:p>
                  <w:pPr>
                    <w:adjustRightInd w:val="0"/>
                    <w:snapToGrid w:val="0"/>
                    <w:jc w:val="center"/>
                    <w:rPr>
                      <w:bCs/>
                      <w:color w:val="auto"/>
                      <w:kern w:val="0"/>
                      <w:szCs w:val="21"/>
                      <w:highlight w:val="none"/>
                    </w:rPr>
                  </w:pPr>
                  <w:r>
                    <w:rPr>
                      <w:rFonts w:hint="eastAsia"/>
                      <w:color w:val="auto"/>
                      <w:kern w:val="0"/>
                      <w:szCs w:val="21"/>
                      <w:highlight w:val="none"/>
                      <w:lang w:val="en-US" w:eastAsia="zh-CN"/>
                    </w:rPr>
                    <w:t>居民</w:t>
                  </w:r>
                </w:p>
              </w:tc>
              <w:tc>
                <w:tcPr>
                  <w:tcW w:w="581" w:type="pct"/>
                  <w:noWrap w:val="0"/>
                  <w:vAlign w:val="center"/>
                </w:tcPr>
                <w:p>
                  <w:pPr>
                    <w:adjustRightInd w:val="0"/>
                    <w:snapToGrid w:val="0"/>
                    <w:jc w:val="center"/>
                    <w:rPr>
                      <w:bCs/>
                      <w:color w:val="auto"/>
                      <w:kern w:val="0"/>
                      <w:szCs w:val="21"/>
                      <w:highlight w:val="none"/>
                    </w:rPr>
                  </w:pPr>
                  <w:r>
                    <w:rPr>
                      <w:rFonts w:hint="eastAsia"/>
                      <w:color w:val="auto"/>
                      <w:kern w:val="0"/>
                      <w:szCs w:val="21"/>
                      <w:highlight w:val="none"/>
                      <w:lang w:val="en-US" w:eastAsia="zh-CN"/>
                    </w:rPr>
                    <w:t>居民聚集地</w:t>
                  </w:r>
                </w:p>
              </w:tc>
              <w:tc>
                <w:tcPr>
                  <w:tcW w:w="612" w:type="pct"/>
                  <w:noWrap w:val="0"/>
                  <w:vAlign w:val="center"/>
                </w:tcPr>
                <w:p>
                  <w:pPr>
                    <w:adjustRightInd w:val="0"/>
                    <w:snapToGrid w:val="0"/>
                    <w:jc w:val="center"/>
                    <w:rPr>
                      <w:rFonts w:hint="eastAsia" w:eastAsia="宋体"/>
                      <w:bCs/>
                      <w:color w:val="auto"/>
                      <w:kern w:val="0"/>
                      <w:szCs w:val="21"/>
                      <w:highlight w:val="none"/>
                      <w:lang w:val="en-US" w:eastAsia="zh-CN"/>
                    </w:rPr>
                  </w:pPr>
                  <w:r>
                    <w:rPr>
                      <w:rFonts w:hint="eastAsia"/>
                      <w:bCs/>
                      <w:color w:val="auto"/>
                      <w:kern w:val="0"/>
                      <w:szCs w:val="21"/>
                      <w:highlight w:val="none"/>
                      <w:lang w:val="en-US" w:eastAsia="zh-CN"/>
                    </w:rPr>
                    <w:t>西北侧</w:t>
                  </w:r>
                </w:p>
              </w:tc>
              <w:tc>
                <w:tcPr>
                  <w:tcW w:w="668" w:type="pct"/>
                  <w:noWrap w:val="0"/>
                  <w:vAlign w:val="center"/>
                </w:tcPr>
                <w:p>
                  <w:pPr>
                    <w:adjustRightInd w:val="0"/>
                    <w:snapToGrid w:val="0"/>
                    <w:jc w:val="center"/>
                    <w:rPr>
                      <w:rFonts w:hint="default" w:eastAsia="宋体"/>
                      <w:bCs/>
                      <w:color w:val="auto"/>
                      <w:kern w:val="0"/>
                      <w:szCs w:val="21"/>
                      <w:highlight w:val="none"/>
                      <w:lang w:val="en-US" w:eastAsia="zh-CN"/>
                    </w:rPr>
                  </w:pPr>
                  <w:r>
                    <w:rPr>
                      <w:rFonts w:hint="eastAsia"/>
                      <w:bCs/>
                      <w:color w:val="auto"/>
                      <w:kern w:val="0"/>
                      <w:szCs w:val="21"/>
                      <w:highlight w:val="none"/>
                      <w:lang w:val="en-US" w:eastAsia="zh-CN"/>
                    </w:rPr>
                    <w:t>42</w:t>
                  </w:r>
                </w:p>
              </w:tc>
              <w:tc>
                <w:tcPr>
                  <w:tcW w:w="668" w:type="pct"/>
                  <w:noWrap w:val="0"/>
                  <w:vAlign w:val="center"/>
                </w:tcPr>
                <w:p>
                  <w:pPr>
                    <w:adjustRightInd w:val="0"/>
                    <w:snapToGrid w:val="0"/>
                    <w:jc w:val="center"/>
                    <w:rPr>
                      <w:rFonts w:hint="default" w:eastAsia="宋体"/>
                      <w:bCs/>
                      <w:color w:val="auto"/>
                      <w:kern w:val="0"/>
                      <w:szCs w:val="21"/>
                      <w:highlight w:val="none"/>
                      <w:lang w:val="en-US" w:eastAsia="zh-CN"/>
                    </w:rPr>
                  </w:pPr>
                  <w:r>
                    <w:rPr>
                      <w:rFonts w:hint="eastAsia"/>
                      <w:bCs/>
                      <w:color w:val="auto"/>
                      <w:kern w:val="0"/>
                      <w:szCs w:val="21"/>
                      <w:highlight w:val="none"/>
                      <w:lang w:val="en-US" w:eastAsia="zh-CN"/>
                    </w:rPr>
                    <w:t>约240人</w:t>
                  </w:r>
                </w:p>
              </w:tc>
              <w:tc>
                <w:tcPr>
                  <w:tcW w:w="1210" w:type="pct"/>
                  <w:vMerge w:val="continue"/>
                  <w:noWrap w:val="0"/>
                  <w:vAlign w:val="center"/>
                </w:tcPr>
                <w:p>
                  <w:pPr>
                    <w:adjustRightInd w:val="0"/>
                    <w:snapToGrid w:val="0"/>
                    <w:jc w:val="center"/>
                    <w:rPr>
                      <w:rFonts w:hint="eastAsia"/>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noWrap w:val="0"/>
                  <w:vAlign w:val="center"/>
                </w:tcPr>
                <w:p>
                  <w:pPr>
                    <w:adjustRightInd w:val="0"/>
                    <w:snapToGrid w:val="0"/>
                    <w:jc w:val="center"/>
                    <w:rPr>
                      <w:bCs/>
                      <w:color w:val="auto"/>
                      <w:kern w:val="0"/>
                      <w:szCs w:val="21"/>
                      <w:highlight w:val="none"/>
                    </w:rPr>
                  </w:pPr>
                  <w:r>
                    <w:rPr>
                      <w:bCs/>
                      <w:color w:val="auto"/>
                      <w:szCs w:val="21"/>
                      <w:highlight w:val="none"/>
                    </w:rPr>
                    <w:t>地表水环境</w:t>
                  </w:r>
                </w:p>
              </w:tc>
              <w:tc>
                <w:tcPr>
                  <w:tcW w:w="733" w:type="pct"/>
                  <w:noWrap w:val="0"/>
                  <w:vAlign w:val="center"/>
                </w:tcPr>
                <w:p>
                  <w:pPr>
                    <w:adjustRightInd w:val="0"/>
                    <w:snapToGrid w:val="0"/>
                    <w:jc w:val="center"/>
                    <w:rPr>
                      <w:color w:val="auto"/>
                      <w:kern w:val="0"/>
                      <w:szCs w:val="21"/>
                      <w:highlight w:val="none"/>
                    </w:rPr>
                  </w:pPr>
                  <w:r>
                    <w:rPr>
                      <w:rFonts w:hint="eastAsia"/>
                      <w:color w:val="auto"/>
                      <w:kern w:val="0"/>
                      <w:szCs w:val="21"/>
                      <w:highlight w:val="none"/>
                      <w:lang w:val="en-US" w:eastAsia="zh-CN"/>
                    </w:rPr>
                    <w:t>大坝河</w:t>
                  </w:r>
                </w:p>
              </w:tc>
              <w:tc>
                <w:tcPr>
                  <w:tcW w:w="581"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ascii="宋体" w:hAnsi="宋体" w:eastAsia="宋体" w:cs="宋体"/>
                      <w:color w:val="auto"/>
                      <w:kern w:val="0"/>
                      <w:szCs w:val="21"/>
                      <w:highlight w:val="none"/>
                    </w:rPr>
                    <w:t>Ⅲ</w:t>
                  </w:r>
                  <w:r>
                    <w:rPr>
                      <w:rFonts w:hint="eastAsia" w:eastAsia="宋体"/>
                      <w:color w:val="auto"/>
                      <w:kern w:val="0"/>
                      <w:szCs w:val="21"/>
                      <w:highlight w:val="none"/>
                      <w:lang w:val="en-US" w:eastAsia="zh-CN"/>
                    </w:rPr>
                    <w:t>类河流</w:t>
                  </w:r>
                </w:p>
              </w:tc>
              <w:tc>
                <w:tcPr>
                  <w:tcW w:w="612" w:type="pct"/>
                  <w:noWrap w:val="0"/>
                  <w:vAlign w:val="center"/>
                </w:tcPr>
                <w:p>
                  <w:pPr>
                    <w:adjustRightInd w:val="0"/>
                    <w:snapToGrid w:val="0"/>
                    <w:jc w:val="center"/>
                    <w:rPr>
                      <w:rFonts w:hint="default"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南侧</w:t>
                  </w:r>
                </w:p>
              </w:tc>
              <w:tc>
                <w:tcPr>
                  <w:tcW w:w="668" w:type="pct"/>
                  <w:noWrap w:val="0"/>
                  <w:vAlign w:val="center"/>
                </w:tcPr>
                <w:p>
                  <w:pPr>
                    <w:adjustRightInd w:val="0"/>
                    <w:snapToGrid w:val="0"/>
                    <w:jc w:val="center"/>
                    <w:rPr>
                      <w:rFonts w:hint="eastAsia" w:ascii="Times New Roman" w:hAnsi="Times New Roman" w:eastAsia="宋体"/>
                      <w:color w:val="auto"/>
                      <w:kern w:val="0"/>
                      <w:sz w:val="21"/>
                      <w:szCs w:val="21"/>
                      <w:highlight w:val="none"/>
                      <w:lang w:val="en-US" w:eastAsia="zh-CN" w:bidi="ar-SA"/>
                    </w:rPr>
                  </w:pPr>
                  <w:r>
                    <w:rPr>
                      <w:rFonts w:hint="eastAsia"/>
                      <w:color w:val="auto"/>
                      <w:kern w:val="0"/>
                      <w:szCs w:val="21"/>
                      <w:highlight w:val="none"/>
                      <w:lang w:val="en-US" w:eastAsia="zh-CN"/>
                    </w:rPr>
                    <w:t>252</w:t>
                  </w:r>
                </w:p>
              </w:tc>
              <w:tc>
                <w:tcPr>
                  <w:tcW w:w="668" w:type="pct"/>
                  <w:noWrap w:val="0"/>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210" w:type="pct"/>
                  <w:noWrap w:val="0"/>
                  <w:vAlign w:val="center"/>
                </w:tcPr>
                <w:p>
                  <w:pPr>
                    <w:adjustRightInd w:val="0"/>
                    <w:snapToGrid w:val="0"/>
                    <w:jc w:val="center"/>
                    <w:rPr>
                      <w:color w:val="auto"/>
                      <w:szCs w:val="21"/>
                      <w:highlight w:val="none"/>
                    </w:rPr>
                  </w:pPr>
                  <w:r>
                    <w:rPr>
                      <w:rFonts w:hint="eastAsia"/>
                      <w:color w:val="auto"/>
                      <w:szCs w:val="21"/>
                      <w:highlight w:val="none"/>
                    </w:rPr>
                    <w:t>《地表水环境质量标准》(GB3838-2002)Ⅲ类标准</w:t>
                  </w:r>
                </w:p>
              </w:tc>
            </w:tr>
          </w:tbl>
          <w:p>
            <w:pPr>
              <w:adjustRightInd w:val="0"/>
              <w:snapToGrid w:val="0"/>
              <w:jc w:val="center"/>
              <w:rPr>
                <w:rFonts w:ascii="宋体" w:hAnsi="宋体" w:cs="宋体"/>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3" w:type="pct"/>
            <w:noWrap w:val="0"/>
            <w:tcMar>
              <w:left w:w="28" w:type="dxa"/>
              <w:right w:w="28" w:type="dxa"/>
            </w:tcMar>
            <w:vAlign w:val="center"/>
          </w:tcPr>
          <w:p>
            <w:pPr>
              <w:pStyle w:val="19"/>
              <w:adjustRightInd w:val="0"/>
              <w:snapToGrid w:val="0"/>
              <w:spacing w:before="0" w:beforeAutospacing="0" w:after="0" w:afterAutospacing="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污染物排放控制标准</w:t>
            </w:r>
          </w:p>
        </w:tc>
        <w:tc>
          <w:tcPr>
            <w:tcW w:w="4676" w:type="pct"/>
            <w:noWrap w:val="0"/>
            <w:vAlign w:val="center"/>
          </w:tcPr>
          <w:p>
            <w:pPr>
              <w:adjustRightInd w:val="0"/>
              <w:snapToGrid w:val="0"/>
              <w:spacing w:line="360" w:lineRule="auto"/>
              <w:jc w:val="left"/>
              <w:rPr>
                <w:b/>
                <w:bCs/>
                <w:color w:val="auto"/>
                <w:kern w:val="0"/>
                <w:sz w:val="24"/>
                <w:highlight w:val="none"/>
              </w:rPr>
            </w:pPr>
            <w:r>
              <w:rPr>
                <w:b/>
                <w:bCs/>
                <w:color w:val="auto"/>
                <w:kern w:val="0"/>
                <w:sz w:val="24"/>
                <w:highlight w:val="none"/>
              </w:rPr>
              <w:t>1、</w:t>
            </w:r>
            <w:r>
              <w:rPr>
                <w:rFonts w:hint="eastAsia"/>
                <w:b/>
                <w:bCs/>
                <w:color w:val="auto"/>
                <w:kern w:val="0"/>
                <w:sz w:val="24"/>
                <w:highlight w:val="none"/>
                <w:lang w:val="en-US" w:eastAsia="zh-CN"/>
              </w:rPr>
              <w:t>废</w:t>
            </w:r>
            <w:r>
              <w:rPr>
                <w:b/>
                <w:bCs/>
                <w:color w:val="auto"/>
                <w:kern w:val="0"/>
                <w:sz w:val="24"/>
                <w:highlight w:val="none"/>
              </w:rPr>
              <w:t>气</w:t>
            </w:r>
          </w:p>
          <w:p>
            <w:pPr>
              <w:spacing w:line="360" w:lineRule="auto"/>
              <w:ind w:firstLine="480" w:firstLineChars="200"/>
              <w:rPr>
                <w:bCs/>
                <w:color w:val="auto"/>
                <w:sz w:val="24"/>
                <w:highlight w:val="none"/>
              </w:rPr>
            </w:pPr>
            <w:r>
              <w:rPr>
                <w:rFonts w:hint="eastAsia"/>
                <w:bCs/>
                <w:color w:val="auto"/>
                <w:sz w:val="24"/>
                <w:highlight w:val="none"/>
                <w:lang w:eastAsia="zh-CN"/>
              </w:rPr>
              <w:t>（</w:t>
            </w:r>
            <w:r>
              <w:rPr>
                <w:rFonts w:hint="eastAsia"/>
                <w:bCs/>
                <w:color w:val="auto"/>
                <w:sz w:val="24"/>
                <w:highlight w:val="none"/>
                <w:lang w:val="en-US" w:eastAsia="zh-CN"/>
              </w:rPr>
              <w:t>1</w:t>
            </w:r>
            <w:r>
              <w:rPr>
                <w:rFonts w:hint="eastAsia"/>
                <w:bCs/>
                <w:color w:val="auto"/>
                <w:sz w:val="24"/>
                <w:highlight w:val="none"/>
                <w:lang w:eastAsia="zh-CN"/>
              </w:rPr>
              <w:t>）</w:t>
            </w:r>
            <w:r>
              <w:rPr>
                <w:bCs/>
                <w:color w:val="auto"/>
                <w:sz w:val="24"/>
                <w:highlight w:val="none"/>
              </w:rPr>
              <w:t>施工期</w:t>
            </w:r>
          </w:p>
          <w:p>
            <w:pPr>
              <w:spacing w:line="360" w:lineRule="auto"/>
              <w:ind w:firstLine="480" w:firstLineChars="200"/>
              <w:rPr>
                <w:bCs/>
                <w:color w:val="auto"/>
                <w:sz w:val="24"/>
                <w:highlight w:val="none"/>
              </w:rPr>
            </w:pPr>
            <w:r>
              <w:rPr>
                <w:bCs/>
                <w:color w:val="auto"/>
                <w:sz w:val="24"/>
                <w:highlight w:val="none"/>
              </w:rPr>
              <w:t>施工期扬尘执行《四川省施工场地扬尘排放标准》（DB51/2682-2020），其标准值见下表。</w:t>
            </w:r>
          </w:p>
          <w:p>
            <w:pPr>
              <w:pStyle w:val="41"/>
              <w:bidi w:val="0"/>
              <w:rPr>
                <w:color w:val="auto"/>
                <w:highlight w:val="none"/>
              </w:rPr>
            </w:pPr>
            <w:r>
              <w:rPr>
                <w:color w:val="auto"/>
                <w:highlight w:val="none"/>
              </w:rPr>
              <w:t>表3-</w:t>
            </w:r>
            <w:r>
              <w:rPr>
                <w:rFonts w:hint="eastAsia"/>
                <w:color w:val="auto"/>
                <w:highlight w:val="none"/>
              </w:rPr>
              <w:t>7</w:t>
            </w:r>
            <w:r>
              <w:rPr>
                <w:color w:val="auto"/>
                <w:highlight w:val="none"/>
              </w:rPr>
              <w:t xml:space="preserve">  四川省施工场地扬尘排放标准</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3036"/>
              <w:gridCol w:w="1674"/>
              <w:gridCol w:w="1489"/>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1" w:type="pct"/>
                  <w:noWrap w:val="0"/>
                  <w:vAlign w:val="center"/>
                </w:tcPr>
                <w:p>
                  <w:pPr>
                    <w:adjustRightInd w:val="0"/>
                    <w:snapToGrid w:val="0"/>
                    <w:jc w:val="center"/>
                    <w:rPr>
                      <w:b/>
                      <w:bCs/>
                      <w:color w:val="auto"/>
                      <w:highlight w:val="none"/>
                    </w:rPr>
                  </w:pPr>
                  <w:r>
                    <w:rPr>
                      <w:b/>
                      <w:bCs/>
                      <w:color w:val="auto"/>
                      <w:highlight w:val="none"/>
                    </w:rPr>
                    <w:t>监测项目</w:t>
                  </w:r>
                </w:p>
              </w:tc>
              <w:tc>
                <w:tcPr>
                  <w:tcW w:w="1841" w:type="pct"/>
                  <w:noWrap w:val="0"/>
                  <w:vAlign w:val="center"/>
                </w:tcPr>
                <w:p>
                  <w:pPr>
                    <w:adjustRightInd w:val="0"/>
                    <w:snapToGrid w:val="0"/>
                    <w:jc w:val="center"/>
                    <w:rPr>
                      <w:b/>
                      <w:bCs/>
                      <w:color w:val="auto"/>
                      <w:highlight w:val="none"/>
                    </w:rPr>
                  </w:pPr>
                  <w:r>
                    <w:rPr>
                      <w:b/>
                      <w:bCs/>
                      <w:color w:val="auto"/>
                      <w:highlight w:val="none"/>
                    </w:rPr>
                    <w:t>区域</w:t>
                  </w:r>
                </w:p>
              </w:tc>
              <w:tc>
                <w:tcPr>
                  <w:tcW w:w="1015" w:type="pct"/>
                  <w:noWrap w:val="0"/>
                  <w:vAlign w:val="center"/>
                </w:tcPr>
                <w:p>
                  <w:pPr>
                    <w:adjustRightInd w:val="0"/>
                    <w:snapToGrid w:val="0"/>
                    <w:jc w:val="center"/>
                    <w:rPr>
                      <w:b/>
                      <w:bCs/>
                      <w:color w:val="auto"/>
                      <w:highlight w:val="none"/>
                    </w:rPr>
                  </w:pPr>
                  <w:r>
                    <w:rPr>
                      <w:b/>
                      <w:bCs/>
                      <w:color w:val="auto"/>
                      <w:highlight w:val="none"/>
                    </w:rPr>
                    <w:t>施工阶段</w:t>
                  </w:r>
                </w:p>
              </w:tc>
              <w:tc>
                <w:tcPr>
                  <w:tcW w:w="903" w:type="pct"/>
                  <w:noWrap w:val="0"/>
                  <w:vAlign w:val="center"/>
                </w:tcPr>
                <w:p>
                  <w:pPr>
                    <w:adjustRightInd w:val="0"/>
                    <w:snapToGrid w:val="0"/>
                    <w:jc w:val="center"/>
                    <w:rPr>
                      <w:b/>
                      <w:bCs/>
                      <w:color w:val="auto"/>
                      <w:highlight w:val="none"/>
                    </w:rPr>
                  </w:pPr>
                  <w:r>
                    <w:rPr>
                      <w:b/>
                      <w:bCs/>
                      <w:color w:val="auto"/>
                      <w:highlight w:val="none"/>
                    </w:rPr>
                    <w:t>监测点排放限值（μg/</w:t>
                  </w:r>
                  <w:r>
                    <w:rPr>
                      <w:b/>
                      <w:bCs/>
                      <w:color w:val="auto"/>
                      <w:szCs w:val="21"/>
                      <w:highlight w:val="none"/>
                    </w:rPr>
                    <w:t>m³</w:t>
                  </w:r>
                  <w:r>
                    <w:rPr>
                      <w:b/>
                      <w:bCs/>
                      <w:color w:val="auto"/>
                      <w:highlight w:val="none"/>
                    </w:rPr>
                    <w:t>）</w:t>
                  </w:r>
                </w:p>
              </w:tc>
              <w:tc>
                <w:tcPr>
                  <w:tcW w:w="627" w:type="pct"/>
                  <w:noWrap w:val="0"/>
                  <w:vAlign w:val="center"/>
                </w:tcPr>
                <w:p>
                  <w:pPr>
                    <w:adjustRightInd w:val="0"/>
                    <w:snapToGrid w:val="0"/>
                    <w:jc w:val="center"/>
                    <w:rPr>
                      <w:b/>
                      <w:bCs/>
                      <w:color w:val="auto"/>
                      <w:highlight w:val="none"/>
                    </w:rPr>
                  </w:pPr>
                  <w:r>
                    <w:rPr>
                      <w:b/>
                      <w:bCs/>
                      <w:color w:val="auto"/>
                      <w:highlight w:val="none"/>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1" w:type="pct"/>
                  <w:vMerge w:val="restart"/>
                  <w:noWrap w:val="0"/>
                  <w:vAlign w:val="center"/>
                </w:tcPr>
                <w:p>
                  <w:pPr>
                    <w:adjustRightInd w:val="0"/>
                    <w:snapToGrid w:val="0"/>
                    <w:jc w:val="center"/>
                    <w:rPr>
                      <w:color w:val="auto"/>
                      <w:highlight w:val="none"/>
                    </w:rPr>
                  </w:pPr>
                  <w:r>
                    <w:rPr>
                      <w:color w:val="auto"/>
                      <w:highlight w:val="none"/>
                    </w:rPr>
                    <w:t>总悬浮颗粒物（TSP）</w:t>
                  </w:r>
                </w:p>
              </w:tc>
              <w:tc>
                <w:tcPr>
                  <w:tcW w:w="1841" w:type="pct"/>
                  <w:vMerge w:val="restart"/>
                  <w:noWrap w:val="0"/>
                  <w:vAlign w:val="center"/>
                </w:tcPr>
                <w:p>
                  <w:pPr>
                    <w:adjustRightInd w:val="0"/>
                    <w:snapToGrid w:val="0"/>
                    <w:jc w:val="center"/>
                    <w:rPr>
                      <w:color w:val="auto"/>
                      <w:highlight w:val="none"/>
                    </w:rPr>
                  </w:pPr>
                  <w:r>
                    <w:rPr>
                      <w:color w:val="auto"/>
                      <w:highlight w:val="none"/>
                    </w:rPr>
                    <w:t>成都市、自贡市、泸州市、德阳市、绵阳市、广元市、遂宁市、内江市、乐山市、南充市、宜宾市、广安市、达州市、巴中市、雅安市、眉山市、资阳市</w:t>
                  </w:r>
                </w:p>
              </w:tc>
              <w:tc>
                <w:tcPr>
                  <w:tcW w:w="1015" w:type="pct"/>
                  <w:noWrap w:val="0"/>
                  <w:vAlign w:val="center"/>
                </w:tcPr>
                <w:p>
                  <w:pPr>
                    <w:adjustRightInd w:val="0"/>
                    <w:snapToGrid w:val="0"/>
                    <w:jc w:val="center"/>
                    <w:rPr>
                      <w:color w:val="auto"/>
                      <w:highlight w:val="none"/>
                    </w:rPr>
                  </w:pPr>
                  <w:r>
                    <w:rPr>
                      <w:color w:val="auto"/>
                      <w:highlight w:val="none"/>
                    </w:rPr>
                    <w:t>拆除工程/土方开挖/土方回填阶段</w:t>
                  </w:r>
                </w:p>
              </w:tc>
              <w:tc>
                <w:tcPr>
                  <w:tcW w:w="903" w:type="pct"/>
                  <w:noWrap w:val="0"/>
                  <w:vAlign w:val="center"/>
                </w:tcPr>
                <w:p>
                  <w:pPr>
                    <w:adjustRightInd w:val="0"/>
                    <w:snapToGrid w:val="0"/>
                    <w:jc w:val="center"/>
                    <w:rPr>
                      <w:color w:val="auto"/>
                      <w:highlight w:val="none"/>
                    </w:rPr>
                  </w:pPr>
                  <w:r>
                    <w:rPr>
                      <w:color w:val="auto"/>
                      <w:highlight w:val="none"/>
                    </w:rPr>
                    <w:t>600</w:t>
                  </w:r>
                </w:p>
              </w:tc>
              <w:tc>
                <w:tcPr>
                  <w:tcW w:w="627" w:type="pct"/>
                  <w:vMerge w:val="restart"/>
                  <w:noWrap w:val="0"/>
                  <w:vAlign w:val="center"/>
                </w:tcPr>
                <w:p>
                  <w:pPr>
                    <w:adjustRightInd w:val="0"/>
                    <w:snapToGrid w:val="0"/>
                    <w:jc w:val="center"/>
                    <w:rPr>
                      <w:color w:val="auto"/>
                      <w:highlight w:val="none"/>
                    </w:rPr>
                  </w:pPr>
                  <w:r>
                    <w:rPr>
                      <w:color w:val="auto"/>
                      <w:highlight w:val="none"/>
                    </w:rPr>
                    <w:t>自监测起持续15分钟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1" w:type="pct"/>
                  <w:vMerge w:val="continue"/>
                  <w:noWrap w:val="0"/>
                  <w:vAlign w:val="center"/>
                </w:tcPr>
                <w:p>
                  <w:pPr>
                    <w:adjustRightInd w:val="0"/>
                    <w:snapToGrid w:val="0"/>
                    <w:jc w:val="center"/>
                    <w:rPr>
                      <w:color w:val="auto"/>
                      <w:kern w:val="0"/>
                      <w:highlight w:val="none"/>
                    </w:rPr>
                  </w:pPr>
                </w:p>
              </w:tc>
              <w:tc>
                <w:tcPr>
                  <w:tcW w:w="1841" w:type="pct"/>
                  <w:vMerge w:val="continue"/>
                  <w:noWrap w:val="0"/>
                  <w:vAlign w:val="center"/>
                </w:tcPr>
                <w:p>
                  <w:pPr>
                    <w:adjustRightInd w:val="0"/>
                    <w:snapToGrid w:val="0"/>
                    <w:jc w:val="center"/>
                    <w:rPr>
                      <w:color w:val="auto"/>
                      <w:kern w:val="0"/>
                      <w:highlight w:val="none"/>
                    </w:rPr>
                  </w:pPr>
                </w:p>
              </w:tc>
              <w:tc>
                <w:tcPr>
                  <w:tcW w:w="1015" w:type="pct"/>
                  <w:noWrap w:val="0"/>
                  <w:vAlign w:val="center"/>
                </w:tcPr>
                <w:p>
                  <w:pPr>
                    <w:adjustRightInd w:val="0"/>
                    <w:snapToGrid w:val="0"/>
                    <w:jc w:val="center"/>
                    <w:rPr>
                      <w:color w:val="auto"/>
                      <w:kern w:val="0"/>
                      <w:highlight w:val="none"/>
                    </w:rPr>
                  </w:pPr>
                  <w:r>
                    <w:rPr>
                      <w:color w:val="auto"/>
                      <w:kern w:val="0"/>
                      <w:highlight w:val="none"/>
                    </w:rPr>
                    <w:t>其他工程阶段</w:t>
                  </w:r>
                </w:p>
              </w:tc>
              <w:tc>
                <w:tcPr>
                  <w:tcW w:w="903" w:type="pct"/>
                  <w:noWrap w:val="0"/>
                  <w:vAlign w:val="center"/>
                </w:tcPr>
                <w:p>
                  <w:pPr>
                    <w:adjustRightInd w:val="0"/>
                    <w:snapToGrid w:val="0"/>
                    <w:jc w:val="center"/>
                    <w:rPr>
                      <w:color w:val="auto"/>
                      <w:kern w:val="0"/>
                      <w:highlight w:val="none"/>
                    </w:rPr>
                  </w:pPr>
                  <w:r>
                    <w:rPr>
                      <w:color w:val="auto"/>
                      <w:kern w:val="0"/>
                      <w:highlight w:val="none"/>
                    </w:rPr>
                    <w:t>250</w:t>
                  </w:r>
                </w:p>
              </w:tc>
              <w:tc>
                <w:tcPr>
                  <w:tcW w:w="627" w:type="pct"/>
                  <w:vMerge w:val="continue"/>
                  <w:noWrap w:val="0"/>
                  <w:vAlign w:val="center"/>
                </w:tcPr>
                <w:p>
                  <w:pPr>
                    <w:adjustRightInd w:val="0"/>
                    <w:snapToGrid w:val="0"/>
                    <w:jc w:val="center"/>
                    <w:rPr>
                      <w:color w:val="auto"/>
                      <w:kern w:val="0"/>
                      <w:highlight w:val="none"/>
                    </w:rPr>
                  </w:pPr>
                </w:p>
              </w:tc>
            </w:tr>
          </w:tbl>
          <w:p>
            <w:pPr>
              <w:spacing w:line="360" w:lineRule="auto"/>
              <w:ind w:firstLine="480" w:firstLineChars="200"/>
              <w:rPr>
                <w:bCs/>
                <w:color w:val="auto"/>
                <w:sz w:val="24"/>
                <w:highlight w:val="none"/>
              </w:rPr>
            </w:pPr>
            <w:r>
              <w:rPr>
                <w:rFonts w:hint="eastAsia"/>
                <w:bCs/>
                <w:color w:val="auto"/>
                <w:sz w:val="24"/>
                <w:highlight w:val="none"/>
                <w:lang w:eastAsia="zh-CN"/>
              </w:rPr>
              <w:t>（</w:t>
            </w:r>
            <w:r>
              <w:rPr>
                <w:rFonts w:hint="eastAsia"/>
                <w:bCs/>
                <w:color w:val="auto"/>
                <w:sz w:val="24"/>
                <w:highlight w:val="none"/>
                <w:lang w:val="en-US" w:eastAsia="zh-CN"/>
              </w:rPr>
              <w:t>2</w:t>
            </w:r>
            <w:r>
              <w:rPr>
                <w:rFonts w:hint="eastAsia"/>
                <w:bCs/>
                <w:color w:val="auto"/>
                <w:sz w:val="24"/>
                <w:highlight w:val="none"/>
                <w:lang w:eastAsia="zh-CN"/>
              </w:rPr>
              <w:t>）</w:t>
            </w:r>
            <w:r>
              <w:rPr>
                <w:bCs/>
                <w:color w:val="auto"/>
                <w:sz w:val="24"/>
                <w:highlight w:val="none"/>
              </w:rPr>
              <w:t>运营期</w:t>
            </w:r>
          </w:p>
          <w:p>
            <w:pPr>
              <w:spacing w:line="360" w:lineRule="auto"/>
              <w:ind w:firstLine="480" w:firstLineChars="200"/>
              <w:rPr>
                <w:rFonts w:hint="default"/>
                <w:color w:val="auto"/>
                <w:highlight w:val="none"/>
                <w:lang w:val="en-US"/>
              </w:rPr>
            </w:pPr>
            <w:r>
              <w:rPr>
                <w:color w:val="auto"/>
                <w:sz w:val="24"/>
                <w:highlight w:val="none"/>
              </w:rPr>
              <w:t>本项目运营期天然气燃烧废气执行《锅炉大气污染物排放标准》（GB 13271-2014）表</w:t>
            </w:r>
            <w:r>
              <w:rPr>
                <w:rFonts w:hint="eastAsia"/>
                <w:color w:val="auto"/>
                <w:sz w:val="24"/>
                <w:highlight w:val="none"/>
                <w:lang w:val="en-US" w:eastAsia="zh-CN"/>
              </w:rPr>
              <w:t>2</w:t>
            </w:r>
            <w:r>
              <w:rPr>
                <w:color w:val="auto"/>
                <w:sz w:val="24"/>
                <w:highlight w:val="none"/>
              </w:rPr>
              <w:t>中相关标准，本项目排气筒高度应高出周围半径200m距离内最高建筑物3m以上</w:t>
            </w:r>
            <w:r>
              <w:rPr>
                <w:rFonts w:hint="eastAsia"/>
                <w:color w:val="auto"/>
                <w:sz w:val="24"/>
                <w:highlight w:val="none"/>
              </w:rPr>
              <w:t>；</w:t>
            </w:r>
            <w:r>
              <w:rPr>
                <w:color w:val="auto"/>
                <w:sz w:val="24"/>
                <w:highlight w:val="none"/>
              </w:rPr>
              <w:t>油烟排放执行《饮食业油烟排放标准（试行）》（GB18483-2001）中的相关规定</w:t>
            </w:r>
            <w:r>
              <w:rPr>
                <w:rFonts w:hint="eastAsia"/>
                <w:color w:val="auto"/>
                <w:sz w:val="24"/>
                <w:highlight w:val="none"/>
                <w:lang w:eastAsia="zh-CN"/>
              </w:rPr>
              <w:t>；</w:t>
            </w:r>
            <w:r>
              <w:rPr>
                <w:rFonts w:hint="eastAsia"/>
                <w:color w:val="auto"/>
                <w:sz w:val="24"/>
                <w:highlight w:val="none"/>
                <w:lang w:val="en-US" w:eastAsia="zh-CN"/>
              </w:rPr>
              <w:t>异味、恶臭气体执行《恶臭污染物排放标准》（GB14554-1993）中表1中二级标准要求；颗粒物执行《大气污染物综合排放标准》（GB16297-1996）表2中标准；喷码废气、消毒废气执行《四川省固定污染源大气挥发性有机物排放标准》（DB51/2377-2017）表3和表5相关标准限值，项目厂区内有机废气无组织执行《挥发性有机物无组织排放控制标准》（GB37822-2019）中相关要求。热封废气执行《合成树脂工业污染物排放标准》（GB31572-2015）中表9相关标准。</w:t>
            </w:r>
          </w:p>
          <w:p>
            <w:pPr>
              <w:pStyle w:val="41"/>
              <w:bidi w:val="0"/>
              <w:rPr>
                <w:rFonts w:hint="default" w:eastAsia="宋体"/>
                <w:color w:val="auto"/>
                <w:highlight w:val="none"/>
                <w:vertAlign w:val="baseline"/>
                <w:lang w:val="en-US" w:eastAsia="zh-CN"/>
              </w:rPr>
            </w:pPr>
            <w:r>
              <w:rPr>
                <w:color w:val="auto"/>
                <w:highlight w:val="none"/>
              </w:rPr>
              <w:t>表3-</w:t>
            </w:r>
            <w:r>
              <w:rPr>
                <w:rFonts w:hint="eastAsia"/>
                <w:color w:val="auto"/>
                <w:highlight w:val="none"/>
              </w:rPr>
              <w:t>8</w:t>
            </w:r>
            <w:r>
              <w:rPr>
                <w:color w:val="auto"/>
                <w:highlight w:val="none"/>
              </w:rPr>
              <w:t xml:space="preserve">  锅炉大气污染物排放标准</w:t>
            </w:r>
            <w:r>
              <w:rPr>
                <w:rFonts w:hint="eastAsia"/>
                <w:color w:val="auto"/>
                <w:highlight w:val="none"/>
                <w:lang w:val="en-US" w:eastAsia="zh-CN"/>
              </w:rPr>
              <w:t xml:space="preserve">     单位：mg/m</w:t>
            </w:r>
            <w:r>
              <w:rPr>
                <w:rFonts w:hint="eastAsia"/>
                <w:color w:val="auto"/>
                <w:highlight w:val="none"/>
                <w:vertAlign w:val="superscript"/>
                <w:lang w:val="en-US" w:eastAsia="zh-CN"/>
              </w:rPr>
              <w:t>3</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6"/>
              <w:gridCol w:w="1981"/>
              <w:gridCol w:w="1864"/>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pct"/>
                  <w:noWrap w:val="0"/>
                  <w:vAlign w:val="center"/>
                </w:tcPr>
                <w:p>
                  <w:pPr>
                    <w:adjustRightInd w:val="0"/>
                    <w:snapToGrid w:val="0"/>
                    <w:jc w:val="center"/>
                    <w:rPr>
                      <w:b/>
                      <w:bCs/>
                      <w:color w:val="auto"/>
                      <w:highlight w:val="none"/>
                    </w:rPr>
                  </w:pPr>
                  <w:r>
                    <w:rPr>
                      <w:b/>
                      <w:bCs/>
                      <w:color w:val="auto"/>
                      <w:highlight w:val="none"/>
                    </w:rPr>
                    <w:t>污染物</w:t>
                  </w:r>
                </w:p>
              </w:tc>
              <w:tc>
                <w:tcPr>
                  <w:tcW w:w="1201" w:type="pct"/>
                  <w:noWrap w:val="0"/>
                  <w:vAlign w:val="center"/>
                </w:tcPr>
                <w:p>
                  <w:pPr>
                    <w:adjustRightInd w:val="0"/>
                    <w:snapToGrid w:val="0"/>
                    <w:jc w:val="center"/>
                    <w:rPr>
                      <w:rFonts w:hint="default" w:eastAsia="宋体"/>
                      <w:b/>
                      <w:bCs/>
                      <w:color w:val="auto"/>
                      <w:highlight w:val="none"/>
                      <w:lang w:val="en-US" w:eastAsia="zh-CN"/>
                    </w:rPr>
                  </w:pPr>
                  <w:r>
                    <w:rPr>
                      <w:rFonts w:hint="eastAsia"/>
                      <w:b/>
                      <w:bCs/>
                      <w:color w:val="auto"/>
                      <w:highlight w:val="none"/>
                      <w:lang w:val="en-US" w:eastAsia="zh-CN"/>
                    </w:rPr>
                    <w:t>燃气锅炉限值</w:t>
                  </w:r>
                </w:p>
              </w:tc>
              <w:tc>
                <w:tcPr>
                  <w:tcW w:w="1130" w:type="pct"/>
                  <w:noWrap w:val="0"/>
                  <w:vAlign w:val="center"/>
                </w:tcPr>
                <w:p>
                  <w:pPr>
                    <w:adjustRightInd w:val="0"/>
                    <w:snapToGrid w:val="0"/>
                    <w:jc w:val="center"/>
                    <w:rPr>
                      <w:rFonts w:hint="default" w:eastAsia="宋体"/>
                      <w:b/>
                      <w:bCs/>
                      <w:color w:val="auto"/>
                      <w:highlight w:val="none"/>
                      <w:lang w:val="en-US" w:eastAsia="zh-CN"/>
                    </w:rPr>
                  </w:pPr>
                  <w:r>
                    <w:rPr>
                      <w:rFonts w:hint="eastAsia"/>
                      <w:b/>
                      <w:bCs/>
                      <w:color w:val="auto"/>
                      <w:highlight w:val="none"/>
                      <w:lang w:val="en-US" w:eastAsia="zh-CN"/>
                    </w:rPr>
                    <w:t>污染物排放监控位置</w:t>
                  </w:r>
                </w:p>
              </w:tc>
              <w:tc>
                <w:tcPr>
                  <w:tcW w:w="1487" w:type="pct"/>
                  <w:noWrap w:val="0"/>
                  <w:vAlign w:val="center"/>
                </w:tcPr>
                <w:p>
                  <w:pPr>
                    <w:adjustRightInd w:val="0"/>
                    <w:snapToGrid w:val="0"/>
                    <w:jc w:val="center"/>
                    <w:rPr>
                      <w:b/>
                      <w:bCs/>
                      <w:color w:val="auto"/>
                      <w:highlight w:val="none"/>
                    </w:rPr>
                  </w:pPr>
                  <w:r>
                    <w:rPr>
                      <w:b/>
                      <w:bCs/>
                      <w:color w:val="auto"/>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pct"/>
                  <w:noWrap w:val="0"/>
                  <w:vAlign w:val="center"/>
                </w:tcPr>
                <w:p>
                  <w:pPr>
                    <w:adjustRightInd w:val="0"/>
                    <w:snapToGrid w:val="0"/>
                    <w:jc w:val="center"/>
                    <w:rPr>
                      <w:color w:val="auto"/>
                      <w:highlight w:val="none"/>
                    </w:rPr>
                  </w:pPr>
                  <w:r>
                    <w:rPr>
                      <w:color w:val="auto"/>
                      <w:highlight w:val="none"/>
                    </w:rPr>
                    <w:t>颗粒物</w:t>
                  </w:r>
                </w:p>
              </w:tc>
              <w:tc>
                <w:tcPr>
                  <w:tcW w:w="1201" w:type="pct"/>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20</w:t>
                  </w:r>
                </w:p>
              </w:tc>
              <w:tc>
                <w:tcPr>
                  <w:tcW w:w="1130" w:type="pct"/>
                  <w:vMerge w:val="restart"/>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烟囱或烟道</w:t>
                  </w:r>
                </w:p>
              </w:tc>
              <w:tc>
                <w:tcPr>
                  <w:tcW w:w="1487" w:type="pct"/>
                  <w:vMerge w:val="restart"/>
                  <w:noWrap w:val="0"/>
                  <w:vAlign w:val="center"/>
                </w:tcPr>
                <w:p>
                  <w:pPr>
                    <w:adjustRightInd w:val="0"/>
                    <w:snapToGrid w:val="0"/>
                    <w:jc w:val="center"/>
                    <w:rPr>
                      <w:color w:val="auto"/>
                      <w:highlight w:val="none"/>
                    </w:rPr>
                  </w:pPr>
                  <w:r>
                    <w:rPr>
                      <w:color w:val="auto"/>
                      <w:highlight w:val="none"/>
                    </w:rPr>
                    <w:t>《锅炉大气污染物排放标准》（GB 13271-2014）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pct"/>
                  <w:noWrap w:val="0"/>
                  <w:vAlign w:val="top"/>
                </w:tcPr>
                <w:p>
                  <w:pPr>
                    <w:adjustRightInd w:val="0"/>
                    <w:snapToGrid w:val="0"/>
                    <w:jc w:val="center"/>
                    <w:rPr>
                      <w:rFonts w:hint="eastAsia" w:eastAsia="宋体"/>
                      <w:color w:val="auto"/>
                      <w:highlight w:val="none"/>
                      <w:lang w:eastAsia="zh-CN"/>
                    </w:rPr>
                  </w:pPr>
                  <w:r>
                    <w:rPr>
                      <w:rFonts w:hint="eastAsia"/>
                      <w:color w:val="auto"/>
                      <w:highlight w:val="none"/>
                      <w:lang w:val="en-US" w:eastAsia="zh-CN"/>
                    </w:rPr>
                    <w:t>二氧化硫</w:t>
                  </w:r>
                </w:p>
              </w:tc>
              <w:tc>
                <w:tcPr>
                  <w:tcW w:w="1201" w:type="pct"/>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50</w:t>
                  </w:r>
                </w:p>
              </w:tc>
              <w:tc>
                <w:tcPr>
                  <w:tcW w:w="1130" w:type="pct"/>
                  <w:vMerge w:val="continue"/>
                  <w:noWrap w:val="0"/>
                  <w:vAlign w:val="center"/>
                </w:tcPr>
                <w:p>
                  <w:pPr>
                    <w:adjustRightInd w:val="0"/>
                    <w:snapToGrid w:val="0"/>
                    <w:jc w:val="center"/>
                    <w:rPr>
                      <w:color w:val="auto"/>
                      <w:highlight w:val="none"/>
                    </w:rPr>
                  </w:pPr>
                </w:p>
              </w:tc>
              <w:tc>
                <w:tcPr>
                  <w:tcW w:w="1487" w:type="pct"/>
                  <w:vMerge w:val="continue"/>
                  <w:noWrap w:val="0"/>
                  <w:vAlign w:val="center"/>
                </w:tcPr>
                <w:p>
                  <w:pPr>
                    <w:adjustRightInd w:val="0"/>
                    <w:snapToGrid w:val="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0" w:type="pct"/>
                  <w:noWrap w:val="0"/>
                  <w:vAlign w:val="top"/>
                </w:tcPr>
                <w:p>
                  <w:pPr>
                    <w:adjustRightInd w:val="0"/>
                    <w:snapToGrid w:val="0"/>
                    <w:jc w:val="center"/>
                    <w:rPr>
                      <w:rFonts w:hint="eastAsia" w:eastAsia="宋体"/>
                      <w:color w:val="auto"/>
                      <w:highlight w:val="none"/>
                      <w:lang w:eastAsia="zh-CN"/>
                    </w:rPr>
                  </w:pPr>
                  <w:r>
                    <w:rPr>
                      <w:rFonts w:hint="eastAsia"/>
                      <w:color w:val="auto"/>
                      <w:highlight w:val="none"/>
                      <w:lang w:val="en-US" w:eastAsia="zh-CN"/>
                    </w:rPr>
                    <w:t>氮氧化物</w:t>
                  </w:r>
                </w:p>
              </w:tc>
              <w:tc>
                <w:tcPr>
                  <w:tcW w:w="1201" w:type="pct"/>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200</w:t>
                  </w:r>
                </w:p>
              </w:tc>
              <w:tc>
                <w:tcPr>
                  <w:tcW w:w="1130" w:type="pct"/>
                  <w:vMerge w:val="continue"/>
                  <w:noWrap w:val="0"/>
                  <w:vAlign w:val="center"/>
                </w:tcPr>
                <w:p>
                  <w:pPr>
                    <w:adjustRightInd w:val="0"/>
                    <w:snapToGrid w:val="0"/>
                    <w:jc w:val="center"/>
                    <w:rPr>
                      <w:color w:val="auto"/>
                      <w:highlight w:val="none"/>
                    </w:rPr>
                  </w:pPr>
                </w:p>
              </w:tc>
              <w:tc>
                <w:tcPr>
                  <w:tcW w:w="1487" w:type="pct"/>
                  <w:vMerge w:val="continue"/>
                  <w:noWrap w:val="0"/>
                  <w:vAlign w:val="center"/>
                </w:tcPr>
                <w:p>
                  <w:pPr>
                    <w:adjustRightInd w:val="0"/>
                    <w:snapToGrid w:val="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0" w:type="pct"/>
                  <w:noWrap w:val="0"/>
                  <w:vAlign w:val="top"/>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烟气黑度（林格曼黑度，级）</w:t>
                  </w:r>
                </w:p>
              </w:tc>
              <w:tc>
                <w:tcPr>
                  <w:tcW w:w="1201" w:type="pct"/>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≤1</w:t>
                  </w:r>
                </w:p>
              </w:tc>
              <w:tc>
                <w:tcPr>
                  <w:tcW w:w="1130" w:type="pct"/>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烟囱排放口</w:t>
                  </w:r>
                </w:p>
              </w:tc>
              <w:tc>
                <w:tcPr>
                  <w:tcW w:w="1487" w:type="pct"/>
                  <w:vMerge w:val="continue"/>
                  <w:noWrap w:val="0"/>
                  <w:vAlign w:val="center"/>
                </w:tcPr>
                <w:p>
                  <w:pPr>
                    <w:adjustRightInd w:val="0"/>
                    <w:snapToGrid w:val="0"/>
                    <w:jc w:val="center"/>
                    <w:rPr>
                      <w:color w:val="auto"/>
                      <w:highlight w:val="none"/>
                    </w:rPr>
                  </w:pPr>
                </w:p>
              </w:tc>
            </w:tr>
          </w:tbl>
          <w:p>
            <w:pPr>
              <w:pStyle w:val="41"/>
              <w:bidi w:val="0"/>
              <w:rPr>
                <w:rFonts w:hint="default" w:eastAsia="宋体"/>
                <w:color w:val="auto"/>
                <w:highlight w:val="none"/>
                <w:vertAlign w:val="baseline"/>
                <w:lang w:val="en-US" w:eastAsia="zh-CN"/>
              </w:rPr>
            </w:pPr>
            <w:r>
              <w:rPr>
                <w:color w:val="auto"/>
                <w:highlight w:val="none"/>
              </w:rPr>
              <w:t>表3-</w:t>
            </w:r>
            <w:r>
              <w:rPr>
                <w:rFonts w:hint="eastAsia"/>
                <w:color w:val="auto"/>
                <w:highlight w:val="none"/>
                <w:lang w:val="en-US" w:eastAsia="zh-CN"/>
              </w:rPr>
              <w:t>9</w:t>
            </w:r>
            <w:r>
              <w:rPr>
                <w:color w:val="auto"/>
                <w:highlight w:val="none"/>
              </w:rPr>
              <w:t xml:space="preserve">  大气污染物</w:t>
            </w:r>
            <w:r>
              <w:rPr>
                <w:rFonts w:hint="eastAsia"/>
                <w:color w:val="auto"/>
                <w:highlight w:val="none"/>
                <w:lang w:val="en-US" w:eastAsia="zh-CN"/>
              </w:rPr>
              <w:t>无组织</w:t>
            </w:r>
            <w:r>
              <w:rPr>
                <w:color w:val="auto"/>
                <w:highlight w:val="none"/>
              </w:rPr>
              <w:t>排放标准</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7"/>
              <w:gridCol w:w="1529"/>
              <w:gridCol w:w="1979"/>
              <w:gridCol w:w="2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4" w:type="pct"/>
                  <w:noWrap w:val="0"/>
                  <w:vAlign w:val="center"/>
                </w:tcPr>
                <w:p>
                  <w:pPr>
                    <w:adjustRightInd w:val="0"/>
                    <w:snapToGrid w:val="0"/>
                    <w:jc w:val="center"/>
                    <w:rPr>
                      <w:b/>
                      <w:bCs/>
                      <w:color w:val="auto"/>
                      <w:highlight w:val="none"/>
                    </w:rPr>
                  </w:pPr>
                  <w:r>
                    <w:rPr>
                      <w:b/>
                      <w:bCs/>
                      <w:color w:val="auto"/>
                      <w:highlight w:val="none"/>
                    </w:rPr>
                    <w:t>污染物</w:t>
                  </w:r>
                </w:p>
              </w:tc>
              <w:tc>
                <w:tcPr>
                  <w:tcW w:w="927" w:type="pct"/>
                  <w:noWrap w:val="0"/>
                  <w:vAlign w:val="center"/>
                </w:tcPr>
                <w:p>
                  <w:pPr>
                    <w:adjustRightInd w:val="0"/>
                    <w:snapToGrid w:val="0"/>
                    <w:jc w:val="center"/>
                    <w:rPr>
                      <w:rFonts w:hint="eastAsia" w:eastAsia="宋体"/>
                      <w:b/>
                      <w:bCs/>
                      <w:color w:val="auto"/>
                      <w:highlight w:val="none"/>
                      <w:lang w:val="en-US" w:eastAsia="zh-CN"/>
                    </w:rPr>
                  </w:pPr>
                  <w:r>
                    <w:rPr>
                      <w:rFonts w:hint="eastAsia"/>
                      <w:b/>
                      <w:bCs/>
                      <w:color w:val="auto"/>
                      <w:highlight w:val="none"/>
                      <w:lang w:val="en-US" w:eastAsia="zh-CN"/>
                    </w:rPr>
                    <w:t>单位</w:t>
                  </w:r>
                </w:p>
              </w:tc>
              <w:tc>
                <w:tcPr>
                  <w:tcW w:w="1200" w:type="pct"/>
                  <w:noWrap w:val="0"/>
                  <w:vAlign w:val="center"/>
                </w:tcPr>
                <w:p>
                  <w:pPr>
                    <w:adjustRightInd w:val="0"/>
                    <w:snapToGrid w:val="0"/>
                    <w:jc w:val="center"/>
                    <w:rPr>
                      <w:rFonts w:hint="default" w:eastAsia="宋体"/>
                      <w:b/>
                      <w:bCs/>
                      <w:color w:val="auto"/>
                      <w:highlight w:val="none"/>
                      <w:lang w:val="en-US" w:eastAsia="zh-CN"/>
                    </w:rPr>
                  </w:pPr>
                  <w:r>
                    <w:rPr>
                      <w:rFonts w:hint="eastAsia"/>
                      <w:b/>
                      <w:bCs/>
                      <w:color w:val="auto"/>
                      <w:highlight w:val="none"/>
                      <w:lang w:val="en-US" w:eastAsia="zh-CN"/>
                    </w:rPr>
                    <w:t>限值</w:t>
                  </w:r>
                </w:p>
              </w:tc>
              <w:tc>
                <w:tcPr>
                  <w:tcW w:w="1527" w:type="pct"/>
                  <w:noWrap w:val="0"/>
                  <w:vAlign w:val="center"/>
                </w:tcPr>
                <w:p>
                  <w:pPr>
                    <w:adjustRightInd w:val="0"/>
                    <w:snapToGrid w:val="0"/>
                    <w:jc w:val="center"/>
                    <w:rPr>
                      <w:b/>
                      <w:bCs/>
                      <w:color w:val="auto"/>
                      <w:highlight w:val="none"/>
                    </w:rPr>
                  </w:pPr>
                  <w:r>
                    <w:rPr>
                      <w:b/>
                      <w:bCs/>
                      <w:color w:val="auto"/>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4"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氨</w:t>
                  </w:r>
                </w:p>
              </w:tc>
              <w:tc>
                <w:tcPr>
                  <w:tcW w:w="927" w:type="pct"/>
                  <w:noWrap w:val="0"/>
                  <w:vAlign w:val="center"/>
                </w:tcPr>
                <w:p>
                  <w:pPr>
                    <w:adjustRightInd w:val="0"/>
                    <w:snapToGrid w:val="0"/>
                    <w:jc w:val="center"/>
                    <w:rPr>
                      <w:rFonts w:ascii="Times New Roman" w:hAnsi="Times New Roman" w:eastAsia="宋体" w:cs="Times New Roman"/>
                      <w:color w:val="auto"/>
                      <w:kern w:val="2"/>
                      <w:sz w:val="21"/>
                      <w:szCs w:val="24"/>
                      <w:highlight w:val="none"/>
                      <w:lang w:val="en-US" w:eastAsia="zh-CN" w:bidi="ar-SA"/>
                    </w:rPr>
                  </w:pPr>
                  <w:r>
                    <w:rPr>
                      <w:b w:val="0"/>
                      <w:bCs w:val="0"/>
                      <w:color w:val="auto"/>
                      <w:szCs w:val="21"/>
                      <w:highlight w:val="none"/>
                    </w:rPr>
                    <w:t>mg/m</w:t>
                  </w:r>
                  <w:r>
                    <w:rPr>
                      <w:b w:val="0"/>
                      <w:bCs w:val="0"/>
                      <w:color w:val="auto"/>
                      <w:szCs w:val="21"/>
                      <w:highlight w:val="none"/>
                      <w:vertAlign w:val="superscript"/>
                    </w:rPr>
                    <w:t>3</w:t>
                  </w:r>
                </w:p>
              </w:tc>
              <w:tc>
                <w:tcPr>
                  <w:tcW w:w="1200"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1.5</w:t>
                  </w:r>
                </w:p>
              </w:tc>
              <w:tc>
                <w:tcPr>
                  <w:tcW w:w="1527" w:type="pct"/>
                  <w:vMerge w:val="restart"/>
                  <w:noWrap w:val="0"/>
                  <w:vAlign w:val="center"/>
                </w:tcPr>
                <w:p>
                  <w:pPr>
                    <w:adjustRightInd w:val="0"/>
                    <w:snapToGrid w:val="0"/>
                    <w:jc w:val="center"/>
                    <w:rPr>
                      <w:color w:val="auto"/>
                      <w:highlight w:val="none"/>
                    </w:rPr>
                  </w:pPr>
                  <w:r>
                    <w:rPr>
                      <w:rFonts w:hint="eastAsia" w:ascii="Times New Roman" w:hAnsi="Times New Roman" w:eastAsia="宋体" w:cs="Times New Roman"/>
                      <w:color w:val="auto"/>
                      <w:highlight w:val="none"/>
                      <w:lang w:val="en-US" w:eastAsia="zh-CN"/>
                    </w:rPr>
                    <w:t>《恶臭污染物排放标准》（GB14554-1993）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4"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硫化氢</w:t>
                  </w:r>
                </w:p>
              </w:tc>
              <w:tc>
                <w:tcPr>
                  <w:tcW w:w="927"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b w:val="0"/>
                      <w:bCs w:val="0"/>
                      <w:color w:val="auto"/>
                      <w:szCs w:val="21"/>
                      <w:highlight w:val="none"/>
                    </w:rPr>
                    <w:t>mg/m</w:t>
                  </w:r>
                  <w:r>
                    <w:rPr>
                      <w:b w:val="0"/>
                      <w:bCs w:val="0"/>
                      <w:color w:val="auto"/>
                      <w:szCs w:val="21"/>
                      <w:highlight w:val="none"/>
                      <w:vertAlign w:val="superscript"/>
                    </w:rPr>
                    <w:t>3</w:t>
                  </w:r>
                </w:p>
              </w:tc>
              <w:tc>
                <w:tcPr>
                  <w:tcW w:w="1200"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0.06</w:t>
                  </w:r>
                </w:p>
              </w:tc>
              <w:tc>
                <w:tcPr>
                  <w:tcW w:w="1527" w:type="pct"/>
                  <w:vMerge w:val="continue"/>
                  <w:noWrap w:val="0"/>
                  <w:vAlign w:val="center"/>
                </w:tcPr>
                <w:p>
                  <w:pPr>
                    <w:adjustRightInd w:val="0"/>
                    <w:snapToGrid w:val="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4"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臭气浓度</w:t>
                  </w:r>
                </w:p>
              </w:tc>
              <w:tc>
                <w:tcPr>
                  <w:tcW w:w="927"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无量纲</w:t>
                  </w:r>
                </w:p>
              </w:tc>
              <w:tc>
                <w:tcPr>
                  <w:tcW w:w="1200"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20</w:t>
                  </w:r>
                </w:p>
              </w:tc>
              <w:tc>
                <w:tcPr>
                  <w:tcW w:w="1527" w:type="pct"/>
                  <w:vMerge w:val="continue"/>
                  <w:noWrap w:val="0"/>
                  <w:vAlign w:val="center"/>
                </w:tcPr>
                <w:p>
                  <w:pPr>
                    <w:adjustRightInd w:val="0"/>
                    <w:snapToGrid w:val="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4" w:type="pct"/>
                  <w:noWrap w:val="0"/>
                  <w:vAlign w:val="center"/>
                </w:tcPr>
                <w:p>
                  <w:pPr>
                    <w:adjustRightInd w:val="0"/>
                    <w:snapToGrid w:val="0"/>
                    <w:jc w:val="center"/>
                    <w:rPr>
                      <w:rFonts w:hint="eastAsia"/>
                      <w:color w:val="auto"/>
                      <w:highlight w:val="none"/>
                      <w:lang w:val="en-US" w:eastAsia="zh-CN"/>
                    </w:rPr>
                  </w:pPr>
                  <w:r>
                    <w:rPr>
                      <w:color w:val="auto"/>
                      <w:highlight w:val="none"/>
                    </w:rPr>
                    <w:t>颗粒物</w:t>
                  </w:r>
                </w:p>
              </w:tc>
              <w:tc>
                <w:tcPr>
                  <w:tcW w:w="927" w:type="pct"/>
                  <w:noWrap w:val="0"/>
                  <w:vAlign w:val="center"/>
                </w:tcPr>
                <w:p>
                  <w:pPr>
                    <w:adjustRightInd w:val="0"/>
                    <w:snapToGrid w:val="0"/>
                    <w:jc w:val="center"/>
                    <w:rPr>
                      <w:rFonts w:hint="eastAsia"/>
                      <w:color w:val="auto"/>
                      <w:highlight w:val="none"/>
                      <w:lang w:val="en-US" w:eastAsia="zh-CN"/>
                    </w:rPr>
                  </w:pPr>
                  <w:r>
                    <w:rPr>
                      <w:b w:val="0"/>
                      <w:bCs w:val="0"/>
                      <w:color w:val="auto"/>
                      <w:szCs w:val="21"/>
                      <w:highlight w:val="none"/>
                    </w:rPr>
                    <w:t>mg/m</w:t>
                  </w:r>
                  <w:r>
                    <w:rPr>
                      <w:b w:val="0"/>
                      <w:bCs w:val="0"/>
                      <w:color w:val="auto"/>
                      <w:szCs w:val="21"/>
                      <w:highlight w:val="none"/>
                      <w:vertAlign w:val="superscript"/>
                    </w:rPr>
                    <w:t>3</w:t>
                  </w:r>
                </w:p>
              </w:tc>
              <w:tc>
                <w:tcPr>
                  <w:tcW w:w="1200" w:type="pct"/>
                  <w:noWrap w:val="0"/>
                  <w:vAlign w:val="center"/>
                </w:tcPr>
                <w:p>
                  <w:pPr>
                    <w:adjustRightInd w:val="0"/>
                    <w:snapToGrid w:val="0"/>
                    <w:jc w:val="center"/>
                    <w:rPr>
                      <w:rFonts w:hint="eastAsia" w:ascii="Times New Roman" w:hAnsi="Times New Roman" w:eastAsia="宋体"/>
                      <w:color w:val="auto"/>
                      <w:kern w:val="2"/>
                      <w:sz w:val="21"/>
                      <w:szCs w:val="24"/>
                      <w:highlight w:val="none"/>
                      <w:lang w:val="en-US" w:eastAsia="zh-CN" w:bidi="ar-SA"/>
                    </w:rPr>
                  </w:pPr>
                  <w:r>
                    <w:rPr>
                      <w:rFonts w:hint="eastAsia"/>
                      <w:color w:val="auto"/>
                      <w:highlight w:val="none"/>
                    </w:rPr>
                    <w:t>1.0</w:t>
                  </w:r>
                </w:p>
              </w:tc>
              <w:tc>
                <w:tcPr>
                  <w:tcW w:w="1527" w:type="pct"/>
                  <w:noWrap w:val="0"/>
                  <w:vAlign w:val="center"/>
                </w:tcPr>
                <w:p>
                  <w:pPr>
                    <w:adjustRightInd w:val="0"/>
                    <w:snapToGrid w:val="0"/>
                    <w:jc w:val="center"/>
                    <w:rPr>
                      <w:rFonts w:hint="eastAsia" w:ascii="Times New Roman" w:hAnsi="Times New Roman" w:eastAsia="宋体"/>
                      <w:color w:val="auto"/>
                      <w:kern w:val="2"/>
                      <w:sz w:val="21"/>
                      <w:szCs w:val="24"/>
                      <w:highlight w:val="none"/>
                      <w:lang w:val="en-US" w:eastAsia="zh-CN" w:bidi="ar-SA"/>
                    </w:rPr>
                  </w:pPr>
                  <w:r>
                    <w:rPr>
                      <w:color w:val="auto"/>
                      <w:highlight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4" w:type="pct"/>
                  <w:noWrap w:val="0"/>
                  <w:vAlign w:val="center"/>
                </w:tcPr>
                <w:p>
                  <w:pPr>
                    <w:adjustRightInd w:val="0"/>
                    <w:snapToGrid w:val="0"/>
                    <w:jc w:val="center"/>
                    <w:rPr>
                      <w:rFonts w:hint="eastAsia"/>
                      <w:color w:val="auto"/>
                      <w:highlight w:val="none"/>
                      <w:lang w:val="en-US" w:eastAsia="zh-CN"/>
                    </w:rPr>
                  </w:pPr>
                  <w:r>
                    <w:rPr>
                      <w:color w:val="auto"/>
                      <w:highlight w:val="none"/>
                    </w:rPr>
                    <w:t>VOCs</w:t>
                  </w:r>
                </w:p>
              </w:tc>
              <w:tc>
                <w:tcPr>
                  <w:tcW w:w="927" w:type="pct"/>
                  <w:noWrap w:val="0"/>
                  <w:vAlign w:val="center"/>
                </w:tcPr>
                <w:p>
                  <w:pPr>
                    <w:adjustRightInd w:val="0"/>
                    <w:snapToGrid w:val="0"/>
                    <w:jc w:val="center"/>
                    <w:rPr>
                      <w:rFonts w:hint="eastAsia"/>
                      <w:color w:val="auto"/>
                      <w:highlight w:val="none"/>
                      <w:lang w:val="en-US" w:eastAsia="zh-CN"/>
                    </w:rPr>
                  </w:pPr>
                  <w:r>
                    <w:rPr>
                      <w:b w:val="0"/>
                      <w:bCs w:val="0"/>
                      <w:color w:val="auto"/>
                      <w:szCs w:val="21"/>
                      <w:highlight w:val="none"/>
                    </w:rPr>
                    <w:t>mg/m</w:t>
                  </w:r>
                  <w:r>
                    <w:rPr>
                      <w:b w:val="0"/>
                      <w:bCs w:val="0"/>
                      <w:color w:val="auto"/>
                      <w:szCs w:val="21"/>
                      <w:highlight w:val="none"/>
                      <w:vertAlign w:val="superscript"/>
                    </w:rPr>
                    <w:t>3</w:t>
                  </w:r>
                </w:p>
              </w:tc>
              <w:tc>
                <w:tcPr>
                  <w:tcW w:w="1200" w:type="pct"/>
                  <w:noWrap w:val="0"/>
                  <w:vAlign w:val="center"/>
                </w:tcPr>
                <w:p>
                  <w:pPr>
                    <w:adjustRightInd w:val="0"/>
                    <w:snapToGrid w:val="0"/>
                    <w:jc w:val="center"/>
                    <w:rPr>
                      <w:rFonts w:hint="eastAsia"/>
                      <w:color w:val="auto"/>
                      <w:highlight w:val="none"/>
                      <w:lang w:val="en-US" w:eastAsia="zh-CN"/>
                    </w:rPr>
                  </w:pPr>
                  <w:r>
                    <w:rPr>
                      <w:rFonts w:hint="eastAsia"/>
                      <w:color w:val="auto"/>
                      <w:highlight w:val="none"/>
                    </w:rPr>
                    <w:t>2.0</w:t>
                  </w:r>
                </w:p>
              </w:tc>
              <w:tc>
                <w:tcPr>
                  <w:tcW w:w="1527" w:type="pct"/>
                  <w:noWrap w:val="0"/>
                  <w:vAlign w:val="center"/>
                </w:tcPr>
                <w:p>
                  <w:pPr>
                    <w:adjustRightInd w:val="0"/>
                    <w:snapToGrid w:val="0"/>
                    <w:jc w:val="center"/>
                    <w:rPr>
                      <w:color w:val="auto"/>
                      <w:highlight w:val="none"/>
                    </w:rPr>
                  </w:pPr>
                  <w:r>
                    <w:rPr>
                      <w:color w:val="auto"/>
                      <w:highlight w:val="none"/>
                    </w:rPr>
                    <w:t>《四川省固定污染源大气挥发性有机物排放标准》（DB51/2377-2017）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4" w:type="pct"/>
                  <w:noWrap w:val="0"/>
                  <w:vAlign w:val="center"/>
                </w:tcPr>
                <w:p>
                  <w:pPr>
                    <w:adjustRightInd w:val="0"/>
                    <w:snapToGrid w:val="0"/>
                    <w:jc w:val="center"/>
                    <w:rPr>
                      <w:rFonts w:hint="eastAsia" w:eastAsia="宋体"/>
                      <w:color w:val="auto"/>
                      <w:highlight w:val="none"/>
                      <w:lang w:eastAsia="zh-CN"/>
                    </w:rPr>
                  </w:pPr>
                  <w:r>
                    <w:rPr>
                      <w:rFonts w:hint="eastAsia"/>
                      <w:color w:val="auto"/>
                      <w:highlight w:val="none"/>
                      <w:lang w:eastAsia="zh-CN"/>
                    </w:rPr>
                    <w:t>非甲烷总烃</w:t>
                  </w:r>
                </w:p>
              </w:tc>
              <w:tc>
                <w:tcPr>
                  <w:tcW w:w="927" w:type="pct"/>
                  <w:noWrap w:val="0"/>
                  <w:vAlign w:val="center"/>
                </w:tcPr>
                <w:p>
                  <w:pPr>
                    <w:adjustRightInd w:val="0"/>
                    <w:snapToGrid w:val="0"/>
                    <w:jc w:val="center"/>
                    <w:rPr>
                      <w:b w:val="0"/>
                      <w:bCs w:val="0"/>
                      <w:color w:val="auto"/>
                      <w:szCs w:val="21"/>
                      <w:highlight w:val="none"/>
                    </w:rPr>
                  </w:pPr>
                  <w:r>
                    <w:rPr>
                      <w:b w:val="0"/>
                      <w:bCs w:val="0"/>
                      <w:color w:val="auto"/>
                      <w:szCs w:val="21"/>
                      <w:highlight w:val="none"/>
                    </w:rPr>
                    <w:t>mg/m</w:t>
                  </w:r>
                  <w:r>
                    <w:rPr>
                      <w:b w:val="0"/>
                      <w:bCs w:val="0"/>
                      <w:color w:val="auto"/>
                      <w:szCs w:val="21"/>
                      <w:highlight w:val="none"/>
                      <w:vertAlign w:val="superscript"/>
                    </w:rPr>
                    <w:t>3</w:t>
                  </w:r>
                </w:p>
              </w:tc>
              <w:tc>
                <w:tcPr>
                  <w:tcW w:w="1200" w:type="pct"/>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4.0</w:t>
                  </w:r>
                </w:p>
              </w:tc>
              <w:tc>
                <w:tcPr>
                  <w:tcW w:w="1527" w:type="pct"/>
                  <w:noWrap w:val="0"/>
                  <w:vAlign w:val="center"/>
                </w:tcPr>
                <w:p>
                  <w:pPr>
                    <w:adjustRightInd w:val="0"/>
                    <w:snapToGrid w:val="0"/>
                    <w:jc w:val="center"/>
                    <w:rPr>
                      <w:color w:val="auto"/>
                      <w:highlight w:val="none"/>
                    </w:rPr>
                  </w:pPr>
                  <w:r>
                    <w:rPr>
                      <w:rFonts w:hint="eastAsia"/>
                      <w:color w:val="auto"/>
                      <w:highlight w:val="none"/>
                    </w:rPr>
                    <w:t>《合成树脂工业污染物排放标准》（GB31572-2015）</w:t>
                  </w:r>
                </w:p>
              </w:tc>
            </w:tr>
          </w:tbl>
          <w:p>
            <w:pPr>
              <w:pStyle w:val="41"/>
              <w:bidi w:val="0"/>
              <w:rPr>
                <w:color w:val="auto"/>
                <w:highlight w:val="none"/>
              </w:rPr>
            </w:pPr>
            <w:r>
              <w:rPr>
                <w:color w:val="auto"/>
                <w:highlight w:val="none"/>
              </w:rPr>
              <w:t>表3-</w:t>
            </w:r>
            <w:r>
              <w:rPr>
                <w:rFonts w:hint="eastAsia"/>
                <w:color w:val="auto"/>
                <w:highlight w:val="none"/>
              </w:rPr>
              <w:t>10</w:t>
            </w:r>
            <w:r>
              <w:rPr>
                <w:color w:val="auto"/>
                <w:highlight w:val="none"/>
              </w:rPr>
              <w:t xml:space="preserve">  饮食业油烟排放标准</w:t>
            </w:r>
          </w:p>
          <w:tbl>
            <w:tblPr>
              <w:tblStyle w:val="21"/>
              <w:tblW w:w="8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453"/>
              <w:gridCol w:w="1453"/>
              <w:gridCol w:w="1455"/>
              <w:gridCol w:w="1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62" w:type="pct"/>
                  <w:noWrap w:val="0"/>
                  <w:vAlign w:val="center"/>
                </w:tcPr>
                <w:p>
                  <w:pPr>
                    <w:adjustRightInd w:val="0"/>
                    <w:snapToGrid w:val="0"/>
                    <w:jc w:val="center"/>
                    <w:rPr>
                      <w:b/>
                      <w:bCs/>
                      <w:color w:val="auto"/>
                      <w:highlight w:val="none"/>
                    </w:rPr>
                  </w:pPr>
                  <w:r>
                    <w:rPr>
                      <w:b/>
                      <w:bCs/>
                      <w:color w:val="auto"/>
                      <w:highlight w:val="none"/>
                    </w:rPr>
                    <w:t>规模</w:t>
                  </w:r>
                </w:p>
              </w:tc>
              <w:tc>
                <w:tcPr>
                  <w:tcW w:w="861" w:type="pct"/>
                  <w:noWrap w:val="0"/>
                  <w:vAlign w:val="center"/>
                </w:tcPr>
                <w:p>
                  <w:pPr>
                    <w:adjustRightInd w:val="0"/>
                    <w:snapToGrid w:val="0"/>
                    <w:jc w:val="center"/>
                    <w:rPr>
                      <w:b/>
                      <w:bCs/>
                      <w:color w:val="auto"/>
                      <w:highlight w:val="none"/>
                    </w:rPr>
                  </w:pPr>
                  <w:r>
                    <w:rPr>
                      <w:b/>
                      <w:bCs/>
                      <w:color w:val="auto"/>
                      <w:highlight w:val="none"/>
                    </w:rPr>
                    <w:t>小型</w:t>
                  </w:r>
                </w:p>
              </w:tc>
              <w:tc>
                <w:tcPr>
                  <w:tcW w:w="861" w:type="pct"/>
                  <w:noWrap w:val="0"/>
                  <w:vAlign w:val="center"/>
                </w:tcPr>
                <w:p>
                  <w:pPr>
                    <w:adjustRightInd w:val="0"/>
                    <w:snapToGrid w:val="0"/>
                    <w:jc w:val="center"/>
                    <w:rPr>
                      <w:rFonts w:hint="eastAsia" w:eastAsia="宋体"/>
                      <w:b/>
                      <w:bCs/>
                      <w:color w:val="auto"/>
                      <w:highlight w:val="none"/>
                      <w:lang w:val="en-US" w:eastAsia="zh-CN"/>
                    </w:rPr>
                  </w:pPr>
                  <w:r>
                    <w:rPr>
                      <w:rFonts w:hint="eastAsia"/>
                      <w:b/>
                      <w:bCs/>
                      <w:color w:val="auto"/>
                      <w:highlight w:val="none"/>
                      <w:lang w:val="en-US" w:eastAsia="zh-CN"/>
                    </w:rPr>
                    <w:t>中型</w:t>
                  </w:r>
                </w:p>
              </w:tc>
              <w:tc>
                <w:tcPr>
                  <w:tcW w:w="862" w:type="pct"/>
                  <w:noWrap w:val="0"/>
                  <w:vAlign w:val="center"/>
                </w:tcPr>
                <w:p>
                  <w:pPr>
                    <w:adjustRightInd w:val="0"/>
                    <w:snapToGrid w:val="0"/>
                    <w:jc w:val="center"/>
                    <w:rPr>
                      <w:rFonts w:hint="eastAsia" w:eastAsia="宋体"/>
                      <w:b/>
                      <w:bCs/>
                      <w:color w:val="auto"/>
                      <w:highlight w:val="none"/>
                      <w:lang w:val="en-US" w:eastAsia="zh-CN"/>
                    </w:rPr>
                  </w:pPr>
                  <w:r>
                    <w:rPr>
                      <w:rFonts w:hint="eastAsia"/>
                      <w:b/>
                      <w:bCs/>
                      <w:color w:val="auto"/>
                      <w:highlight w:val="none"/>
                      <w:lang w:val="en-US" w:eastAsia="zh-CN"/>
                    </w:rPr>
                    <w:t>大型</w:t>
                  </w:r>
                </w:p>
              </w:tc>
              <w:tc>
                <w:tcPr>
                  <w:tcW w:w="1153" w:type="pct"/>
                  <w:noWrap w:val="0"/>
                  <w:vAlign w:val="center"/>
                </w:tcPr>
                <w:p>
                  <w:pPr>
                    <w:adjustRightInd w:val="0"/>
                    <w:snapToGrid w:val="0"/>
                    <w:jc w:val="center"/>
                    <w:rPr>
                      <w:b/>
                      <w:bCs/>
                      <w:color w:val="auto"/>
                      <w:highlight w:val="none"/>
                    </w:rPr>
                  </w:pPr>
                  <w:r>
                    <w:rPr>
                      <w:b/>
                      <w:bCs/>
                      <w:color w:val="auto"/>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pct"/>
                  <w:noWrap w:val="0"/>
                  <w:vAlign w:val="center"/>
                </w:tcPr>
                <w:p>
                  <w:pPr>
                    <w:adjustRightInd w:val="0"/>
                    <w:snapToGrid w:val="0"/>
                    <w:jc w:val="center"/>
                    <w:rPr>
                      <w:color w:val="auto"/>
                      <w:highlight w:val="none"/>
                    </w:rPr>
                  </w:pPr>
                  <w:r>
                    <w:rPr>
                      <w:color w:val="auto"/>
                      <w:highlight w:val="none"/>
                    </w:rPr>
                    <w:t>最高允许排放浓度（mg/</w:t>
                  </w:r>
                  <w:r>
                    <w:rPr>
                      <w:color w:val="auto"/>
                      <w:szCs w:val="21"/>
                      <w:highlight w:val="none"/>
                    </w:rPr>
                    <w:t>m</w:t>
                  </w:r>
                  <w:r>
                    <w:rPr>
                      <w:rFonts w:hint="eastAsia"/>
                      <w:color w:val="auto"/>
                      <w:szCs w:val="21"/>
                      <w:highlight w:val="none"/>
                      <w:vertAlign w:val="superscript"/>
                    </w:rPr>
                    <w:t>3</w:t>
                  </w:r>
                  <w:r>
                    <w:rPr>
                      <w:color w:val="auto"/>
                      <w:highlight w:val="none"/>
                    </w:rPr>
                    <w:t>）</w:t>
                  </w:r>
                </w:p>
              </w:tc>
              <w:tc>
                <w:tcPr>
                  <w:tcW w:w="2584" w:type="pct"/>
                  <w:gridSpan w:val="3"/>
                  <w:noWrap w:val="0"/>
                  <w:vAlign w:val="center"/>
                </w:tcPr>
                <w:p>
                  <w:pPr>
                    <w:adjustRightInd w:val="0"/>
                    <w:snapToGrid w:val="0"/>
                    <w:jc w:val="center"/>
                    <w:rPr>
                      <w:color w:val="auto"/>
                      <w:highlight w:val="none"/>
                    </w:rPr>
                  </w:pPr>
                  <w:r>
                    <w:rPr>
                      <w:color w:val="auto"/>
                      <w:highlight w:val="none"/>
                    </w:rPr>
                    <w:t>2.0</w:t>
                  </w:r>
                </w:p>
              </w:tc>
              <w:tc>
                <w:tcPr>
                  <w:tcW w:w="1153" w:type="pct"/>
                  <w:vMerge w:val="restart"/>
                  <w:noWrap w:val="0"/>
                  <w:vAlign w:val="center"/>
                </w:tcPr>
                <w:p>
                  <w:pPr>
                    <w:adjustRightInd w:val="0"/>
                    <w:snapToGrid w:val="0"/>
                    <w:jc w:val="center"/>
                    <w:rPr>
                      <w:color w:val="auto"/>
                      <w:highlight w:val="none"/>
                    </w:rPr>
                  </w:pPr>
                  <w:r>
                    <w:rPr>
                      <w:color w:val="auto"/>
                      <w:highlight w:val="none"/>
                    </w:rPr>
                    <w:t>《饮食业油烟排放标准（试行）》（GB18483-2001）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pct"/>
                  <w:noWrap w:val="0"/>
                  <w:vAlign w:val="center"/>
                </w:tcPr>
                <w:p>
                  <w:pPr>
                    <w:adjustRightInd w:val="0"/>
                    <w:snapToGrid w:val="0"/>
                    <w:jc w:val="center"/>
                    <w:rPr>
                      <w:color w:val="auto"/>
                      <w:highlight w:val="none"/>
                    </w:rPr>
                  </w:pPr>
                  <w:r>
                    <w:rPr>
                      <w:color w:val="auto"/>
                      <w:highlight w:val="none"/>
                    </w:rPr>
                    <w:t>净化设施最低去除效率（%）</w:t>
                  </w:r>
                </w:p>
              </w:tc>
              <w:tc>
                <w:tcPr>
                  <w:tcW w:w="861" w:type="pct"/>
                  <w:noWrap w:val="0"/>
                  <w:vAlign w:val="center"/>
                </w:tcPr>
                <w:p>
                  <w:pPr>
                    <w:adjustRightInd w:val="0"/>
                    <w:snapToGrid w:val="0"/>
                    <w:jc w:val="center"/>
                    <w:rPr>
                      <w:color w:val="auto"/>
                      <w:highlight w:val="none"/>
                    </w:rPr>
                  </w:pPr>
                  <w:r>
                    <w:rPr>
                      <w:color w:val="auto"/>
                      <w:highlight w:val="none"/>
                    </w:rPr>
                    <w:t>60</w:t>
                  </w:r>
                </w:p>
              </w:tc>
              <w:tc>
                <w:tcPr>
                  <w:tcW w:w="861" w:type="pct"/>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75</w:t>
                  </w:r>
                </w:p>
              </w:tc>
              <w:tc>
                <w:tcPr>
                  <w:tcW w:w="862" w:type="pct"/>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85</w:t>
                  </w:r>
                </w:p>
              </w:tc>
              <w:tc>
                <w:tcPr>
                  <w:tcW w:w="1153" w:type="pct"/>
                  <w:vMerge w:val="continue"/>
                  <w:noWrap w:val="0"/>
                  <w:vAlign w:val="center"/>
                </w:tcPr>
                <w:p>
                  <w:pPr>
                    <w:spacing w:line="500" w:lineRule="exact"/>
                    <w:rPr>
                      <w:color w:val="auto"/>
                      <w:sz w:val="24"/>
                      <w:highlight w:val="none"/>
                    </w:rPr>
                  </w:pPr>
                </w:p>
              </w:tc>
            </w:tr>
          </w:tbl>
          <w:p>
            <w:pPr>
              <w:pStyle w:val="41"/>
              <w:bidi w:val="0"/>
              <w:rPr>
                <w:rFonts w:ascii="Times New Roman" w:hAnsi="Times New Roman" w:eastAsia="宋体" w:cs="宋体"/>
                <w:color w:val="auto"/>
                <w:highlight w:val="none"/>
              </w:rPr>
            </w:pPr>
            <w:r>
              <w:rPr>
                <w:rFonts w:ascii="Times New Roman" w:hAnsi="Times New Roman" w:eastAsia="宋体" w:cs="宋体"/>
                <w:color w:val="auto"/>
                <w:highlight w:val="none"/>
              </w:rPr>
              <w:t>表</w:t>
            </w:r>
            <w:r>
              <w:rPr>
                <w:rFonts w:hint="eastAsia" w:ascii="Times New Roman" w:hAnsi="Times New Roman" w:eastAsia="宋体" w:cs="宋体"/>
                <w:color w:val="auto"/>
                <w:highlight w:val="none"/>
              </w:rPr>
              <w:t>3-</w:t>
            </w:r>
            <w:r>
              <w:rPr>
                <w:rFonts w:hint="eastAsia" w:ascii="Times New Roman" w:hAnsi="Times New Roman" w:eastAsia="宋体" w:cs="宋体"/>
                <w:color w:val="auto"/>
                <w:highlight w:val="none"/>
                <w:lang w:val="en-US" w:eastAsia="zh-CN"/>
              </w:rPr>
              <w:t>11</w:t>
            </w:r>
            <w:r>
              <w:rPr>
                <w:rFonts w:hint="eastAsia" w:ascii="Times New Roman" w:hAnsi="Times New Roman" w:eastAsia="宋体" w:cs="宋体"/>
                <w:color w:val="auto"/>
                <w:highlight w:val="none"/>
              </w:rPr>
              <w:t xml:space="preserve">  厂区内</w:t>
            </w:r>
            <w:r>
              <w:rPr>
                <w:rFonts w:hint="eastAsia" w:cs="宋体"/>
                <w:color w:val="auto"/>
                <w:highlight w:val="none"/>
                <w:lang w:eastAsia="zh-CN"/>
              </w:rPr>
              <w:t>（</w:t>
            </w:r>
            <w:r>
              <w:rPr>
                <w:rFonts w:hint="eastAsia" w:cs="宋体"/>
                <w:color w:val="auto"/>
                <w:highlight w:val="none"/>
                <w:lang w:val="en-US" w:eastAsia="zh-CN"/>
              </w:rPr>
              <w:t>厂房外</w:t>
            </w:r>
            <w:r>
              <w:rPr>
                <w:rFonts w:hint="eastAsia" w:cs="宋体"/>
                <w:color w:val="auto"/>
                <w:highlight w:val="none"/>
                <w:lang w:eastAsia="zh-CN"/>
              </w:rPr>
              <w:t>）</w:t>
            </w:r>
            <w:r>
              <w:rPr>
                <w:rFonts w:hint="eastAsia" w:ascii="Times New Roman" w:hAnsi="Times New Roman" w:eastAsia="宋体" w:cs="宋体"/>
                <w:color w:val="auto"/>
                <w:highlight w:val="none"/>
              </w:rPr>
              <w:t>有机废</w:t>
            </w:r>
            <w:r>
              <w:rPr>
                <w:rFonts w:hint="eastAsia" w:ascii="Times New Roman" w:hAnsi="Times New Roman" w:eastAsia="宋体" w:cs="宋体"/>
                <w:color w:val="auto"/>
                <w:highlight w:val="none"/>
                <w:lang w:val="en-US" w:eastAsia="zh-CN"/>
              </w:rPr>
              <w:t>气</w:t>
            </w:r>
            <w:r>
              <w:rPr>
                <w:rFonts w:hint="eastAsia" w:ascii="Times New Roman" w:hAnsi="Times New Roman" w:eastAsia="宋体" w:cs="宋体"/>
                <w:color w:val="auto"/>
                <w:highlight w:val="none"/>
              </w:rPr>
              <w:t>无组织</w:t>
            </w:r>
            <w:r>
              <w:rPr>
                <w:rFonts w:ascii="Times New Roman" w:hAnsi="Times New Roman" w:eastAsia="宋体" w:cs="宋体"/>
                <w:color w:val="auto"/>
                <w:highlight w:val="none"/>
              </w:rPr>
              <w:t>排放标准</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379"/>
              <w:gridCol w:w="2654"/>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61" w:type="pct"/>
                  <w:noWrap w:val="0"/>
                  <w:vAlign w:val="center"/>
                </w:tcPr>
                <w:p>
                  <w:pPr>
                    <w:pStyle w:val="60"/>
                    <w:spacing w:before="0"/>
                    <w:rPr>
                      <w:rFonts w:hint="eastAsia" w:ascii="Times New Roman" w:hAnsi="Times New Roman" w:eastAsia="宋体"/>
                      <w:color w:val="auto"/>
                      <w:szCs w:val="21"/>
                      <w:highlight w:val="none"/>
                    </w:rPr>
                  </w:pPr>
                  <w:r>
                    <w:rPr>
                      <w:rFonts w:ascii="Times New Roman" w:hAnsi="Times New Roman" w:eastAsia="宋体"/>
                      <w:color w:val="auto"/>
                      <w:szCs w:val="21"/>
                      <w:highlight w:val="none"/>
                    </w:rPr>
                    <w:t>污染物</w:t>
                  </w:r>
                  <w:r>
                    <w:rPr>
                      <w:rFonts w:hint="eastAsia" w:ascii="Times New Roman" w:hAnsi="Times New Roman" w:eastAsia="宋体"/>
                      <w:color w:val="auto"/>
                      <w:szCs w:val="21"/>
                      <w:highlight w:val="none"/>
                    </w:rPr>
                    <w:t>项目</w:t>
                  </w:r>
                </w:p>
              </w:tc>
              <w:tc>
                <w:tcPr>
                  <w:tcW w:w="836" w:type="pct"/>
                  <w:noWrap w:val="0"/>
                  <w:vAlign w:val="center"/>
                </w:tcPr>
                <w:p>
                  <w:pPr>
                    <w:pStyle w:val="60"/>
                    <w:spacing w:before="0"/>
                    <w:rPr>
                      <w:rFonts w:hint="eastAsia" w:ascii="Times New Roman" w:hAnsi="Times New Roman" w:eastAsia="宋体"/>
                      <w:color w:val="auto"/>
                      <w:szCs w:val="21"/>
                      <w:highlight w:val="none"/>
                    </w:rPr>
                  </w:pPr>
                  <w:r>
                    <w:rPr>
                      <w:rFonts w:ascii="Times New Roman" w:hAnsi="Times New Roman" w:eastAsia="宋体"/>
                      <w:color w:val="auto"/>
                      <w:szCs w:val="21"/>
                      <w:highlight w:val="none"/>
                    </w:rPr>
                    <w:t>排放</w:t>
                  </w:r>
                  <w:r>
                    <w:rPr>
                      <w:rFonts w:hint="eastAsia" w:ascii="Times New Roman" w:hAnsi="Times New Roman" w:eastAsia="宋体"/>
                      <w:color w:val="auto"/>
                      <w:szCs w:val="21"/>
                      <w:highlight w:val="none"/>
                    </w:rPr>
                    <w:t>限值</w:t>
                  </w:r>
                  <w:r>
                    <w:rPr>
                      <w:rFonts w:hint="eastAsia" w:ascii="Times New Roman" w:hAnsi="Times New Roman" w:eastAsia="宋体"/>
                      <w:bCs/>
                      <w:color w:val="auto"/>
                      <w:szCs w:val="21"/>
                      <w:highlight w:val="none"/>
                    </w:rPr>
                    <w:t>（</w:t>
                  </w:r>
                  <w:r>
                    <w:rPr>
                      <w:rFonts w:ascii="Times New Roman" w:hAnsi="Times New Roman" w:eastAsia="宋体"/>
                      <w:color w:val="auto"/>
                      <w:szCs w:val="21"/>
                      <w:highlight w:val="none"/>
                    </w:rPr>
                    <w:t>mg/m</w:t>
                  </w:r>
                  <w:r>
                    <w:rPr>
                      <w:rFonts w:ascii="Times New Roman" w:hAnsi="Times New Roman" w:eastAsia="宋体"/>
                      <w:color w:val="auto"/>
                      <w:szCs w:val="21"/>
                      <w:highlight w:val="none"/>
                      <w:vertAlign w:val="superscript"/>
                    </w:rPr>
                    <w:t>3</w:t>
                  </w:r>
                  <w:r>
                    <w:rPr>
                      <w:rFonts w:hint="eastAsia" w:ascii="Times New Roman" w:hAnsi="Times New Roman" w:eastAsia="宋体"/>
                      <w:color w:val="auto"/>
                      <w:szCs w:val="21"/>
                      <w:highlight w:val="none"/>
                    </w:rPr>
                    <w:t>）</w:t>
                  </w:r>
                </w:p>
              </w:tc>
              <w:tc>
                <w:tcPr>
                  <w:tcW w:w="1609" w:type="pct"/>
                  <w:noWrap w:val="0"/>
                  <w:vAlign w:val="center"/>
                </w:tcPr>
                <w:p>
                  <w:pPr>
                    <w:pStyle w:val="60"/>
                    <w:spacing w:before="0"/>
                    <w:rPr>
                      <w:rFonts w:ascii="Times New Roman" w:hAnsi="Times New Roman" w:eastAsia="宋体"/>
                      <w:color w:val="auto"/>
                      <w:szCs w:val="21"/>
                      <w:highlight w:val="none"/>
                    </w:rPr>
                  </w:pPr>
                  <w:r>
                    <w:rPr>
                      <w:rFonts w:hint="eastAsia" w:ascii="Times New Roman" w:hAnsi="Times New Roman" w:eastAsia="宋体"/>
                      <w:color w:val="auto"/>
                      <w:szCs w:val="21"/>
                      <w:highlight w:val="none"/>
                    </w:rPr>
                    <w:t>限制含义</w:t>
                  </w:r>
                </w:p>
              </w:tc>
              <w:tc>
                <w:tcPr>
                  <w:tcW w:w="1692" w:type="pct"/>
                  <w:noWrap w:val="0"/>
                  <w:vAlign w:val="center"/>
                </w:tcPr>
                <w:p>
                  <w:pPr>
                    <w:pStyle w:val="60"/>
                    <w:spacing w:before="0"/>
                    <w:rPr>
                      <w:rFonts w:ascii="Times New Roman" w:hAnsi="Times New Roman" w:eastAsia="宋体"/>
                      <w:color w:val="auto"/>
                      <w:szCs w:val="21"/>
                      <w:highlight w:val="none"/>
                    </w:rPr>
                  </w:pPr>
                  <w:r>
                    <w:rPr>
                      <w:rFonts w:hint="eastAsia" w:ascii="Times New Roman" w:hAnsi="Times New Roman" w:eastAsia="宋体"/>
                      <w:color w:val="auto"/>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1" w:type="pct"/>
                  <w:vMerge w:val="restart"/>
                  <w:noWrap w:val="0"/>
                  <w:vAlign w:val="center"/>
                </w:tcPr>
                <w:p>
                  <w:pPr>
                    <w:pStyle w:val="60"/>
                    <w:spacing w:before="0"/>
                    <w:rPr>
                      <w:rFonts w:ascii="Times New Roman" w:hAnsi="Times New Roman" w:eastAsia="宋体"/>
                      <w:b w:val="0"/>
                      <w:bCs/>
                      <w:color w:val="auto"/>
                      <w:szCs w:val="21"/>
                      <w:highlight w:val="none"/>
                    </w:rPr>
                  </w:pPr>
                  <w:r>
                    <w:rPr>
                      <w:rFonts w:hint="eastAsia" w:ascii="Times New Roman" w:hAnsi="Times New Roman" w:eastAsia="宋体"/>
                      <w:b w:val="0"/>
                      <w:bCs/>
                      <w:color w:val="auto"/>
                      <w:szCs w:val="21"/>
                      <w:highlight w:val="none"/>
                    </w:rPr>
                    <w:t>NMHC</w:t>
                  </w:r>
                </w:p>
              </w:tc>
              <w:tc>
                <w:tcPr>
                  <w:tcW w:w="836" w:type="pct"/>
                  <w:noWrap w:val="0"/>
                  <w:vAlign w:val="center"/>
                </w:tcPr>
                <w:p>
                  <w:pPr>
                    <w:pStyle w:val="60"/>
                    <w:spacing w:before="0"/>
                    <w:rPr>
                      <w:rFonts w:ascii="Times New Roman" w:hAnsi="Times New Roman" w:eastAsia="宋体"/>
                      <w:b w:val="0"/>
                      <w:bCs/>
                      <w:color w:val="auto"/>
                      <w:szCs w:val="21"/>
                      <w:highlight w:val="none"/>
                    </w:rPr>
                  </w:pPr>
                  <w:r>
                    <w:rPr>
                      <w:rFonts w:hint="eastAsia" w:ascii="Times New Roman" w:hAnsi="Times New Roman" w:eastAsia="宋体"/>
                      <w:b w:val="0"/>
                      <w:bCs/>
                      <w:color w:val="auto"/>
                      <w:szCs w:val="21"/>
                      <w:highlight w:val="none"/>
                    </w:rPr>
                    <w:t>10</w:t>
                  </w:r>
                </w:p>
              </w:tc>
              <w:tc>
                <w:tcPr>
                  <w:tcW w:w="1609" w:type="pct"/>
                  <w:noWrap w:val="0"/>
                  <w:vAlign w:val="center"/>
                </w:tcPr>
                <w:p>
                  <w:pPr>
                    <w:pStyle w:val="60"/>
                    <w:spacing w:before="0"/>
                    <w:rPr>
                      <w:rFonts w:ascii="Times New Roman" w:hAnsi="Times New Roman" w:eastAsia="宋体"/>
                      <w:b w:val="0"/>
                      <w:bCs/>
                      <w:color w:val="auto"/>
                      <w:szCs w:val="21"/>
                      <w:highlight w:val="none"/>
                    </w:rPr>
                  </w:pPr>
                  <w:r>
                    <w:rPr>
                      <w:rFonts w:hint="eastAsia" w:ascii="Times New Roman" w:hAnsi="Times New Roman" w:eastAsia="宋体"/>
                      <w:b w:val="0"/>
                      <w:bCs/>
                      <w:color w:val="auto"/>
                      <w:szCs w:val="21"/>
                      <w:highlight w:val="none"/>
                    </w:rPr>
                    <w:t>监控点处1h平均浓度值</w:t>
                  </w:r>
                </w:p>
              </w:tc>
              <w:tc>
                <w:tcPr>
                  <w:tcW w:w="1692" w:type="pct"/>
                  <w:vMerge w:val="restart"/>
                  <w:noWrap w:val="0"/>
                  <w:vAlign w:val="center"/>
                </w:tcPr>
                <w:p>
                  <w:pPr>
                    <w:pStyle w:val="60"/>
                    <w:spacing w:before="0"/>
                    <w:rPr>
                      <w:rFonts w:hint="eastAsia" w:ascii="Times New Roman" w:hAnsi="Times New Roman" w:eastAsia="宋体"/>
                      <w:b w:val="0"/>
                      <w:bCs/>
                      <w:color w:val="auto"/>
                      <w:szCs w:val="21"/>
                      <w:highlight w:val="none"/>
                    </w:rPr>
                  </w:pPr>
                  <w:r>
                    <w:rPr>
                      <w:rFonts w:hint="eastAsia" w:ascii="Times New Roman" w:hAnsi="Times New Roman" w:eastAsia="宋体"/>
                      <w:b w:val="0"/>
                      <w:bCs/>
                      <w:color w:val="auto"/>
                      <w:szCs w:val="21"/>
                      <w:highlight w:val="none"/>
                    </w:rPr>
                    <w:t>《挥发性有机物无组织排放控制标准》（GB37822-2019）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1" w:type="pct"/>
                  <w:vMerge w:val="continue"/>
                  <w:noWrap w:val="0"/>
                  <w:vAlign w:val="center"/>
                </w:tcPr>
                <w:p>
                  <w:pPr>
                    <w:pStyle w:val="60"/>
                    <w:spacing w:before="0"/>
                    <w:rPr>
                      <w:rFonts w:hint="eastAsia" w:ascii="Times New Roman" w:hAnsi="Times New Roman" w:eastAsia="宋体"/>
                      <w:b w:val="0"/>
                      <w:bCs/>
                      <w:color w:val="auto"/>
                      <w:szCs w:val="21"/>
                      <w:highlight w:val="none"/>
                    </w:rPr>
                  </w:pPr>
                </w:p>
              </w:tc>
              <w:tc>
                <w:tcPr>
                  <w:tcW w:w="836" w:type="pct"/>
                  <w:noWrap w:val="0"/>
                  <w:vAlign w:val="center"/>
                </w:tcPr>
                <w:p>
                  <w:pPr>
                    <w:pStyle w:val="60"/>
                    <w:spacing w:before="0"/>
                    <w:rPr>
                      <w:rFonts w:ascii="Times New Roman" w:hAnsi="Times New Roman" w:eastAsia="宋体"/>
                      <w:b w:val="0"/>
                      <w:bCs/>
                      <w:color w:val="auto"/>
                      <w:szCs w:val="21"/>
                      <w:highlight w:val="none"/>
                    </w:rPr>
                  </w:pPr>
                  <w:r>
                    <w:rPr>
                      <w:rFonts w:hint="eastAsia" w:ascii="Times New Roman" w:hAnsi="Times New Roman" w:eastAsia="宋体"/>
                      <w:b w:val="0"/>
                      <w:bCs/>
                      <w:color w:val="auto"/>
                      <w:szCs w:val="21"/>
                      <w:highlight w:val="none"/>
                    </w:rPr>
                    <w:t>30</w:t>
                  </w:r>
                </w:p>
              </w:tc>
              <w:tc>
                <w:tcPr>
                  <w:tcW w:w="1609" w:type="pct"/>
                  <w:noWrap w:val="0"/>
                  <w:vAlign w:val="center"/>
                </w:tcPr>
                <w:p>
                  <w:pPr>
                    <w:pStyle w:val="60"/>
                    <w:spacing w:before="0"/>
                    <w:rPr>
                      <w:rFonts w:ascii="Times New Roman" w:hAnsi="Times New Roman" w:eastAsia="宋体"/>
                      <w:b w:val="0"/>
                      <w:bCs/>
                      <w:color w:val="auto"/>
                      <w:szCs w:val="21"/>
                      <w:highlight w:val="none"/>
                    </w:rPr>
                  </w:pPr>
                  <w:r>
                    <w:rPr>
                      <w:rFonts w:hint="eastAsia" w:ascii="Times New Roman" w:hAnsi="Times New Roman" w:eastAsia="宋体"/>
                      <w:b w:val="0"/>
                      <w:bCs/>
                      <w:color w:val="auto"/>
                      <w:szCs w:val="21"/>
                      <w:highlight w:val="none"/>
                    </w:rPr>
                    <w:t>监控点任意一处浓度值</w:t>
                  </w:r>
                </w:p>
              </w:tc>
              <w:tc>
                <w:tcPr>
                  <w:tcW w:w="1692" w:type="pct"/>
                  <w:vMerge w:val="continue"/>
                  <w:noWrap w:val="0"/>
                  <w:vAlign w:val="center"/>
                </w:tcPr>
                <w:p>
                  <w:pPr>
                    <w:pStyle w:val="60"/>
                    <w:spacing w:before="0"/>
                    <w:rPr>
                      <w:rFonts w:hint="eastAsia" w:ascii="Times New Roman" w:hAnsi="Times New Roman" w:eastAsia="宋体"/>
                      <w:b w:val="0"/>
                      <w:bCs/>
                      <w:color w:val="auto"/>
                      <w:szCs w:val="21"/>
                      <w:highlight w:val="none"/>
                    </w:rPr>
                  </w:pPr>
                </w:p>
              </w:tc>
            </w:tr>
          </w:tbl>
          <w:p>
            <w:pPr>
              <w:adjustRightInd w:val="0"/>
              <w:snapToGrid w:val="0"/>
              <w:spacing w:line="360" w:lineRule="auto"/>
              <w:rPr>
                <w:b/>
                <w:bCs/>
                <w:color w:val="auto"/>
                <w:kern w:val="0"/>
                <w:sz w:val="24"/>
                <w:highlight w:val="none"/>
              </w:rPr>
            </w:pPr>
            <w:r>
              <w:rPr>
                <w:b/>
                <w:bCs/>
                <w:color w:val="auto"/>
                <w:kern w:val="0"/>
                <w:sz w:val="24"/>
                <w:highlight w:val="none"/>
              </w:rPr>
              <w:t>2、废水</w:t>
            </w:r>
          </w:p>
          <w:p>
            <w:pPr>
              <w:spacing w:line="360" w:lineRule="auto"/>
              <w:ind w:firstLine="480" w:firstLineChars="200"/>
              <w:rPr>
                <w:rFonts w:hint="eastAsia"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rPr>
              <w:t>本项目营运期废水厂区排口执行《污水综合排放标准》（GB8978-1996）中三级标准要求，氨氮和总磷执行《污水排入城镇下水道水质标准》（GB/T31962-2015）B级标准</w:t>
            </w:r>
            <w:r>
              <w:rPr>
                <w:rFonts w:hint="eastAsia"/>
                <w:color w:val="auto"/>
                <w:sz w:val="24"/>
                <w:highlight w:val="none"/>
                <w:lang w:eastAsia="zh-CN"/>
              </w:rPr>
              <w:t>。</w:t>
            </w:r>
          </w:p>
          <w:p>
            <w:pPr>
              <w:pStyle w:val="41"/>
              <w:bidi w:val="0"/>
              <w:rPr>
                <w:rFonts w:ascii="Times New Roman" w:hAnsi="Times New Roman" w:eastAsia="宋体" w:cs="宋体"/>
                <w:color w:val="auto"/>
                <w:highlight w:val="none"/>
              </w:rPr>
            </w:pPr>
            <w:r>
              <w:rPr>
                <w:rFonts w:ascii="Times New Roman" w:hAnsi="Times New Roman" w:eastAsia="宋体" w:cs="宋体"/>
                <w:color w:val="auto"/>
                <w:highlight w:val="none"/>
              </w:rPr>
              <w:t>表3-1</w:t>
            </w:r>
            <w:r>
              <w:rPr>
                <w:rFonts w:hint="eastAsia" w:ascii="Times New Roman" w:hAnsi="Times New Roman" w:eastAsia="宋体" w:cs="宋体"/>
                <w:color w:val="auto"/>
                <w:highlight w:val="none"/>
                <w:lang w:val="en-US" w:eastAsia="zh-CN"/>
              </w:rPr>
              <w:t>2</w:t>
            </w:r>
            <w:r>
              <w:rPr>
                <w:rFonts w:ascii="Times New Roman" w:hAnsi="Times New Roman" w:eastAsia="宋体" w:cs="宋体"/>
                <w:color w:val="auto"/>
                <w:highlight w:val="none"/>
              </w:rPr>
              <w:t xml:space="preserve"> </w:t>
            </w:r>
            <w:r>
              <w:rPr>
                <w:rFonts w:hint="eastAsia" w:ascii="Times New Roman" w:hAnsi="Times New Roman" w:eastAsia="宋体" w:cs="宋体"/>
                <w:color w:val="auto"/>
                <w:highlight w:val="none"/>
              </w:rPr>
              <w:t xml:space="preserve"> </w:t>
            </w:r>
            <w:r>
              <w:rPr>
                <w:rFonts w:hint="eastAsia" w:cs="宋体"/>
                <w:color w:val="auto"/>
                <w:highlight w:val="none"/>
                <w:lang w:val="en-US" w:eastAsia="zh-CN"/>
              </w:rPr>
              <w:t>本项目废水排放</w:t>
            </w:r>
            <w:r>
              <w:rPr>
                <w:rFonts w:ascii="Times New Roman" w:hAnsi="Times New Roman" w:eastAsia="宋体" w:cs="宋体"/>
                <w:color w:val="auto"/>
                <w:highlight w:val="none"/>
              </w:rPr>
              <w:t>标准</w:t>
            </w:r>
            <w:r>
              <w:rPr>
                <w:rFonts w:hint="eastAsia" w:cs="宋体"/>
                <w:color w:val="auto"/>
                <w:highlight w:val="none"/>
                <w:lang w:val="en-US" w:eastAsia="zh-CN"/>
              </w:rPr>
              <w:t>限值</w:t>
            </w:r>
            <w:r>
              <w:rPr>
                <w:rFonts w:ascii="Times New Roman" w:hAnsi="Times New Roman" w:eastAsia="宋体" w:cs="宋体"/>
                <w:color w:val="auto"/>
                <w:highlight w:val="none"/>
              </w:rPr>
              <w:t xml:space="preserve">    单位：mg/L</w:t>
            </w:r>
          </w:p>
          <w:tbl>
            <w:tblPr>
              <w:tblStyle w:val="2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738"/>
              <w:gridCol w:w="887"/>
              <w:gridCol w:w="1025"/>
              <w:gridCol w:w="563"/>
              <w:gridCol w:w="562"/>
              <w:gridCol w:w="625"/>
              <w:gridCol w:w="550"/>
              <w:gridCol w:w="670"/>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noWrap w:val="0"/>
                  <w:vAlign w:val="center"/>
                </w:tcPr>
                <w:p>
                  <w:pPr>
                    <w:pStyle w:val="48"/>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污染物</w:t>
                  </w:r>
                </w:p>
              </w:tc>
              <w:tc>
                <w:tcPr>
                  <w:tcW w:w="447" w:type="pct"/>
                  <w:noWrap w:val="0"/>
                  <w:vAlign w:val="center"/>
                </w:tcPr>
                <w:p>
                  <w:pPr>
                    <w:pStyle w:val="48"/>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pH</w:t>
                  </w:r>
                </w:p>
              </w:tc>
              <w:tc>
                <w:tcPr>
                  <w:tcW w:w="538" w:type="pct"/>
                  <w:noWrap w:val="0"/>
                  <w:vAlign w:val="center"/>
                </w:tcPr>
                <w:p>
                  <w:pPr>
                    <w:pStyle w:val="48"/>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BOD</w:t>
                  </w:r>
                  <w:r>
                    <w:rPr>
                      <w:rFonts w:ascii="Times New Roman" w:hAnsi="Times New Roman"/>
                      <w:b/>
                      <w:bCs/>
                      <w:color w:val="auto"/>
                      <w:sz w:val="21"/>
                      <w:szCs w:val="21"/>
                      <w:highlight w:val="none"/>
                      <w:vertAlign w:val="subscript"/>
                    </w:rPr>
                    <w:t>5</w:t>
                  </w:r>
                </w:p>
              </w:tc>
              <w:tc>
                <w:tcPr>
                  <w:tcW w:w="621" w:type="pct"/>
                  <w:noWrap w:val="0"/>
                  <w:vAlign w:val="center"/>
                </w:tcPr>
                <w:p>
                  <w:pPr>
                    <w:pStyle w:val="48"/>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COD</w:t>
                  </w:r>
                  <w:r>
                    <w:rPr>
                      <w:rFonts w:ascii="Times New Roman" w:hAnsi="Times New Roman"/>
                      <w:b/>
                      <w:bCs/>
                      <w:color w:val="auto"/>
                      <w:sz w:val="21"/>
                      <w:szCs w:val="21"/>
                      <w:highlight w:val="none"/>
                      <w:vertAlign w:val="subscript"/>
                    </w:rPr>
                    <w:t>Cr</w:t>
                  </w:r>
                </w:p>
              </w:tc>
              <w:tc>
                <w:tcPr>
                  <w:tcW w:w="341" w:type="pct"/>
                  <w:noWrap w:val="0"/>
                  <w:vAlign w:val="center"/>
                </w:tcPr>
                <w:p>
                  <w:pPr>
                    <w:pStyle w:val="48"/>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氨氮</w:t>
                  </w:r>
                </w:p>
              </w:tc>
              <w:tc>
                <w:tcPr>
                  <w:tcW w:w="340" w:type="pct"/>
                  <w:noWrap w:val="0"/>
                  <w:vAlign w:val="center"/>
                </w:tcPr>
                <w:p>
                  <w:pPr>
                    <w:pStyle w:val="48"/>
                    <w:spacing w:line="240" w:lineRule="auto"/>
                    <w:ind w:firstLine="0" w:firstLineChars="0"/>
                    <w:jc w:val="center"/>
                    <w:rPr>
                      <w:rFonts w:hint="eastAsia" w:ascii="Times New Roman" w:hAnsi="Times New Roman" w:eastAsia="宋体"/>
                      <w:b/>
                      <w:bCs/>
                      <w:color w:val="auto"/>
                      <w:sz w:val="21"/>
                      <w:szCs w:val="21"/>
                      <w:highlight w:val="none"/>
                      <w:lang w:eastAsia="zh-CN"/>
                    </w:rPr>
                  </w:pPr>
                  <w:r>
                    <w:rPr>
                      <w:rFonts w:hint="eastAsia" w:ascii="Times New Roman" w:hAnsi="Times New Roman"/>
                      <w:b/>
                      <w:bCs/>
                      <w:color w:val="auto"/>
                      <w:sz w:val="21"/>
                      <w:szCs w:val="21"/>
                      <w:highlight w:val="none"/>
                      <w:lang w:val="en-US" w:eastAsia="zh-CN"/>
                    </w:rPr>
                    <w:t>总磷</w:t>
                  </w:r>
                </w:p>
              </w:tc>
              <w:tc>
                <w:tcPr>
                  <w:tcW w:w="379" w:type="pct"/>
                  <w:noWrap w:val="0"/>
                  <w:vAlign w:val="center"/>
                </w:tcPr>
                <w:p>
                  <w:pPr>
                    <w:pStyle w:val="48"/>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SS</w:t>
                  </w:r>
                </w:p>
              </w:tc>
              <w:tc>
                <w:tcPr>
                  <w:tcW w:w="333" w:type="pct"/>
                  <w:noWrap w:val="0"/>
                  <w:vAlign w:val="center"/>
                </w:tcPr>
                <w:p>
                  <w:pPr>
                    <w:pStyle w:val="48"/>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石油类</w:t>
                  </w:r>
                </w:p>
              </w:tc>
              <w:tc>
                <w:tcPr>
                  <w:tcW w:w="406" w:type="pct"/>
                  <w:noWrap w:val="0"/>
                  <w:vAlign w:val="center"/>
                </w:tcPr>
                <w:p>
                  <w:pPr>
                    <w:pStyle w:val="48"/>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动植物油</w:t>
                  </w:r>
                </w:p>
              </w:tc>
              <w:tc>
                <w:tcPr>
                  <w:tcW w:w="622" w:type="pct"/>
                  <w:noWrap w:val="0"/>
                  <w:vAlign w:val="center"/>
                </w:tcPr>
                <w:p>
                  <w:pPr>
                    <w:pStyle w:val="48"/>
                    <w:spacing w:line="240" w:lineRule="auto"/>
                    <w:ind w:firstLine="0" w:firstLineChars="0"/>
                    <w:jc w:val="center"/>
                    <w:rPr>
                      <w:rFonts w:hint="default" w:ascii="Times New Roman" w:hAnsi="Times New Roman" w:eastAsia="宋体"/>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noWrap w:val="0"/>
                  <w:vAlign w:val="center"/>
                </w:tcPr>
                <w:p>
                  <w:pPr>
                    <w:pStyle w:val="48"/>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《污水综合排放标准》（GB8978-1996）中三级</w:t>
                  </w:r>
                </w:p>
              </w:tc>
              <w:tc>
                <w:tcPr>
                  <w:tcW w:w="447" w:type="pct"/>
                  <w:noWrap w:val="0"/>
                  <w:vAlign w:val="center"/>
                </w:tcPr>
                <w:p>
                  <w:pPr>
                    <w:pStyle w:val="48"/>
                    <w:spacing w:line="240" w:lineRule="auto"/>
                    <w:ind w:firstLine="0" w:firstLineChars="0"/>
                    <w:jc w:val="center"/>
                    <w:rPr>
                      <w:rFonts w:ascii="Times New Roman" w:hAnsi="Times New Roman" w:eastAsia="宋体"/>
                      <w:color w:val="auto"/>
                      <w:kern w:val="2"/>
                      <w:sz w:val="21"/>
                      <w:szCs w:val="21"/>
                      <w:highlight w:val="none"/>
                      <w:lang w:val="en-US" w:eastAsia="zh-CN" w:bidi="ar-SA"/>
                    </w:rPr>
                  </w:pPr>
                  <w:r>
                    <w:rPr>
                      <w:rFonts w:ascii="Times New Roman" w:hAnsi="Times New Roman"/>
                      <w:color w:val="auto"/>
                      <w:sz w:val="21"/>
                      <w:szCs w:val="21"/>
                      <w:highlight w:val="none"/>
                    </w:rPr>
                    <w:t>6～9</w:t>
                  </w:r>
                </w:p>
              </w:tc>
              <w:tc>
                <w:tcPr>
                  <w:tcW w:w="538" w:type="pct"/>
                  <w:noWrap w:val="0"/>
                  <w:vAlign w:val="center"/>
                </w:tcPr>
                <w:p>
                  <w:pPr>
                    <w:pStyle w:val="48"/>
                    <w:spacing w:line="240" w:lineRule="auto"/>
                    <w:ind w:firstLine="0" w:firstLineChars="0"/>
                    <w:jc w:val="center"/>
                    <w:rPr>
                      <w:rFonts w:hint="default" w:ascii="Times New Roman" w:hAnsi="Times New Roman" w:eastAsia="宋体"/>
                      <w:color w:val="auto"/>
                      <w:kern w:val="2"/>
                      <w:sz w:val="21"/>
                      <w:szCs w:val="21"/>
                      <w:highlight w:val="none"/>
                      <w:lang w:val="en-US" w:eastAsia="zh-CN" w:bidi="ar-SA"/>
                    </w:rPr>
                  </w:pPr>
                  <w:r>
                    <w:rPr>
                      <w:rFonts w:hint="eastAsia" w:ascii="Times New Roman" w:hAnsi="Times New Roman"/>
                      <w:color w:val="auto"/>
                      <w:sz w:val="21"/>
                      <w:szCs w:val="21"/>
                      <w:highlight w:val="none"/>
                    </w:rPr>
                    <w:t>300</w:t>
                  </w:r>
                </w:p>
              </w:tc>
              <w:tc>
                <w:tcPr>
                  <w:tcW w:w="621" w:type="pct"/>
                  <w:noWrap w:val="0"/>
                  <w:vAlign w:val="center"/>
                </w:tcPr>
                <w:p>
                  <w:pPr>
                    <w:pStyle w:val="48"/>
                    <w:spacing w:line="240" w:lineRule="auto"/>
                    <w:ind w:firstLine="0" w:firstLineChars="0"/>
                    <w:jc w:val="center"/>
                    <w:rPr>
                      <w:rFonts w:ascii="Times New Roman" w:hAnsi="Times New Roman" w:eastAsia="宋体"/>
                      <w:color w:val="auto"/>
                      <w:kern w:val="2"/>
                      <w:sz w:val="21"/>
                      <w:szCs w:val="21"/>
                      <w:highlight w:val="none"/>
                      <w:lang w:val="en-US" w:eastAsia="zh-CN" w:bidi="ar-SA"/>
                    </w:rPr>
                  </w:pPr>
                  <w:r>
                    <w:rPr>
                      <w:rFonts w:ascii="Times New Roman" w:hAnsi="Times New Roman"/>
                      <w:color w:val="auto"/>
                      <w:sz w:val="21"/>
                      <w:szCs w:val="21"/>
                      <w:highlight w:val="none"/>
                    </w:rPr>
                    <w:t>500</w:t>
                  </w:r>
                </w:p>
              </w:tc>
              <w:tc>
                <w:tcPr>
                  <w:tcW w:w="341" w:type="pct"/>
                  <w:noWrap w:val="0"/>
                  <w:vAlign w:val="center"/>
                </w:tcPr>
                <w:p>
                  <w:pPr>
                    <w:pStyle w:val="48"/>
                    <w:spacing w:line="240" w:lineRule="auto"/>
                    <w:ind w:firstLine="0" w:firstLineChars="0"/>
                    <w:jc w:val="center"/>
                    <w:rPr>
                      <w:rFonts w:hint="default" w:ascii="Times New Roman" w:hAnsi="Times New Roman" w:eastAsia="宋体"/>
                      <w:color w:val="auto"/>
                      <w:kern w:val="2"/>
                      <w:sz w:val="21"/>
                      <w:szCs w:val="21"/>
                      <w:highlight w:val="none"/>
                      <w:lang w:val="en-US" w:eastAsia="zh-CN" w:bidi="ar-SA"/>
                    </w:rPr>
                  </w:pPr>
                  <w:r>
                    <w:rPr>
                      <w:rFonts w:hint="eastAsia" w:ascii="Times New Roman" w:hAnsi="Times New Roman"/>
                      <w:color w:val="auto"/>
                      <w:kern w:val="2"/>
                      <w:sz w:val="21"/>
                      <w:szCs w:val="21"/>
                      <w:highlight w:val="none"/>
                      <w:lang w:val="en-US" w:eastAsia="zh-CN" w:bidi="ar-SA"/>
                    </w:rPr>
                    <w:t>45</w:t>
                  </w:r>
                </w:p>
              </w:tc>
              <w:tc>
                <w:tcPr>
                  <w:tcW w:w="340" w:type="pct"/>
                  <w:noWrap w:val="0"/>
                  <w:vAlign w:val="center"/>
                </w:tcPr>
                <w:p>
                  <w:pPr>
                    <w:pStyle w:val="48"/>
                    <w:spacing w:line="240" w:lineRule="auto"/>
                    <w:ind w:firstLine="0" w:firstLineChars="0"/>
                    <w:jc w:val="center"/>
                    <w:rPr>
                      <w:rFonts w:hint="default" w:ascii="Times New Roman" w:hAnsi="Times New Roman" w:eastAsia="宋体"/>
                      <w:color w:val="auto"/>
                      <w:kern w:val="2"/>
                      <w:sz w:val="21"/>
                      <w:szCs w:val="21"/>
                      <w:highlight w:val="none"/>
                      <w:lang w:val="en-US" w:eastAsia="zh-CN" w:bidi="ar-SA"/>
                    </w:rPr>
                  </w:pPr>
                  <w:r>
                    <w:rPr>
                      <w:rFonts w:hint="eastAsia" w:ascii="Times New Roman" w:hAnsi="Times New Roman"/>
                      <w:color w:val="auto"/>
                      <w:kern w:val="2"/>
                      <w:sz w:val="21"/>
                      <w:szCs w:val="21"/>
                      <w:highlight w:val="none"/>
                      <w:lang w:val="en-US" w:eastAsia="zh-CN" w:bidi="ar-SA"/>
                    </w:rPr>
                    <w:t>8</w:t>
                  </w:r>
                </w:p>
              </w:tc>
              <w:tc>
                <w:tcPr>
                  <w:tcW w:w="379" w:type="pct"/>
                  <w:noWrap w:val="0"/>
                  <w:vAlign w:val="center"/>
                </w:tcPr>
                <w:p>
                  <w:pPr>
                    <w:pStyle w:val="48"/>
                    <w:spacing w:line="240" w:lineRule="auto"/>
                    <w:ind w:firstLine="0" w:firstLineChars="0"/>
                    <w:jc w:val="center"/>
                    <w:rPr>
                      <w:rFonts w:hint="default" w:ascii="Times New Roman" w:hAnsi="Times New Roman" w:eastAsia="宋体"/>
                      <w:color w:val="auto"/>
                      <w:kern w:val="2"/>
                      <w:sz w:val="21"/>
                      <w:szCs w:val="21"/>
                      <w:highlight w:val="none"/>
                      <w:lang w:val="en-US" w:eastAsia="zh-CN" w:bidi="ar-SA"/>
                    </w:rPr>
                  </w:pPr>
                  <w:r>
                    <w:rPr>
                      <w:rFonts w:ascii="Times New Roman" w:hAnsi="Times New Roman"/>
                      <w:color w:val="auto"/>
                      <w:sz w:val="21"/>
                      <w:szCs w:val="21"/>
                      <w:highlight w:val="none"/>
                    </w:rPr>
                    <w:t>400</w:t>
                  </w:r>
                </w:p>
              </w:tc>
              <w:tc>
                <w:tcPr>
                  <w:tcW w:w="333" w:type="pct"/>
                  <w:noWrap w:val="0"/>
                  <w:vAlign w:val="center"/>
                </w:tcPr>
                <w:p>
                  <w:pPr>
                    <w:pStyle w:val="48"/>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20</w:t>
                  </w:r>
                </w:p>
              </w:tc>
              <w:tc>
                <w:tcPr>
                  <w:tcW w:w="406" w:type="pct"/>
                  <w:noWrap w:val="0"/>
                  <w:vAlign w:val="center"/>
                </w:tcPr>
                <w:p>
                  <w:pPr>
                    <w:pStyle w:val="48"/>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100</w:t>
                  </w:r>
                </w:p>
              </w:tc>
              <w:tc>
                <w:tcPr>
                  <w:tcW w:w="622" w:type="pct"/>
                  <w:noWrap w:val="0"/>
                  <w:vAlign w:val="center"/>
                </w:tcPr>
                <w:p>
                  <w:pPr>
                    <w:pStyle w:val="48"/>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20</w:t>
                  </w:r>
                </w:p>
              </w:tc>
            </w:tr>
          </w:tbl>
          <w:p>
            <w:pPr>
              <w:pStyle w:val="48"/>
              <w:ind w:firstLine="0" w:firstLineChars="0"/>
              <w:rPr>
                <w:rFonts w:ascii="Times New Roman" w:hAnsi="Times New Roman"/>
                <w:b/>
                <w:bCs/>
                <w:color w:val="auto"/>
                <w:highlight w:val="none"/>
              </w:rPr>
            </w:pPr>
            <w:r>
              <w:rPr>
                <w:rFonts w:ascii="Times New Roman" w:hAnsi="Times New Roman"/>
                <w:b/>
                <w:bCs/>
                <w:color w:val="auto"/>
                <w:highlight w:val="none"/>
              </w:rPr>
              <w:t>3、噪声</w:t>
            </w:r>
          </w:p>
          <w:p>
            <w:pPr>
              <w:spacing w:line="360" w:lineRule="auto"/>
              <w:ind w:firstLine="480" w:firstLineChars="200"/>
              <w:rPr>
                <w:color w:val="auto"/>
                <w:sz w:val="24"/>
                <w:highlight w:val="none"/>
              </w:rPr>
            </w:pPr>
            <w:r>
              <w:rPr>
                <w:color w:val="auto"/>
                <w:sz w:val="24"/>
                <w:highlight w:val="none"/>
              </w:rPr>
              <w:t>施工期噪声执行《建筑</w:t>
            </w:r>
            <w:r>
              <w:rPr>
                <w:bCs/>
                <w:color w:val="auto"/>
                <w:sz w:val="24"/>
                <w:highlight w:val="none"/>
              </w:rPr>
              <w:t>施工</w:t>
            </w:r>
            <w:r>
              <w:rPr>
                <w:color w:val="auto"/>
                <w:sz w:val="24"/>
                <w:highlight w:val="none"/>
              </w:rPr>
              <w:t>场界环境噪声排放标准》（GB12523</w:t>
            </w:r>
            <w:r>
              <w:rPr>
                <w:rFonts w:hint="eastAsia"/>
                <w:color w:val="auto"/>
                <w:sz w:val="24"/>
                <w:highlight w:val="none"/>
                <w:lang w:val="en-US" w:eastAsia="zh-CN"/>
              </w:rPr>
              <w:t>-</w:t>
            </w:r>
            <w:r>
              <w:rPr>
                <w:color w:val="auto"/>
                <w:sz w:val="24"/>
                <w:highlight w:val="none"/>
              </w:rPr>
              <w:t>2011），运营期厂界执行《工业企业厂界环境噪声排放标准》（GB12348-2008）中的3类标准。</w:t>
            </w:r>
          </w:p>
          <w:p>
            <w:pPr>
              <w:pStyle w:val="41"/>
              <w:bidi w:val="0"/>
              <w:rPr>
                <w:rFonts w:ascii="Times New Roman" w:hAnsi="Times New Roman" w:eastAsia="宋体" w:cs="宋体"/>
                <w:color w:val="auto"/>
                <w:highlight w:val="none"/>
              </w:rPr>
            </w:pPr>
            <w:r>
              <w:rPr>
                <w:rFonts w:ascii="Times New Roman" w:hAnsi="Times New Roman" w:eastAsia="宋体" w:cs="宋体"/>
                <w:color w:val="auto"/>
                <w:highlight w:val="none"/>
              </w:rPr>
              <w:t>表3-1</w:t>
            </w:r>
            <w:r>
              <w:rPr>
                <w:rFonts w:hint="eastAsia" w:ascii="Times New Roman" w:hAnsi="Times New Roman" w:eastAsia="宋体" w:cs="宋体"/>
                <w:color w:val="auto"/>
                <w:highlight w:val="none"/>
              </w:rPr>
              <w:t>3</w:t>
            </w:r>
            <w:r>
              <w:rPr>
                <w:rFonts w:ascii="Times New Roman" w:hAnsi="Times New Roman" w:eastAsia="宋体" w:cs="宋体"/>
                <w:color w:val="auto"/>
                <w:highlight w:val="none"/>
              </w:rPr>
              <w:t xml:space="preserve">  噪声排放标准</w:t>
            </w: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226"/>
              <w:gridCol w:w="1229"/>
              <w:gridCol w:w="1183"/>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4" w:type="pct"/>
                  <w:vMerge w:val="restart"/>
                  <w:noWrap w:val="0"/>
                  <w:vAlign w:val="center"/>
                </w:tcPr>
                <w:p>
                  <w:pPr>
                    <w:adjustRightInd w:val="0"/>
                    <w:snapToGrid w:val="0"/>
                    <w:jc w:val="center"/>
                    <w:rPr>
                      <w:b/>
                      <w:bCs/>
                      <w:color w:val="auto"/>
                      <w:highlight w:val="none"/>
                    </w:rPr>
                  </w:pPr>
                  <w:r>
                    <w:rPr>
                      <w:b/>
                      <w:bCs/>
                      <w:color w:val="auto"/>
                      <w:highlight w:val="none"/>
                    </w:rPr>
                    <w:t>时期</w:t>
                  </w:r>
                </w:p>
              </w:tc>
              <w:tc>
                <w:tcPr>
                  <w:tcW w:w="1488" w:type="pct"/>
                  <w:gridSpan w:val="2"/>
                  <w:noWrap w:val="0"/>
                  <w:vAlign w:val="center"/>
                </w:tcPr>
                <w:p>
                  <w:pPr>
                    <w:adjustRightInd w:val="0"/>
                    <w:snapToGrid w:val="0"/>
                    <w:jc w:val="center"/>
                    <w:rPr>
                      <w:b/>
                      <w:bCs/>
                      <w:color w:val="auto"/>
                      <w:highlight w:val="none"/>
                    </w:rPr>
                  </w:pPr>
                  <w:r>
                    <w:rPr>
                      <w:b/>
                      <w:bCs/>
                      <w:color w:val="auto"/>
                      <w:highlight w:val="none"/>
                    </w:rPr>
                    <w:t>排放限值</w:t>
                  </w:r>
                </w:p>
              </w:tc>
              <w:tc>
                <w:tcPr>
                  <w:tcW w:w="717" w:type="pct"/>
                  <w:vMerge w:val="restart"/>
                  <w:noWrap w:val="0"/>
                  <w:vAlign w:val="center"/>
                </w:tcPr>
                <w:p>
                  <w:pPr>
                    <w:adjustRightInd w:val="0"/>
                    <w:snapToGrid w:val="0"/>
                    <w:jc w:val="center"/>
                    <w:rPr>
                      <w:b/>
                      <w:bCs/>
                      <w:color w:val="auto"/>
                      <w:highlight w:val="none"/>
                    </w:rPr>
                  </w:pPr>
                  <w:r>
                    <w:rPr>
                      <w:b/>
                      <w:bCs/>
                      <w:color w:val="auto"/>
                      <w:highlight w:val="none"/>
                    </w:rPr>
                    <w:t>单位</w:t>
                  </w:r>
                </w:p>
              </w:tc>
              <w:tc>
                <w:tcPr>
                  <w:tcW w:w="2159" w:type="pct"/>
                  <w:vMerge w:val="restart"/>
                  <w:noWrap w:val="0"/>
                  <w:vAlign w:val="center"/>
                </w:tcPr>
                <w:p>
                  <w:pPr>
                    <w:adjustRightInd w:val="0"/>
                    <w:snapToGrid w:val="0"/>
                    <w:jc w:val="center"/>
                    <w:rPr>
                      <w:b/>
                      <w:bCs/>
                      <w:color w:val="auto"/>
                      <w:highlight w:val="none"/>
                    </w:rPr>
                  </w:pPr>
                  <w:r>
                    <w:rPr>
                      <w:b/>
                      <w:bCs/>
                      <w:color w:val="auto"/>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4" w:type="pct"/>
                  <w:vMerge w:val="continue"/>
                  <w:noWrap w:val="0"/>
                  <w:vAlign w:val="center"/>
                </w:tcPr>
                <w:p>
                  <w:pPr>
                    <w:adjustRightInd w:val="0"/>
                    <w:snapToGrid w:val="0"/>
                    <w:jc w:val="center"/>
                    <w:rPr>
                      <w:b/>
                      <w:bCs/>
                      <w:color w:val="auto"/>
                      <w:highlight w:val="none"/>
                    </w:rPr>
                  </w:pPr>
                </w:p>
              </w:tc>
              <w:tc>
                <w:tcPr>
                  <w:tcW w:w="743" w:type="pct"/>
                  <w:noWrap w:val="0"/>
                  <w:vAlign w:val="center"/>
                </w:tcPr>
                <w:p>
                  <w:pPr>
                    <w:adjustRightInd w:val="0"/>
                    <w:snapToGrid w:val="0"/>
                    <w:jc w:val="center"/>
                    <w:rPr>
                      <w:b/>
                      <w:bCs/>
                      <w:color w:val="auto"/>
                      <w:highlight w:val="none"/>
                    </w:rPr>
                  </w:pPr>
                  <w:r>
                    <w:rPr>
                      <w:b/>
                      <w:bCs/>
                      <w:color w:val="auto"/>
                      <w:highlight w:val="none"/>
                    </w:rPr>
                    <w:t>昼间</w:t>
                  </w:r>
                </w:p>
              </w:tc>
              <w:tc>
                <w:tcPr>
                  <w:tcW w:w="744" w:type="pct"/>
                  <w:noWrap w:val="0"/>
                  <w:vAlign w:val="center"/>
                </w:tcPr>
                <w:p>
                  <w:pPr>
                    <w:adjustRightInd w:val="0"/>
                    <w:snapToGrid w:val="0"/>
                    <w:jc w:val="center"/>
                    <w:rPr>
                      <w:b/>
                      <w:bCs/>
                      <w:color w:val="auto"/>
                      <w:highlight w:val="none"/>
                    </w:rPr>
                  </w:pPr>
                  <w:r>
                    <w:rPr>
                      <w:b/>
                      <w:bCs/>
                      <w:color w:val="auto"/>
                      <w:highlight w:val="none"/>
                    </w:rPr>
                    <w:t>夜间</w:t>
                  </w:r>
                </w:p>
              </w:tc>
              <w:tc>
                <w:tcPr>
                  <w:tcW w:w="717" w:type="pct"/>
                  <w:vMerge w:val="continue"/>
                  <w:noWrap w:val="0"/>
                  <w:vAlign w:val="center"/>
                </w:tcPr>
                <w:p>
                  <w:pPr>
                    <w:adjustRightInd w:val="0"/>
                    <w:snapToGrid w:val="0"/>
                    <w:jc w:val="center"/>
                    <w:rPr>
                      <w:color w:val="auto"/>
                      <w:highlight w:val="none"/>
                    </w:rPr>
                  </w:pPr>
                </w:p>
              </w:tc>
              <w:tc>
                <w:tcPr>
                  <w:tcW w:w="2159" w:type="pct"/>
                  <w:vMerge w:val="continue"/>
                  <w:noWrap w:val="0"/>
                  <w:vAlign w:val="center"/>
                </w:tcPr>
                <w:p>
                  <w:pPr>
                    <w:adjustRightInd w:val="0"/>
                    <w:snapToGrid w:val="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4" w:type="pct"/>
                  <w:noWrap w:val="0"/>
                  <w:vAlign w:val="center"/>
                </w:tcPr>
                <w:p>
                  <w:pPr>
                    <w:adjustRightInd w:val="0"/>
                    <w:snapToGrid w:val="0"/>
                    <w:jc w:val="center"/>
                    <w:rPr>
                      <w:color w:val="auto"/>
                      <w:highlight w:val="none"/>
                    </w:rPr>
                  </w:pPr>
                  <w:r>
                    <w:rPr>
                      <w:color w:val="auto"/>
                      <w:highlight w:val="none"/>
                    </w:rPr>
                    <w:t>施工期</w:t>
                  </w:r>
                </w:p>
              </w:tc>
              <w:tc>
                <w:tcPr>
                  <w:tcW w:w="743" w:type="pct"/>
                  <w:noWrap w:val="0"/>
                  <w:vAlign w:val="center"/>
                </w:tcPr>
                <w:p>
                  <w:pPr>
                    <w:adjustRightInd w:val="0"/>
                    <w:snapToGrid w:val="0"/>
                    <w:jc w:val="center"/>
                    <w:rPr>
                      <w:color w:val="auto"/>
                      <w:highlight w:val="none"/>
                    </w:rPr>
                  </w:pPr>
                  <w:r>
                    <w:rPr>
                      <w:color w:val="auto"/>
                      <w:highlight w:val="none"/>
                    </w:rPr>
                    <w:t>70</w:t>
                  </w:r>
                </w:p>
              </w:tc>
              <w:tc>
                <w:tcPr>
                  <w:tcW w:w="744" w:type="pct"/>
                  <w:noWrap w:val="0"/>
                  <w:vAlign w:val="center"/>
                </w:tcPr>
                <w:p>
                  <w:pPr>
                    <w:adjustRightInd w:val="0"/>
                    <w:snapToGrid w:val="0"/>
                    <w:jc w:val="center"/>
                    <w:rPr>
                      <w:color w:val="auto"/>
                      <w:highlight w:val="none"/>
                    </w:rPr>
                  </w:pPr>
                  <w:r>
                    <w:rPr>
                      <w:color w:val="auto"/>
                      <w:highlight w:val="none"/>
                    </w:rPr>
                    <w:t>55</w:t>
                  </w:r>
                </w:p>
              </w:tc>
              <w:tc>
                <w:tcPr>
                  <w:tcW w:w="717" w:type="pct"/>
                  <w:noWrap w:val="0"/>
                  <w:vAlign w:val="center"/>
                </w:tcPr>
                <w:p>
                  <w:pPr>
                    <w:adjustRightInd w:val="0"/>
                    <w:snapToGrid w:val="0"/>
                    <w:jc w:val="center"/>
                    <w:rPr>
                      <w:color w:val="auto"/>
                      <w:highlight w:val="none"/>
                    </w:rPr>
                  </w:pPr>
                  <w:r>
                    <w:rPr>
                      <w:color w:val="auto"/>
                      <w:highlight w:val="none"/>
                    </w:rPr>
                    <w:t>dB(A)</w:t>
                  </w:r>
                </w:p>
              </w:tc>
              <w:tc>
                <w:tcPr>
                  <w:tcW w:w="2159" w:type="pct"/>
                  <w:noWrap w:val="0"/>
                  <w:vAlign w:val="center"/>
                </w:tcPr>
                <w:p>
                  <w:pPr>
                    <w:adjustRightInd w:val="0"/>
                    <w:snapToGrid w:val="0"/>
                    <w:jc w:val="center"/>
                    <w:rPr>
                      <w:color w:val="auto"/>
                      <w:highlight w:val="none"/>
                    </w:rPr>
                  </w:pPr>
                  <w:r>
                    <w:rPr>
                      <w:color w:val="auto"/>
                      <w:highlight w:val="none"/>
                    </w:rPr>
                    <w:t>《建筑施工场界环境噪声排放标准》（GB12523</w:t>
                  </w:r>
                  <w:r>
                    <w:rPr>
                      <w:rFonts w:hint="eastAsia"/>
                      <w:color w:val="auto"/>
                      <w:highlight w:val="none"/>
                      <w:lang w:val="en-US" w:eastAsia="zh-CN"/>
                    </w:rPr>
                    <w:t>-</w:t>
                  </w:r>
                  <w:r>
                    <w:rPr>
                      <w:color w:val="auto"/>
                      <w:highlight w:val="none"/>
                    </w:rPr>
                    <w:t>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adjustRightInd w:val="0"/>
                    <w:snapToGrid w:val="0"/>
                    <w:jc w:val="center"/>
                    <w:rPr>
                      <w:color w:val="auto"/>
                      <w:highlight w:val="none"/>
                    </w:rPr>
                  </w:pPr>
                  <w:r>
                    <w:rPr>
                      <w:color w:val="auto"/>
                      <w:highlight w:val="none"/>
                    </w:rPr>
                    <w:t>运营期</w:t>
                  </w:r>
                </w:p>
              </w:tc>
              <w:tc>
                <w:tcPr>
                  <w:tcW w:w="743" w:type="pct"/>
                  <w:noWrap w:val="0"/>
                  <w:vAlign w:val="center"/>
                </w:tcPr>
                <w:p>
                  <w:pPr>
                    <w:adjustRightInd w:val="0"/>
                    <w:snapToGrid w:val="0"/>
                    <w:jc w:val="center"/>
                    <w:rPr>
                      <w:color w:val="auto"/>
                      <w:highlight w:val="none"/>
                    </w:rPr>
                  </w:pPr>
                  <w:r>
                    <w:rPr>
                      <w:color w:val="auto"/>
                      <w:highlight w:val="none"/>
                    </w:rPr>
                    <w:t>65</w:t>
                  </w:r>
                </w:p>
              </w:tc>
              <w:tc>
                <w:tcPr>
                  <w:tcW w:w="744" w:type="pct"/>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55</w:t>
                  </w:r>
                </w:p>
              </w:tc>
              <w:tc>
                <w:tcPr>
                  <w:tcW w:w="717" w:type="pct"/>
                  <w:noWrap w:val="0"/>
                  <w:vAlign w:val="center"/>
                </w:tcPr>
                <w:p>
                  <w:pPr>
                    <w:adjustRightInd w:val="0"/>
                    <w:snapToGrid w:val="0"/>
                    <w:jc w:val="center"/>
                    <w:rPr>
                      <w:color w:val="auto"/>
                      <w:highlight w:val="none"/>
                    </w:rPr>
                  </w:pPr>
                  <w:r>
                    <w:rPr>
                      <w:color w:val="auto"/>
                      <w:highlight w:val="none"/>
                    </w:rPr>
                    <w:t>dB(A)</w:t>
                  </w:r>
                </w:p>
              </w:tc>
              <w:tc>
                <w:tcPr>
                  <w:tcW w:w="2159" w:type="pct"/>
                  <w:noWrap w:val="0"/>
                  <w:vAlign w:val="center"/>
                </w:tcPr>
                <w:p>
                  <w:pPr>
                    <w:adjustRightInd w:val="0"/>
                    <w:snapToGrid w:val="0"/>
                    <w:jc w:val="center"/>
                    <w:rPr>
                      <w:color w:val="auto"/>
                      <w:highlight w:val="none"/>
                    </w:rPr>
                  </w:pPr>
                  <w:r>
                    <w:rPr>
                      <w:color w:val="auto"/>
                      <w:highlight w:val="none"/>
                    </w:rPr>
                    <w:t>《工业企业厂界环境噪声排放标准》</w:t>
                  </w:r>
                </w:p>
                <w:p>
                  <w:pPr>
                    <w:adjustRightInd w:val="0"/>
                    <w:snapToGrid w:val="0"/>
                    <w:jc w:val="center"/>
                    <w:rPr>
                      <w:color w:val="auto"/>
                      <w:highlight w:val="none"/>
                    </w:rPr>
                  </w:pPr>
                  <w:r>
                    <w:rPr>
                      <w:color w:val="auto"/>
                      <w:highlight w:val="none"/>
                    </w:rPr>
                    <w:t>（GB12348-2008）3类标准</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color w:val="auto"/>
                <w:sz w:val="24"/>
                <w:highlight w:val="none"/>
              </w:rPr>
            </w:pPr>
            <w:r>
              <w:rPr>
                <w:b/>
                <w:color w:val="auto"/>
                <w:sz w:val="24"/>
                <w:highlight w:val="none"/>
              </w:rPr>
              <w:t>4、固体废物</w:t>
            </w:r>
          </w:p>
          <w:p>
            <w:pPr>
              <w:spacing w:line="360" w:lineRule="auto"/>
              <w:ind w:firstLine="480" w:firstLineChars="200"/>
              <w:rPr>
                <w:rFonts w:ascii="宋体" w:hAnsi="宋体" w:cs="宋体"/>
                <w:color w:val="auto"/>
                <w:kern w:val="0"/>
                <w:szCs w:val="21"/>
                <w:highlight w:val="none"/>
              </w:rPr>
            </w:pPr>
            <w:bookmarkStart w:id="2" w:name="_Hlk69977530"/>
            <w:r>
              <w:rPr>
                <w:rFonts w:ascii="Times New Roman" w:hAnsi="Times New Roman" w:eastAsia="宋体" w:cs="Times New Roman"/>
                <w:color w:val="auto"/>
                <w:sz w:val="24"/>
                <w:highlight w:val="none"/>
              </w:rPr>
              <w:t>一般固体废物执行</w:t>
            </w:r>
            <w:r>
              <w:rPr>
                <w:rFonts w:hint="eastAsia" w:ascii="Times New Roman" w:hAnsi="Times New Roman" w:eastAsia="宋体" w:cs="Times New Roman"/>
                <w:color w:val="auto"/>
                <w:sz w:val="24"/>
                <w:highlight w:val="none"/>
              </w:rPr>
              <w:t>《一般工业固体废物贮存和填埋污染控制标准》（GB18599-2020）</w:t>
            </w:r>
            <w:r>
              <w:rPr>
                <w:rFonts w:ascii="Times New Roman" w:hAnsi="Times New Roman" w:eastAsia="宋体" w:cs="Times New Roman"/>
                <w:color w:val="auto"/>
                <w:sz w:val="24"/>
                <w:highlight w:val="none"/>
              </w:rPr>
              <w:t>；危险废物执行《危险废物贮存污染控制标准》（GB18597-2001）及修改单标准。</w:t>
            </w:r>
            <w:bookmarkEnd w:id="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3" w:type="pct"/>
            <w:noWrap w:val="0"/>
            <w:vAlign w:val="center"/>
          </w:tcPr>
          <w:p>
            <w:pPr>
              <w:pStyle w:val="19"/>
              <w:adjustRightInd w:val="0"/>
              <w:snapToGrid w:val="0"/>
              <w:spacing w:before="0" w:beforeAutospacing="0" w:after="0" w:afterAutospacing="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总量控制指标</w:t>
            </w:r>
          </w:p>
        </w:tc>
        <w:tc>
          <w:tcPr>
            <w:tcW w:w="4676" w:type="pct"/>
            <w:noWrap w:val="0"/>
            <w:vAlign w:val="center"/>
          </w:tcPr>
          <w:p>
            <w:pPr>
              <w:spacing w:line="360" w:lineRule="auto"/>
              <w:ind w:firstLine="480" w:firstLineChars="200"/>
              <w:jc w:val="left"/>
              <w:rPr>
                <w:color w:val="auto"/>
                <w:sz w:val="24"/>
                <w:highlight w:val="none"/>
              </w:rPr>
            </w:pPr>
            <w:r>
              <w:rPr>
                <w:rFonts w:ascii="Times New Roman" w:hAnsi="Times New Roman" w:eastAsia="宋体" w:cs="Times New Roman"/>
                <w:color w:val="auto"/>
                <w:sz w:val="24"/>
                <w:highlight w:val="none"/>
              </w:rPr>
              <w:t>根据国家</w:t>
            </w:r>
            <w:r>
              <w:rPr>
                <w:color w:val="auto"/>
                <w:sz w:val="24"/>
                <w:highlight w:val="none"/>
              </w:rPr>
              <w:t>环境保护规划的相关规定，本项目</w:t>
            </w:r>
            <w:r>
              <w:rPr>
                <w:rFonts w:hint="eastAsia"/>
                <w:color w:val="auto"/>
                <w:sz w:val="24"/>
                <w:highlight w:val="none"/>
              </w:rPr>
              <w:t>水污染物</w:t>
            </w:r>
            <w:r>
              <w:rPr>
                <w:color w:val="auto"/>
                <w:sz w:val="24"/>
                <w:highlight w:val="none"/>
              </w:rPr>
              <w:t>总量控制因子为COD</w:t>
            </w:r>
            <w:r>
              <w:rPr>
                <w:color w:val="auto"/>
                <w:sz w:val="24"/>
                <w:highlight w:val="none"/>
                <w:vertAlign w:val="subscript"/>
              </w:rPr>
              <w:t>Cr</w:t>
            </w:r>
            <w:r>
              <w:rPr>
                <w:color w:val="auto"/>
                <w:sz w:val="24"/>
                <w:highlight w:val="none"/>
              </w:rPr>
              <w:t>、NH</w:t>
            </w:r>
            <w:r>
              <w:rPr>
                <w:rFonts w:hint="eastAsia"/>
                <w:color w:val="auto"/>
                <w:kern w:val="0"/>
                <w:szCs w:val="21"/>
                <w:highlight w:val="none"/>
                <w:vertAlign w:val="subscript"/>
                <w:lang w:bidi="ar"/>
              </w:rPr>
              <w:t>3</w:t>
            </w:r>
            <w:r>
              <w:rPr>
                <w:color w:val="auto"/>
                <w:sz w:val="24"/>
                <w:highlight w:val="none"/>
              </w:rPr>
              <w:t>-N</w:t>
            </w:r>
            <w:r>
              <w:rPr>
                <w:rFonts w:hint="eastAsia"/>
                <w:color w:val="auto"/>
                <w:sz w:val="24"/>
                <w:highlight w:val="none"/>
                <w:lang w:eastAsia="zh-CN"/>
              </w:rPr>
              <w:t>、</w:t>
            </w:r>
            <w:r>
              <w:rPr>
                <w:rFonts w:hint="eastAsia"/>
                <w:color w:val="auto"/>
                <w:sz w:val="24"/>
                <w:highlight w:val="none"/>
                <w:lang w:val="en-US" w:eastAsia="zh-CN"/>
              </w:rPr>
              <w:t>TP</w:t>
            </w:r>
            <w:r>
              <w:rPr>
                <w:color w:val="auto"/>
                <w:sz w:val="24"/>
                <w:highlight w:val="none"/>
              </w:rPr>
              <w:t>；</w:t>
            </w:r>
            <w:r>
              <w:rPr>
                <w:rFonts w:hint="eastAsia"/>
                <w:color w:val="auto"/>
                <w:sz w:val="24"/>
                <w:highlight w:val="none"/>
              </w:rPr>
              <w:t>大气污染物</w:t>
            </w:r>
            <w:r>
              <w:rPr>
                <w:color w:val="auto"/>
                <w:sz w:val="24"/>
                <w:highlight w:val="none"/>
              </w:rPr>
              <w:t>总量控制因子为</w:t>
            </w:r>
            <w:r>
              <w:rPr>
                <w:rFonts w:hint="eastAsia"/>
                <w:bCs/>
                <w:color w:val="auto"/>
                <w:sz w:val="24"/>
                <w:highlight w:val="none"/>
              </w:rPr>
              <w:t>颗粒物</w:t>
            </w:r>
            <w:r>
              <w:rPr>
                <w:color w:val="auto"/>
                <w:sz w:val="24"/>
                <w:highlight w:val="none"/>
              </w:rPr>
              <w:t>、</w:t>
            </w:r>
            <w:r>
              <w:rPr>
                <w:color w:val="auto"/>
                <w:kern w:val="0"/>
                <w:sz w:val="24"/>
                <w:highlight w:val="none"/>
                <w:lang w:bidi="ar"/>
              </w:rPr>
              <w:t>SO</w:t>
            </w:r>
            <w:r>
              <w:rPr>
                <w:color w:val="auto"/>
                <w:kern w:val="0"/>
                <w:sz w:val="24"/>
                <w:highlight w:val="none"/>
                <w:vertAlign w:val="subscript"/>
                <w:lang w:bidi="ar"/>
              </w:rPr>
              <w:t>2</w:t>
            </w:r>
            <w:r>
              <w:rPr>
                <w:color w:val="auto"/>
                <w:sz w:val="24"/>
                <w:highlight w:val="none"/>
              </w:rPr>
              <w:t>、NOx、VOCs。</w:t>
            </w:r>
          </w:p>
          <w:p>
            <w:pPr>
              <w:spacing w:line="360" w:lineRule="auto"/>
              <w:jc w:val="left"/>
              <w:rPr>
                <w:b/>
                <w:bCs/>
                <w:color w:val="auto"/>
                <w:sz w:val="24"/>
                <w:highlight w:val="none"/>
              </w:rPr>
            </w:pPr>
            <w:r>
              <w:rPr>
                <w:rFonts w:hint="eastAsia"/>
                <w:b/>
                <w:bCs/>
                <w:color w:val="auto"/>
                <w:sz w:val="24"/>
                <w:highlight w:val="none"/>
              </w:rPr>
              <w:t>一、</w:t>
            </w:r>
            <w:r>
              <w:rPr>
                <w:b/>
                <w:bCs/>
                <w:color w:val="auto"/>
                <w:sz w:val="24"/>
                <w:highlight w:val="none"/>
              </w:rPr>
              <w:t>水污染物总量控制</w:t>
            </w:r>
          </w:p>
          <w:p>
            <w:pPr>
              <w:spacing w:line="360" w:lineRule="auto"/>
              <w:ind w:firstLine="482" w:firstLineChars="200"/>
              <w:jc w:val="both"/>
              <w:rPr>
                <w:b/>
                <w:bCs/>
                <w:color w:val="auto"/>
                <w:sz w:val="24"/>
                <w:highlight w:val="none"/>
              </w:rPr>
            </w:pPr>
            <w:r>
              <w:rPr>
                <w:rFonts w:hint="eastAsia"/>
                <w:b/>
                <w:bCs/>
                <w:color w:val="auto"/>
                <w:sz w:val="24"/>
                <w:highlight w:val="none"/>
              </w:rPr>
              <w:t>1、</w:t>
            </w:r>
            <w:r>
              <w:rPr>
                <w:b/>
                <w:bCs/>
                <w:color w:val="auto"/>
                <w:sz w:val="24"/>
                <w:highlight w:val="none"/>
              </w:rPr>
              <w:t>厂区排口总量计算</w:t>
            </w:r>
          </w:p>
          <w:p>
            <w:pPr>
              <w:spacing w:line="360" w:lineRule="auto"/>
              <w:ind w:firstLine="480" w:firstLineChars="200"/>
              <w:jc w:val="both"/>
              <w:rPr>
                <w:color w:val="auto"/>
                <w:sz w:val="24"/>
                <w:highlight w:val="none"/>
              </w:rPr>
            </w:pPr>
            <w:r>
              <w:rPr>
                <w:color w:val="auto"/>
                <w:sz w:val="24"/>
                <w:highlight w:val="none"/>
              </w:rPr>
              <w:t>本项目废水量约</w:t>
            </w:r>
            <w:r>
              <w:rPr>
                <w:rFonts w:hint="eastAsia"/>
                <w:color w:val="auto"/>
                <w:sz w:val="24"/>
                <w:highlight w:val="none"/>
                <w:lang w:val="en-US" w:eastAsia="zh-CN"/>
              </w:rPr>
              <w:t>27722.3</w:t>
            </w:r>
            <w:r>
              <w:rPr>
                <w:color w:val="auto"/>
                <w:sz w:val="24"/>
                <w:highlight w:val="none"/>
              </w:rPr>
              <w:t>m</w:t>
            </w:r>
            <w:r>
              <w:rPr>
                <w:rFonts w:hint="eastAsia"/>
                <w:color w:val="auto"/>
                <w:sz w:val="24"/>
                <w:highlight w:val="none"/>
                <w:vertAlign w:val="superscript"/>
                <w:lang w:val="en-US" w:eastAsia="zh-CN"/>
              </w:rPr>
              <w:t>3</w:t>
            </w:r>
            <w:r>
              <w:rPr>
                <w:color w:val="auto"/>
                <w:sz w:val="24"/>
                <w:highlight w:val="none"/>
              </w:rPr>
              <w:t>/a，厂区</w:t>
            </w:r>
            <w:r>
              <w:rPr>
                <w:bCs/>
                <w:color w:val="auto"/>
                <w:sz w:val="24"/>
                <w:highlight w:val="none"/>
              </w:rPr>
              <w:t>排口</w:t>
            </w:r>
            <w:r>
              <w:rPr>
                <w:color w:val="auto"/>
                <w:sz w:val="24"/>
                <w:highlight w:val="none"/>
              </w:rPr>
              <w:t>总量按《污水综合排放标准》（GB8978-1996）中三级标准（COD</w:t>
            </w:r>
            <w:r>
              <w:rPr>
                <w:color w:val="auto"/>
                <w:sz w:val="24"/>
                <w:highlight w:val="none"/>
                <w:vertAlign w:val="subscript"/>
              </w:rPr>
              <w:t>Cr</w:t>
            </w:r>
            <w:r>
              <w:rPr>
                <w:color w:val="auto"/>
                <w:sz w:val="24"/>
                <w:highlight w:val="none"/>
              </w:rPr>
              <w:t>：500mg/L），NH</w:t>
            </w:r>
            <w:r>
              <w:rPr>
                <w:color w:val="auto"/>
                <w:kern w:val="0"/>
                <w:szCs w:val="21"/>
                <w:highlight w:val="none"/>
                <w:vertAlign w:val="subscript"/>
                <w:lang w:bidi="ar"/>
              </w:rPr>
              <w:t>3</w:t>
            </w:r>
            <w:r>
              <w:rPr>
                <w:color w:val="auto"/>
                <w:sz w:val="24"/>
                <w:highlight w:val="none"/>
              </w:rPr>
              <w:t>-N</w:t>
            </w:r>
            <w:r>
              <w:rPr>
                <w:rFonts w:hint="eastAsia"/>
                <w:color w:val="auto"/>
                <w:sz w:val="24"/>
                <w:highlight w:val="none"/>
                <w:lang w:val="en-US" w:eastAsia="zh-CN"/>
              </w:rPr>
              <w:t>和TP</w:t>
            </w:r>
            <w:r>
              <w:rPr>
                <w:color w:val="auto"/>
                <w:sz w:val="24"/>
                <w:highlight w:val="none"/>
              </w:rPr>
              <w:t>按《污水排入城镇下水道水质标准》（GB/T31962-2015）表1中B级标准（NH</w:t>
            </w:r>
            <w:r>
              <w:rPr>
                <w:color w:val="auto"/>
                <w:kern w:val="0"/>
                <w:szCs w:val="21"/>
                <w:highlight w:val="none"/>
                <w:vertAlign w:val="subscript"/>
                <w:lang w:bidi="ar"/>
              </w:rPr>
              <w:t>3</w:t>
            </w:r>
            <w:r>
              <w:rPr>
                <w:color w:val="auto"/>
                <w:sz w:val="24"/>
                <w:highlight w:val="none"/>
              </w:rPr>
              <w:t>-N：45mg/L</w:t>
            </w:r>
            <w:r>
              <w:rPr>
                <w:rFonts w:hint="eastAsia"/>
                <w:color w:val="auto"/>
                <w:sz w:val="24"/>
                <w:highlight w:val="none"/>
                <w:lang w:eastAsia="zh-CN"/>
              </w:rPr>
              <w:t>，</w:t>
            </w:r>
            <w:r>
              <w:rPr>
                <w:rFonts w:hint="eastAsia"/>
                <w:color w:val="auto"/>
                <w:sz w:val="24"/>
                <w:highlight w:val="none"/>
                <w:lang w:val="en-US" w:eastAsia="zh-CN"/>
              </w:rPr>
              <w:t>TP：8mg/L</w:t>
            </w:r>
            <w:r>
              <w:rPr>
                <w:color w:val="auto"/>
                <w:sz w:val="24"/>
                <w:highlight w:val="none"/>
              </w:rPr>
              <w:t>）进行计算：</w:t>
            </w:r>
          </w:p>
          <w:p>
            <w:pPr>
              <w:spacing w:line="360" w:lineRule="auto"/>
              <w:ind w:firstLine="480" w:firstLineChars="200"/>
              <w:jc w:val="both"/>
              <w:rPr>
                <w:color w:val="auto"/>
                <w:sz w:val="24"/>
                <w:highlight w:val="none"/>
              </w:rPr>
            </w:pPr>
            <w:r>
              <w:rPr>
                <w:color w:val="auto"/>
                <w:sz w:val="24"/>
                <w:highlight w:val="none"/>
              </w:rPr>
              <w:t>COD</w:t>
            </w:r>
            <w:r>
              <w:rPr>
                <w:color w:val="auto"/>
                <w:sz w:val="24"/>
                <w:highlight w:val="none"/>
                <w:vertAlign w:val="subscript"/>
              </w:rPr>
              <w:t>Cr</w:t>
            </w:r>
            <w:r>
              <w:rPr>
                <w:color w:val="auto"/>
                <w:sz w:val="24"/>
                <w:highlight w:val="none"/>
              </w:rPr>
              <w:t>：</w:t>
            </w:r>
            <w:r>
              <w:rPr>
                <w:rFonts w:hint="eastAsia"/>
                <w:color w:val="auto"/>
                <w:sz w:val="24"/>
                <w:highlight w:val="none"/>
                <w:lang w:val="en-US" w:eastAsia="zh-CN"/>
              </w:rPr>
              <w:t>27722.3</w:t>
            </w:r>
            <w:r>
              <w:rPr>
                <w:color w:val="auto"/>
                <w:sz w:val="24"/>
                <w:highlight w:val="none"/>
              </w:rPr>
              <w:t>m</w:t>
            </w:r>
            <w:r>
              <w:rPr>
                <w:rFonts w:hint="eastAsia"/>
                <w:color w:val="auto"/>
                <w:sz w:val="24"/>
                <w:highlight w:val="none"/>
                <w:vertAlign w:val="superscript"/>
              </w:rPr>
              <w:t>3</w:t>
            </w:r>
            <w:r>
              <w:rPr>
                <w:color w:val="auto"/>
                <w:sz w:val="24"/>
                <w:highlight w:val="none"/>
              </w:rPr>
              <w:t>/a×500mg/L×10</w:t>
            </w:r>
            <w:r>
              <w:rPr>
                <w:color w:val="auto"/>
                <w:sz w:val="24"/>
                <w:highlight w:val="none"/>
                <w:vertAlign w:val="superscript"/>
              </w:rPr>
              <w:t>-6</w:t>
            </w:r>
            <w:r>
              <w:rPr>
                <w:color w:val="auto"/>
                <w:sz w:val="24"/>
                <w:highlight w:val="none"/>
              </w:rPr>
              <w:t>=</w:t>
            </w:r>
            <w:r>
              <w:rPr>
                <w:rFonts w:hint="eastAsia"/>
                <w:color w:val="auto"/>
                <w:sz w:val="24"/>
                <w:highlight w:val="none"/>
                <w:lang w:val="en-US" w:eastAsia="zh-CN"/>
              </w:rPr>
              <w:t>13.8612</w:t>
            </w:r>
            <w:r>
              <w:rPr>
                <w:color w:val="auto"/>
                <w:sz w:val="24"/>
                <w:highlight w:val="none"/>
              </w:rPr>
              <w:t>t/a</w:t>
            </w:r>
            <w:r>
              <w:rPr>
                <w:rFonts w:hint="eastAsia"/>
                <w:color w:val="auto"/>
                <w:sz w:val="24"/>
                <w:highlight w:val="none"/>
              </w:rPr>
              <w:t>；</w:t>
            </w:r>
          </w:p>
          <w:p>
            <w:pPr>
              <w:spacing w:line="360" w:lineRule="auto"/>
              <w:ind w:firstLine="480" w:firstLineChars="200"/>
              <w:jc w:val="both"/>
              <w:rPr>
                <w:rFonts w:hint="eastAsia"/>
                <w:color w:val="auto"/>
                <w:sz w:val="24"/>
                <w:highlight w:val="none"/>
                <w:lang w:eastAsia="zh-CN"/>
              </w:rPr>
            </w:pPr>
            <w:r>
              <w:rPr>
                <w:color w:val="auto"/>
                <w:sz w:val="24"/>
                <w:highlight w:val="none"/>
              </w:rPr>
              <w:t>NH</w:t>
            </w:r>
            <w:r>
              <w:rPr>
                <w:color w:val="auto"/>
                <w:kern w:val="0"/>
                <w:szCs w:val="21"/>
                <w:highlight w:val="none"/>
                <w:vertAlign w:val="subscript"/>
                <w:lang w:bidi="ar"/>
              </w:rPr>
              <w:t>3</w:t>
            </w:r>
            <w:r>
              <w:rPr>
                <w:color w:val="auto"/>
                <w:sz w:val="24"/>
                <w:highlight w:val="none"/>
              </w:rPr>
              <w:t>-N：</w:t>
            </w:r>
            <w:r>
              <w:rPr>
                <w:rFonts w:hint="eastAsia"/>
                <w:color w:val="auto"/>
                <w:sz w:val="24"/>
                <w:highlight w:val="none"/>
                <w:lang w:val="en-US" w:eastAsia="zh-CN"/>
              </w:rPr>
              <w:t>27722.3</w:t>
            </w:r>
            <w:r>
              <w:rPr>
                <w:color w:val="auto"/>
                <w:sz w:val="24"/>
                <w:highlight w:val="none"/>
              </w:rPr>
              <w:t>m</w:t>
            </w:r>
            <w:r>
              <w:rPr>
                <w:rFonts w:hint="eastAsia"/>
                <w:color w:val="auto"/>
                <w:sz w:val="24"/>
                <w:highlight w:val="none"/>
                <w:vertAlign w:val="superscript"/>
              </w:rPr>
              <w:t>3</w:t>
            </w:r>
            <w:r>
              <w:rPr>
                <w:color w:val="auto"/>
                <w:sz w:val="24"/>
                <w:highlight w:val="none"/>
              </w:rPr>
              <w:t>/a×45mg/L×10</w:t>
            </w:r>
            <w:r>
              <w:rPr>
                <w:color w:val="auto"/>
                <w:sz w:val="24"/>
                <w:highlight w:val="none"/>
                <w:vertAlign w:val="superscript"/>
              </w:rPr>
              <w:t>-6</w:t>
            </w:r>
            <w:r>
              <w:rPr>
                <w:color w:val="auto"/>
                <w:sz w:val="24"/>
                <w:highlight w:val="none"/>
              </w:rPr>
              <w:t>＝</w:t>
            </w:r>
            <w:r>
              <w:rPr>
                <w:rFonts w:hint="eastAsia"/>
                <w:color w:val="auto"/>
                <w:sz w:val="24"/>
                <w:highlight w:val="none"/>
                <w:lang w:val="en-US" w:eastAsia="zh-CN"/>
              </w:rPr>
              <w:t>1.2475</w:t>
            </w:r>
            <w:r>
              <w:rPr>
                <w:color w:val="auto"/>
                <w:sz w:val="24"/>
                <w:highlight w:val="none"/>
              </w:rPr>
              <w:t>t/a</w:t>
            </w:r>
            <w:r>
              <w:rPr>
                <w:rFonts w:hint="eastAsia"/>
                <w:color w:val="auto"/>
                <w:sz w:val="24"/>
                <w:highlight w:val="none"/>
                <w:lang w:eastAsia="zh-CN"/>
              </w:rPr>
              <w:t>；</w:t>
            </w:r>
          </w:p>
          <w:p>
            <w:pPr>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TP：</w:t>
            </w:r>
            <w:r>
              <w:rPr>
                <w:rFonts w:hint="eastAsia"/>
                <w:color w:val="auto"/>
                <w:sz w:val="24"/>
                <w:highlight w:val="none"/>
                <w:lang w:val="en-US" w:eastAsia="zh-CN"/>
              </w:rPr>
              <w:t>27722.3</w:t>
            </w:r>
            <w:r>
              <w:rPr>
                <w:color w:val="auto"/>
                <w:sz w:val="24"/>
                <w:highlight w:val="none"/>
              </w:rPr>
              <w:t>m</w:t>
            </w:r>
            <w:r>
              <w:rPr>
                <w:rFonts w:hint="eastAsia"/>
                <w:color w:val="auto"/>
                <w:sz w:val="24"/>
                <w:highlight w:val="none"/>
                <w:vertAlign w:val="superscript"/>
              </w:rPr>
              <w:t>3</w:t>
            </w:r>
            <w:r>
              <w:rPr>
                <w:color w:val="auto"/>
                <w:sz w:val="24"/>
                <w:highlight w:val="none"/>
              </w:rPr>
              <w:t>/a×</w:t>
            </w:r>
            <w:r>
              <w:rPr>
                <w:rFonts w:hint="eastAsia"/>
                <w:color w:val="auto"/>
                <w:sz w:val="24"/>
                <w:highlight w:val="none"/>
                <w:lang w:val="en-US" w:eastAsia="zh-CN"/>
              </w:rPr>
              <w:t>8</w:t>
            </w:r>
            <w:r>
              <w:rPr>
                <w:color w:val="auto"/>
                <w:sz w:val="24"/>
                <w:highlight w:val="none"/>
              </w:rPr>
              <w:t>mg/L×10</w:t>
            </w:r>
            <w:r>
              <w:rPr>
                <w:color w:val="auto"/>
                <w:sz w:val="24"/>
                <w:highlight w:val="none"/>
                <w:vertAlign w:val="superscript"/>
              </w:rPr>
              <w:t>-6</w:t>
            </w:r>
            <w:r>
              <w:rPr>
                <w:color w:val="auto"/>
                <w:sz w:val="24"/>
                <w:highlight w:val="none"/>
              </w:rPr>
              <w:t>＝</w:t>
            </w:r>
            <w:r>
              <w:rPr>
                <w:rFonts w:hint="eastAsia"/>
                <w:color w:val="auto"/>
                <w:sz w:val="24"/>
                <w:highlight w:val="none"/>
                <w:lang w:val="en-US" w:eastAsia="zh-CN"/>
              </w:rPr>
              <w:t>0.2218</w:t>
            </w:r>
            <w:r>
              <w:rPr>
                <w:color w:val="auto"/>
                <w:sz w:val="24"/>
                <w:highlight w:val="none"/>
              </w:rPr>
              <w:t>t/a</w:t>
            </w:r>
            <w:r>
              <w:rPr>
                <w:rFonts w:hint="eastAsia"/>
                <w:color w:val="auto"/>
                <w:sz w:val="24"/>
                <w:highlight w:val="none"/>
                <w:lang w:eastAsia="zh-CN"/>
              </w:rPr>
              <w:t>。</w:t>
            </w:r>
          </w:p>
          <w:p>
            <w:pPr>
              <w:spacing w:line="360" w:lineRule="auto"/>
              <w:ind w:firstLine="482" w:firstLineChars="200"/>
              <w:jc w:val="both"/>
              <w:rPr>
                <w:b/>
                <w:bCs/>
                <w:color w:val="auto"/>
                <w:sz w:val="24"/>
                <w:highlight w:val="none"/>
              </w:rPr>
            </w:pPr>
            <w:r>
              <w:rPr>
                <w:rFonts w:hint="eastAsia"/>
                <w:b/>
                <w:bCs/>
                <w:color w:val="auto"/>
                <w:sz w:val="24"/>
                <w:highlight w:val="none"/>
              </w:rPr>
              <w:t>2、</w:t>
            </w:r>
            <w:r>
              <w:rPr>
                <w:b/>
                <w:bCs/>
                <w:color w:val="auto"/>
                <w:sz w:val="24"/>
                <w:highlight w:val="none"/>
              </w:rPr>
              <w:t>污水处理厂排口总量计算</w:t>
            </w:r>
          </w:p>
          <w:p>
            <w:pPr>
              <w:spacing w:line="360" w:lineRule="auto"/>
              <w:ind w:firstLine="480" w:firstLineChars="200"/>
              <w:rPr>
                <w:rFonts w:ascii="Times New Roman" w:hAnsi="Times New Roman" w:eastAsia="宋体" w:cs="Times New Roman"/>
                <w:color w:val="auto"/>
                <w:sz w:val="24"/>
                <w:highlight w:val="none"/>
              </w:rPr>
            </w:pPr>
            <w:r>
              <w:rPr>
                <w:color w:val="auto"/>
                <w:sz w:val="24"/>
                <w:highlight w:val="none"/>
              </w:rPr>
              <w:t>根据污水处理厂排口出水标准计算，园区污水处理厂</w:t>
            </w:r>
            <w:r>
              <w:rPr>
                <w:rFonts w:hint="eastAsia"/>
                <w:color w:val="auto"/>
                <w:sz w:val="24"/>
                <w:highlight w:val="none"/>
                <w:lang w:val="en-US" w:eastAsia="zh-CN"/>
              </w:rPr>
              <w:t>近期</w:t>
            </w:r>
            <w:r>
              <w:rPr>
                <w:color w:val="auto"/>
                <w:sz w:val="24"/>
                <w:highlight w:val="none"/>
              </w:rPr>
              <w:t>达到《城镇污水处理厂污染物排放标准》（GB18918-2002）一级A标准（COD</w:t>
            </w:r>
            <w:r>
              <w:rPr>
                <w:color w:val="auto"/>
                <w:sz w:val="24"/>
                <w:highlight w:val="none"/>
                <w:vertAlign w:val="subscript"/>
              </w:rPr>
              <w:t>Cr</w:t>
            </w:r>
            <w:r>
              <w:rPr>
                <w:color w:val="auto"/>
                <w:sz w:val="24"/>
                <w:highlight w:val="none"/>
              </w:rPr>
              <w:t>：50mg/L，NH</w:t>
            </w:r>
            <w:r>
              <w:rPr>
                <w:color w:val="auto"/>
                <w:kern w:val="0"/>
                <w:szCs w:val="21"/>
                <w:highlight w:val="none"/>
                <w:vertAlign w:val="subscript"/>
                <w:lang w:bidi="ar"/>
              </w:rPr>
              <w:t>3</w:t>
            </w:r>
            <w:r>
              <w:rPr>
                <w:color w:val="auto"/>
                <w:sz w:val="24"/>
                <w:highlight w:val="none"/>
              </w:rPr>
              <w:t>-N：5mg/L</w:t>
            </w:r>
            <w:r>
              <w:rPr>
                <w:rFonts w:hint="eastAsia"/>
                <w:color w:val="auto"/>
                <w:sz w:val="24"/>
                <w:highlight w:val="none"/>
                <w:lang w:eastAsia="zh-CN"/>
              </w:rPr>
              <w:t>，</w:t>
            </w:r>
            <w:r>
              <w:rPr>
                <w:rFonts w:hint="eastAsia"/>
                <w:color w:val="auto"/>
                <w:sz w:val="24"/>
                <w:highlight w:val="none"/>
                <w:lang w:val="en-US" w:eastAsia="zh-CN"/>
              </w:rPr>
              <w:t>TP：0.5mg/L</w:t>
            </w:r>
            <w:r>
              <w:rPr>
                <w:color w:val="auto"/>
                <w:sz w:val="24"/>
                <w:highlight w:val="none"/>
              </w:rPr>
              <w:t>）</w:t>
            </w:r>
            <w:r>
              <w:rPr>
                <w:rFonts w:hint="eastAsia"/>
                <w:color w:val="auto"/>
                <w:sz w:val="24"/>
                <w:highlight w:val="none"/>
                <w:lang w:eastAsia="zh-CN"/>
              </w:rPr>
              <w:t>，</w:t>
            </w:r>
            <w:r>
              <w:rPr>
                <w:rFonts w:hint="eastAsia"/>
                <w:color w:val="auto"/>
                <w:sz w:val="24"/>
                <w:highlight w:val="none"/>
                <w:lang w:val="en-US" w:eastAsia="zh-CN"/>
              </w:rPr>
              <w:t>远期达到《四川省岷江、沱江流域水污染物排放标准》（DB51/2311-2016）城镇污水处理厂排放标准</w:t>
            </w:r>
            <w:r>
              <w:rPr>
                <w:color w:val="auto"/>
                <w:sz w:val="24"/>
                <w:highlight w:val="none"/>
              </w:rPr>
              <w:t>（COD</w:t>
            </w:r>
            <w:r>
              <w:rPr>
                <w:color w:val="auto"/>
                <w:sz w:val="24"/>
                <w:highlight w:val="none"/>
                <w:vertAlign w:val="subscript"/>
              </w:rPr>
              <w:t>Cr</w:t>
            </w:r>
            <w:r>
              <w:rPr>
                <w:color w:val="auto"/>
                <w:sz w:val="24"/>
                <w:highlight w:val="none"/>
              </w:rPr>
              <w:t>：</w:t>
            </w:r>
            <w:r>
              <w:rPr>
                <w:rFonts w:hint="eastAsia"/>
                <w:color w:val="auto"/>
                <w:sz w:val="24"/>
                <w:highlight w:val="none"/>
                <w:lang w:val="en-US" w:eastAsia="zh-CN"/>
              </w:rPr>
              <w:t>3</w:t>
            </w:r>
            <w:r>
              <w:rPr>
                <w:color w:val="auto"/>
                <w:sz w:val="24"/>
                <w:highlight w:val="none"/>
              </w:rPr>
              <w:t>0mg/L，NH</w:t>
            </w:r>
            <w:r>
              <w:rPr>
                <w:color w:val="auto"/>
                <w:kern w:val="0"/>
                <w:szCs w:val="21"/>
                <w:highlight w:val="none"/>
                <w:vertAlign w:val="subscript"/>
                <w:lang w:bidi="ar"/>
              </w:rPr>
              <w:t>3</w:t>
            </w:r>
            <w:r>
              <w:rPr>
                <w:color w:val="auto"/>
                <w:sz w:val="24"/>
                <w:highlight w:val="none"/>
              </w:rPr>
              <w:t>-N：</w:t>
            </w:r>
            <w:r>
              <w:rPr>
                <w:rFonts w:hint="eastAsia"/>
                <w:color w:val="auto"/>
                <w:sz w:val="24"/>
                <w:highlight w:val="none"/>
                <w:lang w:val="en-US" w:eastAsia="zh-CN"/>
              </w:rPr>
              <w:t>1.5</w:t>
            </w:r>
            <w:r>
              <w:rPr>
                <w:color w:val="auto"/>
                <w:sz w:val="24"/>
                <w:highlight w:val="none"/>
              </w:rPr>
              <w:t>mg/L</w:t>
            </w:r>
            <w:r>
              <w:rPr>
                <w:rFonts w:hint="eastAsia"/>
                <w:color w:val="auto"/>
                <w:sz w:val="24"/>
                <w:highlight w:val="none"/>
                <w:lang w:eastAsia="zh-CN"/>
              </w:rPr>
              <w:t>，</w:t>
            </w:r>
            <w:r>
              <w:rPr>
                <w:rFonts w:hint="eastAsia"/>
                <w:color w:val="auto"/>
                <w:sz w:val="24"/>
                <w:highlight w:val="none"/>
                <w:lang w:val="en-US" w:eastAsia="zh-CN"/>
              </w:rPr>
              <w:t>TP：0.3mg/L</w:t>
            </w:r>
            <w:r>
              <w:rPr>
                <w:color w:val="auto"/>
                <w:sz w:val="24"/>
                <w:highlight w:val="none"/>
              </w:rPr>
              <w:t>）</w:t>
            </w:r>
            <w:r>
              <w:rPr>
                <w:rFonts w:hint="eastAsia"/>
                <w:color w:val="auto"/>
                <w:sz w:val="24"/>
                <w:highlight w:val="none"/>
                <w:lang w:eastAsia="zh-CN"/>
              </w:rPr>
              <w:t>。</w:t>
            </w:r>
          </w:p>
          <w:p>
            <w:pPr>
              <w:spacing w:line="360" w:lineRule="auto"/>
              <w:ind w:firstLine="482" w:firstLineChars="200"/>
              <w:jc w:val="both"/>
              <w:rPr>
                <w:rFonts w:hint="eastAsia" w:eastAsia="宋体"/>
                <w:color w:val="auto"/>
                <w:sz w:val="24"/>
                <w:highlight w:val="none"/>
                <w:lang w:val="en-US" w:eastAsia="zh-CN"/>
              </w:rPr>
            </w:pPr>
            <w:r>
              <w:rPr>
                <w:rFonts w:hint="eastAsia"/>
                <w:b/>
                <w:bCs/>
                <w:color w:val="auto"/>
                <w:sz w:val="24"/>
                <w:highlight w:val="none"/>
                <w:lang w:val="en-US" w:eastAsia="zh-CN"/>
              </w:rPr>
              <w:t>（1）</w:t>
            </w:r>
            <w:r>
              <w:rPr>
                <w:b/>
                <w:bCs/>
                <w:color w:val="auto"/>
                <w:sz w:val="24"/>
                <w:highlight w:val="none"/>
              </w:rPr>
              <w:t>污水处理厂</w:t>
            </w:r>
            <w:r>
              <w:rPr>
                <w:rFonts w:hint="eastAsia"/>
                <w:b/>
                <w:bCs/>
                <w:color w:val="auto"/>
                <w:sz w:val="24"/>
                <w:highlight w:val="none"/>
                <w:lang w:val="en-US" w:eastAsia="zh-CN"/>
              </w:rPr>
              <w:t>近期</w:t>
            </w:r>
            <w:r>
              <w:rPr>
                <w:b/>
                <w:bCs/>
                <w:color w:val="auto"/>
                <w:sz w:val="24"/>
                <w:highlight w:val="none"/>
              </w:rPr>
              <w:t>排口总量计算</w:t>
            </w:r>
          </w:p>
          <w:p>
            <w:pPr>
              <w:spacing w:line="360" w:lineRule="auto"/>
              <w:ind w:firstLine="480" w:firstLineChars="200"/>
              <w:jc w:val="both"/>
              <w:rPr>
                <w:color w:val="auto"/>
                <w:sz w:val="24"/>
                <w:highlight w:val="none"/>
              </w:rPr>
            </w:pPr>
            <w:r>
              <w:rPr>
                <w:color w:val="auto"/>
                <w:sz w:val="24"/>
                <w:highlight w:val="none"/>
              </w:rPr>
              <w:t>COD</w:t>
            </w:r>
            <w:r>
              <w:rPr>
                <w:color w:val="auto"/>
                <w:sz w:val="24"/>
                <w:highlight w:val="none"/>
                <w:vertAlign w:val="subscript"/>
              </w:rPr>
              <w:t>Cr</w:t>
            </w:r>
            <w:r>
              <w:rPr>
                <w:color w:val="auto"/>
                <w:sz w:val="24"/>
                <w:highlight w:val="none"/>
              </w:rPr>
              <w:t>：</w:t>
            </w:r>
            <w:r>
              <w:rPr>
                <w:rFonts w:hint="eastAsia"/>
                <w:color w:val="auto"/>
                <w:sz w:val="24"/>
                <w:highlight w:val="none"/>
                <w:lang w:val="en-US" w:eastAsia="zh-CN"/>
              </w:rPr>
              <w:t>27722.3</w:t>
            </w:r>
            <w:r>
              <w:rPr>
                <w:color w:val="auto"/>
                <w:sz w:val="24"/>
                <w:highlight w:val="none"/>
              </w:rPr>
              <w:t>m</w:t>
            </w:r>
            <w:r>
              <w:rPr>
                <w:rFonts w:hint="eastAsia"/>
                <w:color w:val="auto"/>
                <w:sz w:val="24"/>
                <w:highlight w:val="none"/>
                <w:vertAlign w:val="superscript"/>
              </w:rPr>
              <w:t>3</w:t>
            </w:r>
            <w:r>
              <w:rPr>
                <w:color w:val="auto"/>
                <w:sz w:val="24"/>
                <w:highlight w:val="none"/>
              </w:rPr>
              <w:t>/a×</w:t>
            </w:r>
            <w:r>
              <w:rPr>
                <w:rFonts w:hint="eastAsia"/>
                <w:color w:val="auto"/>
                <w:sz w:val="24"/>
                <w:highlight w:val="none"/>
                <w:lang w:val="en-US" w:eastAsia="zh-CN"/>
              </w:rPr>
              <w:t>50</w:t>
            </w:r>
            <w:r>
              <w:rPr>
                <w:color w:val="auto"/>
                <w:sz w:val="24"/>
                <w:highlight w:val="none"/>
              </w:rPr>
              <w:t>mg/L×10</w:t>
            </w:r>
            <w:r>
              <w:rPr>
                <w:color w:val="auto"/>
                <w:sz w:val="24"/>
                <w:highlight w:val="none"/>
                <w:vertAlign w:val="superscript"/>
              </w:rPr>
              <w:t>-6</w:t>
            </w:r>
            <w:r>
              <w:rPr>
                <w:color w:val="auto"/>
                <w:sz w:val="24"/>
                <w:highlight w:val="none"/>
              </w:rPr>
              <w:t>=</w:t>
            </w:r>
            <w:r>
              <w:rPr>
                <w:rFonts w:hint="eastAsia"/>
                <w:color w:val="auto"/>
                <w:sz w:val="24"/>
                <w:highlight w:val="none"/>
                <w:lang w:val="en-US" w:eastAsia="zh-CN"/>
              </w:rPr>
              <w:t>1.3861</w:t>
            </w:r>
            <w:r>
              <w:rPr>
                <w:color w:val="auto"/>
                <w:sz w:val="24"/>
                <w:highlight w:val="none"/>
              </w:rPr>
              <w:t>t/a</w:t>
            </w:r>
            <w:r>
              <w:rPr>
                <w:rFonts w:hint="eastAsia"/>
                <w:color w:val="auto"/>
                <w:sz w:val="24"/>
                <w:highlight w:val="none"/>
              </w:rPr>
              <w:t>；</w:t>
            </w:r>
          </w:p>
          <w:p>
            <w:pPr>
              <w:spacing w:line="360" w:lineRule="auto"/>
              <w:ind w:firstLine="480" w:firstLineChars="200"/>
              <w:jc w:val="both"/>
              <w:rPr>
                <w:rFonts w:hint="eastAsia"/>
                <w:color w:val="auto"/>
                <w:sz w:val="24"/>
                <w:highlight w:val="none"/>
                <w:lang w:eastAsia="zh-CN"/>
              </w:rPr>
            </w:pPr>
            <w:r>
              <w:rPr>
                <w:color w:val="auto"/>
                <w:sz w:val="24"/>
                <w:highlight w:val="none"/>
              </w:rPr>
              <w:t>NH</w:t>
            </w:r>
            <w:r>
              <w:rPr>
                <w:color w:val="auto"/>
                <w:kern w:val="0"/>
                <w:szCs w:val="21"/>
                <w:highlight w:val="none"/>
                <w:vertAlign w:val="subscript"/>
                <w:lang w:bidi="ar"/>
              </w:rPr>
              <w:t>3</w:t>
            </w:r>
            <w:r>
              <w:rPr>
                <w:color w:val="auto"/>
                <w:sz w:val="24"/>
                <w:highlight w:val="none"/>
              </w:rPr>
              <w:t>-N：</w:t>
            </w:r>
            <w:r>
              <w:rPr>
                <w:rFonts w:hint="eastAsia"/>
                <w:color w:val="auto"/>
                <w:sz w:val="24"/>
                <w:highlight w:val="none"/>
                <w:lang w:val="en-US" w:eastAsia="zh-CN"/>
              </w:rPr>
              <w:t>27722.3</w:t>
            </w:r>
            <w:r>
              <w:rPr>
                <w:color w:val="auto"/>
                <w:sz w:val="24"/>
                <w:highlight w:val="none"/>
              </w:rPr>
              <w:t>m</w:t>
            </w:r>
            <w:r>
              <w:rPr>
                <w:rFonts w:hint="eastAsia"/>
                <w:color w:val="auto"/>
                <w:sz w:val="24"/>
                <w:highlight w:val="none"/>
                <w:vertAlign w:val="superscript"/>
              </w:rPr>
              <w:t>3</w:t>
            </w:r>
            <w:r>
              <w:rPr>
                <w:color w:val="auto"/>
                <w:sz w:val="24"/>
                <w:highlight w:val="none"/>
              </w:rPr>
              <w:t>/a×</w:t>
            </w:r>
            <w:r>
              <w:rPr>
                <w:rFonts w:hint="eastAsia"/>
                <w:color w:val="auto"/>
                <w:sz w:val="24"/>
                <w:highlight w:val="none"/>
                <w:lang w:val="en-US" w:eastAsia="zh-CN"/>
              </w:rPr>
              <w:t>5</w:t>
            </w:r>
            <w:r>
              <w:rPr>
                <w:color w:val="auto"/>
                <w:sz w:val="24"/>
                <w:highlight w:val="none"/>
              </w:rPr>
              <w:t>mg/L×10</w:t>
            </w:r>
            <w:r>
              <w:rPr>
                <w:color w:val="auto"/>
                <w:sz w:val="24"/>
                <w:highlight w:val="none"/>
                <w:vertAlign w:val="superscript"/>
              </w:rPr>
              <w:t>-6</w:t>
            </w:r>
            <w:r>
              <w:rPr>
                <w:color w:val="auto"/>
                <w:sz w:val="24"/>
                <w:highlight w:val="none"/>
              </w:rPr>
              <w:t>＝</w:t>
            </w:r>
            <w:r>
              <w:rPr>
                <w:rFonts w:hint="eastAsia"/>
                <w:color w:val="auto"/>
                <w:sz w:val="24"/>
                <w:highlight w:val="none"/>
                <w:lang w:val="en-US" w:eastAsia="zh-CN"/>
              </w:rPr>
              <w:t>0.1386</w:t>
            </w:r>
            <w:r>
              <w:rPr>
                <w:color w:val="auto"/>
                <w:sz w:val="24"/>
                <w:highlight w:val="none"/>
              </w:rPr>
              <w:t>t/a</w:t>
            </w:r>
            <w:r>
              <w:rPr>
                <w:rFonts w:hint="eastAsia"/>
                <w:color w:val="auto"/>
                <w:sz w:val="24"/>
                <w:highlight w:val="none"/>
                <w:lang w:eastAsia="zh-CN"/>
              </w:rPr>
              <w:t>；</w:t>
            </w:r>
          </w:p>
          <w:p>
            <w:pPr>
              <w:spacing w:line="360" w:lineRule="auto"/>
              <w:ind w:firstLine="480" w:firstLineChars="200"/>
              <w:jc w:val="both"/>
              <w:rPr>
                <w:rFonts w:hint="eastAsia" w:eastAsia="宋体"/>
                <w:color w:val="auto"/>
                <w:sz w:val="24"/>
                <w:highlight w:val="none"/>
                <w:lang w:eastAsia="zh-CN"/>
              </w:rPr>
            </w:pPr>
            <w:r>
              <w:rPr>
                <w:rFonts w:hint="eastAsia" w:ascii="Times New Roman" w:hAnsi="Times New Roman" w:eastAsia="宋体" w:cs="Times New Roman"/>
                <w:color w:val="auto"/>
                <w:sz w:val="24"/>
                <w:highlight w:val="none"/>
                <w:lang w:val="en-US" w:eastAsia="zh-CN"/>
              </w:rPr>
              <w:t>TP：</w:t>
            </w:r>
            <w:r>
              <w:rPr>
                <w:rFonts w:hint="eastAsia"/>
                <w:color w:val="auto"/>
                <w:sz w:val="24"/>
                <w:highlight w:val="none"/>
                <w:lang w:val="en-US" w:eastAsia="zh-CN"/>
              </w:rPr>
              <w:t>27722.3</w:t>
            </w:r>
            <w:r>
              <w:rPr>
                <w:color w:val="auto"/>
                <w:sz w:val="24"/>
                <w:highlight w:val="none"/>
              </w:rPr>
              <w:t>m</w:t>
            </w:r>
            <w:r>
              <w:rPr>
                <w:rFonts w:hint="eastAsia"/>
                <w:color w:val="auto"/>
                <w:sz w:val="24"/>
                <w:highlight w:val="none"/>
                <w:vertAlign w:val="superscript"/>
              </w:rPr>
              <w:t>3</w:t>
            </w:r>
            <w:r>
              <w:rPr>
                <w:color w:val="auto"/>
                <w:sz w:val="24"/>
                <w:highlight w:val="none"/>
              </w:rPr>
              <w:t>/a×</w:t>
            </w:r>
            <w:r>
              <w:rPr>
                <w:rFonts w:hint="eastAsia"/>
                <w:color w:val="auto"/>
                <w:sz w:val="24"/>
                <w:highlight w:val="none"/>
                <w:lang w:val="en-US" w:eastAsia="zh-CN"/>
              </w:rPr>
              <w:t>0.5</w:t>
            </w:r>
            <w:r>
              <w:rPr>
                <w:color w:val="auto"/>
                <w:sz w:val="24"/>
                <w:highlight w:val="none"/>
              </w:rPr>
              <w:t>mg/L×10</w:t>
            </w:r>
            <w:r>
              <w:rPr>
                <w:color w:val="auto"/>
                <w:sz w:val="24"/>
                <w:highlight w:val="none"/>
                <w:vertAlign w:val="superscript"/>
              </w:rPr>
              <w:t>-6</w:t>
            </w:r>
            <w:r>
              <w:rPr>
                <w:color w:val="auto"/>
                <w:sz w:val="24"/>
                <w:highlight w:val="none"/>
              </w:rPr>
              <w:t>＝</w:t>
            </w:r>
            <w:r>
              <w:rPr>
                <w:rFonts w:hint="eastAsia"/>
                <w:color w:val="auto"/>
                <w:sz w:val="24"/>
                <w:highlight w:val="none"/>
                <w:lang w:val="en-US" w:eastAsia="zh-CN"/>
              </w:rPr>
              <w:t>0.0139</w:t>
            </w:r>
            <w:r>
              <w:rPr>
                <w:color w:val="auto"/>
                <w:sz w:val="24"/>
                <w:highlight w:val="none"/>
              </w:rPr>
              <w:t>t/a</w:t>
            </w:r>
            <w:r>
              <w:rPr>
                <w:rFonts w:hint="eastAsia"/>
                <w:color w:val="auto"/>
                <w:sz w:val="24"/>
                <w:highlight w:val="none"/>
                <w:lang w:eastAsia="zh-CN"/>
              </w:rPr>
              <w:t>。</w:t>
            </w:r>
          </w:p>
          <w:p>
            <w:pPr>
              <w:spacing w:line="360" w:lineRule="auto"/>
              <w:ind w:firstLine="482"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2</w:t>
            </w:r>
            <w:r>
              <w:rPr>
                <w:rFonts w:hint="eastAsia" w:ascii="Times New Roman" w:hAnsi="Times New Roman" w:eastAsia="宋体" w:cs="Times New Roman"/>
                <w:b/>
                <w:bCs/>
                <w:color w:val="auto"/>
                <w:sz w:val="24"/>
                <w:highlight w:val="none"/>
                <w:lang w:eastAsia="zh-CN"/>
              </w:rPr>
              <w:t>）</w:t>
            </w:r>
            <w:r>
              <w:rPr>
                <w:b/>
                <w:bCs/>
                <w:color w:val="auto"/>
                <w:sz w:val="24"/>
                <w:highlight w:val="none"/>
              </w:rPr>
              <w:t>污水处理厂</w:t>
            </w:r>
            <w:r>
              <w:rPr>
                <w:rFonts w:hint="eastAsia"/>
                <w:b/>
                <w:bCs/>
                <w:color w:val="auto"/>
                <w:sz w:val="24"/>
                <w:highlight w:val="none"/>
                <w:lang w:val="en-US" w:eastAsia="zh-CN"/>
              </w:rPr>
              <w:t>远期</w:t>
            </w:r>
            <w:r>
              <w:rPr>
                <w:b/>
                <w:bCs/>
                <w:color w:val="auto"/>
                <w:sz w:val="24"/>
                <w:highlight w:val="none"/>
              </w:rPr>
              <w:t>排口总量计算</w:t>
            </w:r>
          </w:p>
          <w:p>
            <w:pPr>
              <w:spacing w:line="360" w:lineRule="auto"/>
              <w:ind w:firstLine="480" w:firstLineChars="200"/>
              <w:jc w:val="both"/>
              <w:rPr>
                <w:color w:val="auto"/>
                <w:sz w:val="24"/>
                <w:highlight w:val="none"/>
              </w:rPr>
            </w:pPr>
            <w:r>
              <w:rPr>
                <w:color w:val="auto"/>
                <w:sz w:val="24"/>
                <w:highlight w:val="none"/>
              </w:rPr>
              <w:t>COD</w:t>
            </w:r>
            <w:r>
              <w:rPr>
                <w:color w:val="auto"/>
                <w:sz w:val="24"/>
                <w:highlight w:val="none"/>
                <w:vertAlign w:val="subscript"/>
              </w:rPr>
              <w:t>Cr</w:t>
            </w:r>
            <w:r>
              <w:rPr>
                <w:color w:val="auto"/>
                <w:sz w:val="24"/>
                <w:highlight w:val="none"/>
              </w:rPr>
              <w:t>：</w:t>
            </w:r>
            <w:r>
              <w:rPr>
                <w:rFonts w:hint="eastAsia"/>
                <w:color w:val="auto"/>
                <w:sz w:val="24"/>
                <w:highlight w:val="none"/>
                <w:lang w:val="en-US" w:eastAsia="zh-CN"/>
              </w:rPr>
              <w:t>27722.3</w:t>
            </w:r>
            <w:r>
              <w:rPr>
                <w:color w:val="auto"/>
                <w:sz w:val="24"/>
                <w:highlight w:val="none"/>
              </w:rPr>
              <w:t>m</w:t>
            </w:r>
            <w:r>
              <w:rPr>
                <w:rFonts w:hint="eastAsia"/>
                <w:color w:val="auto"/>
                <w:sz w:val="24"/>
                <w:highlight w:val="none"/>
                <w:vertAlign w:val="superscript"/>
              </w:rPr>
              <w:t>3</w:t>
            </w:r>
            <w:r>
              <w:rPr>
                <w:color w:val="auto"/>
                <w:sz w:val="24"/>
                <w:highlight w:val="none"/>
              </w:rPr>
              <w:t>/a×</w:t>
            </w:r>
            <w:r>
              <w:rPr>
                <w:rFonts w:hint="eastAsia"/>
                <w:color w:val="auto"/>
                <w:sz w:val="24"/>
                <w:highlight w:val="none"/>
                <w:lang w:val="en-US" w:eastAsia="zh-CN"/>
              </w:rPr>
              <w:t>30</w:t>
            </w:r>
            <w:r>
              <w:rPr>
                <w:color w:val="auto"/>
                <w:sz w:val="24"/>
                <w:highlight w:val="none"/>
              </w:rPr>
              <w:t>mg/L×10</w:t>
            </w:r>
            <w:r>
              <w:rPr>
                <w:color w:val="auto"/>
                <w:sz w:val="24"/>
                <w:highlight w:val="none"/>
                <w:vertAlign w:val="superscript"/>
              </w:rPr>
              <w:t>-6</w:t>
            </w:r>
            <w:r>
              <w:rPr>
                <w:color w:val="auto"/>
                <w:sz w:val="24"/>
                <w:highlight w:val="none"/>
              </w:rPr>
              <w:t>=</w:t>
            </w:r>
            <w:r>
              <w:rPr>
                <w:rFonts w:hint="eastAsia"/>
                <w:color w:val="auto"/>
                <w:sz w:val="24"/>
                <w:highlight w:val="none"/>
                <w:lang w:val="en-US" w:eastAsia="zh-CN"/>
              </w:rPr>
              <w:t>0.8317</w:t>
            </w:r>
            <w:r>
              <w:rPr>
                <w:color w:val="auto"/>
                <w:sz w:val="24"/>
                <w:highlight w:val="none"/>
              </w:rPr>
              <w:t>t/a</w:t>
            </w:r>
            <w:r>
              <w:rPr>
                <w:rFonts w:hint="eastAsia"/>
                <w:color w:val="auto"/>
                <w:sz w:val="24"/>
                <w:highlight w:val="none"/>
              </w:rPr>
              <w:t>；</w:t>
            </w:r>
          </w:p>
          <w:p>
            <w:pPr>
              <w:spacing w:line="360" w:lineRule="auto"/>
              <w:ind w:firstLine="480" w:firstLineChars="200"/>
              <w:jc w:val="both"/>
              <w:rPr>
                <w:rFonts w:hint="eastAsia"/>
                <w:color w:val="auto"/>
                <w:sz w:val="24"/>
                <w:highlight w:val="none"/>
                <w:lang w:eastAsia="zh-CN"/>
              </w:rPr>
            </w:pPr>
            <w:r>
              <w:rPr>
                <w:color w:val="auto"/>
                <w:sz w:val="24"/>
                <w:highlight w:val="none"/>
              </w:rPr>
              <w:t>NH</w:t>
            </w:r>
            <w:r>
              <w:rPr>
                <w:color w:val="auto"/>
                <w:kern w:val="0"/>
                <w:szCs w:val="21"/>
                <w:highlight w:val="none"/>
                <w:vertAlign w:val="subscript"/>
                <w:lang w:bidi="ar"/>
              </w:rPr>
              <w:t>3</w:t>
            </w:r>
            <w:r>
              <w:rPr>
                <w:color w:val="auto"/>
                <w:sz w:val="24"/>
                <w:highlight w:val="none"/>
              </w:rPr>
              <w:t>-N：</w:t>
            </w:r>
            <w:r>
              <w:rPr>
                <w:rFonts w:hint="eastAsia"/>
                <w:color w:val="auto"/>
                <w:sz w:val="24"/>
                <w:highlight w:val="none"/>
                <w:lang w:val="en-US" w:eastAsia="zh-CN"/>
              </w:rPr>
              <w:t>27722.3</w:t>
            </w:r>
            <w:r>
              <w:rPr>
                <w:color w:val="auto"/>
                <w:sz w:val="24"/>
                <w:highlight w:val="none"/>
              </w:rPr>
              <w:t>m</w:t>
            </w:r>
            <w:r>
              <w:rPr>
                <w:rFonts w:hint="eastAsia"/>
                <w:color w:val="auto"/>
                <w:sz w:val="24"/>
                <w:highlight w:val="none"/>
                <w:vertAlign w:val="superscript"/>
              </w:rPr>
              <w:t>3</w:t>
            </w:r>
            <w:r>
              <w:rPr>
                <w:color w:val="auto"/>
                <w:sz w:val="24"/>
                <w:highlight w:val="none"/>
              </w:rPr>
              <w:t>/a×</w:t>
            </w:r>
            <w:r>
              <w:rPr>
                <w:rFonts w:hint="eastAsia"/>
                <w:color w:val="auto"/>
                <w:sz w:val="24"/>
                <w:highlight w:val="none"/>
                <w:lang w:val="en-US" w:eastAsia="zh-CN"/>
              </w:rPr>
              <w:t>1.5</w:t>
            </w:r>
            <w:r>
              <w:rPr>
                <w:color w:val="auto"/>
                <w:sz w:val="24"/>
                <w:highlight w:val="none"/>
              </w:rPr>
              <w:t>mg/L×10</w:t>
            </w:r>
            <w:r>
              <w:rPr>
                <w:color w:val="auto"/>
                <w:sz w:val="24"/>
                <w:highlight w:val="none"/>
                <w:vertAlign w:val="superscript"/>
              </w:rPr>
              <w:t>-6</w:t>
            </w:r>
            <w:r>
              <w:rPr>
                <w:color w:val="auto"/>
                <w:sz w:val="24"/>
                <w:highlight w:val="none"/>
              </w:rPr>
              <w:t>＝</w:t>
            </w:r>
            <w:r>
              <w:rPr>
                <w:rFonts w:hint="eastAsia"/>
                <w:color w:val="auto"/>
                <w:sz w:val="24"/>
                <w:highlight w:val="none"/>
                <w:lang w:val="en-US" w:eastAsia="zh-CN"/>
              </w:rPr>
              <w:t>0.0416</w:t>
            </w:r>
            <w:r>
              <w:rPr>
                <w:color w:val="auto"/>
                <w:sz w:val="24"/>
                <w:highlight w:val="none"/>
              </w:rPr>
              <w:t>t/a</w:t>
            </w:r>
            <w:r>
              <w:rPr>
                <w:rFonts w:hint="eastAsia"/>
                <w:color w:val="auto"/>
                <w:sz w:val="24"/>
                <w:highlight w:val="none"/>
                <w:lang w:eastAsia="zh-CN"/>
              </w:rPr>
              <w:t>；</w:t>
            </w:r>
          </w:p>
          <w:p>
            <w:pPr>
              <w:spacing w:line="360" w:lineRule="auto"/>
              <w:ind w:firstLine="480" w:firstLineChars="200"/>
              <w:jc w:val="both"/>
              <w:rPr>
                <w:rFonts w:hint="eastAsia"/>
                <w:color w:val="auto"/>
                <w:sz w:val="24"/>
                <w:highlight w:val="none"/>
                <w:lang w:eastAsia="zh-CN"/>
              </w:rPr>
            </w:pPr>
            <w:r>
              <w:rPr>
                <w:rFonts w:hint="eastAsia" w:ascii="Times New Roman" w:hAnsi="Times New Roman" w:eastAsia="宋体" w:cs="Times New Roman"/>
                <w:color w:val="auto"/>
                <w:sz w:val="24"/>
                <w:highlight w:val="none"/>
                <w:lang w:val="en-US" w:eastAsia="zh-CN"/>
              </w:rPr>
              <w:t>TP：</w:t>
            </w:r>
            <w:r>
              <w:rPr>
                <w:rFonts w:hint="eastAsia"/>
                <w:color w:val="auto"/>
                <w:sz w:val="24"/>
                <w:highlight w:val="none"/>
                <w:lang w:val="en-US" w:eastAsia="zh-CN"/>
              </w:rPr>
              <w:t>27722.3</w:t>
            </w:r>
            <w:r>
              <w:rPr>
                <w:color w:val="auto"/>
                <w:sz w:val="24"/>
                <w:highlight w:val="none"/>
              </w:rPr>
              <w:t>m</w:t>
            </w:r>
            <w:r>
              <w:rPr>
                <w:rFonts w:hint="eastAsia"/>
                <w:color w:val="auto"/>
                <w:sz w:val="24"/>
                <w:highlight w:val="none"/>
                <w:vertAlign w:val="superscript"/>
              </w:rPr>
              <w:t>3</w:t>
            </w:r>
            <w:r>
              <w:rPr>
                <w:color w:val="auto"/>
                <w:sz w:val="24"/>
                <w:highlight w:val="none"/>
              </w:rPr>
              <w:t>/a×</w:t>
            </w:r>
            <w:r>
              <w:rPr>
                <w:rFonts w:hint="eastAsia"/>
                <w:color w:val="auto"/>
                <w:sz w:val="24"/>
                <w:highlight w:val="none"/>
                <w:lang w:val="en-US" w:eastAsia="zh-CN"/>
              </w:rPr>
              <w:t>0.3</w:t>
            </w:r>
            <w:r>
              <w:rPr>
                <w:color w:val="auto"/>
                <w:sz w:val="24"/>
                <w:highlight w:val="none"/>
              </w:rPr>
              <w:t>mg/L×10</w:t>
            </w:r>
            <w:r>
              <w:rPr>
                <w:color w:val="auto"/>
                <w:sz w:val="24"/>
                <w:highlight w:val="none"/>
                <w:vertAlign w:val="superscript"/>
              </w:rPr>
              <w:t>-6</w:t>
            </w:r>
            <w:r>
              <w:rPr>
                <w:color w:val="auto"/>
                <w:sz w:val="24"/>
                <w:highlight w:val="none"/>
              </w:rPr>
              <w:t>＝</w:t>
            </w:r>
            <w:r>
              <w:rPr>
                <w:rFonts w:hint="eastAsia"/>
                <w:color w:val="auto"/>
                <w:sz w:val="24"/>
                <w:highlight w:val="none"/>
                <w:lang w:val="en-US" w:eastAsia="zh-CN"/>
              </w:rPr>
              <w:t>0.0083</w:t>
            </w:r>
            <w:r>
              <w:rPr>
                <w:color w:val="auto"/>
                <w:sz w:val="24"/>
                <w:highlight w:val="none"/>
              </w:rPr>
              <w:t>t/a</w:t>
            </w:r>
            <w:r>
              <w:rPr>
                <w:rFonts w:hint="eastAsia"/>
                <w:color w:val="auto"/>
                <w:sz w:val="24"/>
                <w:highlight w:val="none"/>
                <w:lang w:eastAsia="zh-CN"/>
              </w:rPr>
              <w:t>。</w:t>
            </w:r>
          </w:p>
          <w:p>
            <w:pPr>
              <w:spacing w:line="360" w:lineRule="auto"/>
              <w:jc w:val="both"/>
              <w:rPr>
                <w:b/>
                <w:bCs/>
                <w:color w:val="auto"/>
                <w:sz w:val="24"/>
                <w:highlight w:val="none"/>
              </w:rPr>
            </w:pPr>
            <w:r>
              <w:rPr>
                <w:rFonts w:hint="eastAsia"/>
                <w:b/>
                <w:bCs/>
                <w:color w:val="auto"/>
                <w:sz w:val="24"/>
                <w:highlight w:val="none"/>
              </w:rPr>
              <w:t>二、</w:t>
            </w:r>
            <w:r>
              <w:rPr>
                <w:b/>
                <w:bCs/>
                <w:color w:val="auto"/>
                <w:sz w:val="24"/>
                <w:highlight w:val="none"/>
              </w:rPr>
              <w:t>大气污染物总量控制</w:t>
            </w:r>
          </w:p>
          <w:p>
            <w:pPr>
              <w:spacing w:line="360" w:lineRule="auto"/>
              <w:ind w:firstLine="480" w:firstLineChars="200"/>
              <w:jc w:val="both"/>
              <w:rPr>
                <w:color w:val="auto"/>
                <w:sz w:val="24"/>
                <w:highlight w:val="none"/>
              </w:rPr>
            </w:pPr>
            <w:r>
              <w:rPr>
                <w:color w:val="auto"/>
                <w:sz w:val="24"/>
                <w:highlight w:val="none"/>
              </w:rPr>
              <w:t>本项目对颗粒物、</w:t>
            </w:r>
            <w:r>
              <w:rPr>
                <w:color w:val="auto"/>
                <w:kern w:val="0"/>
                <w:sz w:val="24"/>
                <w:highlight w:val="none"/>
                <w:lang w:bidi="ar"/>
              </w:rPr>
              <w:t>SO</w:t>
            </w:r>
            <w:r>
              <w:rPr>
                <w:color w:val="auto"/>
                <w:kern w:val="0"/>
                <w:sz w:val="24"/>
                <w:highlight w:val="none"/>
                <w:vertAlign w:val="subscript"/>
                <w:lang w:bidi="ar"/>
              </w:rPr>
              <w:t>2</w:t>
            </w:r>
            <w:r>
              <w:rPr>
                <w:color w:val="auto"/>
                <w:sz w:val="24"/>
                <w:highlight w:val="none"/>
              </w:rPr>
              <w:t>、NOx废气</w:t>
            </w:r>
            <w:r>
              <w:rPr>
                <w:bCs/>
                <w:color w:val="auto"/>
                <w:sz w:val="24"/>
                <w:highlight w:val="none"/>
              </w:rPr>
              <w:t>污染物</w:t>
            </w:r>
            <w:r>
              <w:rPr>
                <w:color w:val="auto"/>
                <w:sz w:val="24"/>
                <w:highlight w:val="none"/>
              </w:rPr>
              <w:t>设置总量控制指标，采取措施后预计排放量：</w:t>
            </w:r>
          </w:p>
          <w:p>
            <w:pPr>
              <w:spacing w:line="360" w:lineRule="auto"/>
              <w:ind w:firstLine="480" w:firstLineChars="200"/>
              <w:jc w:val="both"/>
              <w:rPr>
                <w:rFonts w:hint="eastAsia"/>
                <w:color w:val="auto"/>
                <w:sz w:val="24"/>
                <w:highlight w:val="none"/>
              </w:rPr>
            </w:pPr>
            <w:r>
              <w:rPr>
                <w:color w:val="auto"/>
                <w:sz w:val="24"/>
                <w:highlight w:val="none"/>
              </w:rPr>
              <w:t>颗粒物</w:t>
            </w:r>
            <w:r>
              <w:rPr>
                <w:rFonts w:hint="eastAsia"/>
                <w:color w:val="auto"/>
                <w:sz w:val="24"/>
                <w:highlight w:val="none"/>
              </w:rPr>
              <w:t>（有组织）：0.0</w:t>
            </w:r>
            <w:r>
              <w:rPr>
                <w:rFonts w:hint="eastAsia"/>
                <w:color w:val="auto"/>
                <w:sz w:val="24"/>
                <w:highlight w:val="none"/>
                <w:lang w:val="en-US" w:eastAsia="zh-CN"/>
              </w:rPr>
              <w:t>414</w:t>
            </w:r>
            <w:r>
              <w:rPr>
                <w:rFonts w:hint="eastAsia"/>
                <w:color w:val="auto"/>
                <w:sz w:val="24"/>
                <w:highlight w:val="none"/>
              </w:rPr>
              <w:t>t/a；</w:t>
            </w:r>
          </w:p>
          <w:p>
            <w:pPr>
              <w:spacing w:line="360" w:lineRule="auto"/>
              <w:ind w:firstLine="480" w:firstLineChars="200"/>
              <w:jc w:val="both"/>
              <w:rPr>
                <w:rFonts w:hint="eastAsia"/>
                <w:color w:val="auto"/>
                <w:sz w:val="24"/>
                <w:highlight w:val="none"/>
              </w:rPr>
            </w:pPr>
            <w:r>
              <w:rPr>
                <w:color w:val="auto"/>
                <w:kern w:val="0"/>
                <w:sz w:val="24"/>
                <w:highlight w:val="none"/>
                <w:lang w:bidi="ar"/>
              </w:rPr>
              <w:t>SO</w:t>
            </w:r>
            <w:r>
              <w:rPr>
                <w:color w:val="auto"/>
                <w:kern w:val="0"/>
                <w:sz w:val="24"/>
                <w:highlight w:val="none"/>
                <w:vertAlign w:val="subscript"/>
                <w:lang w:bidi="ar"/>
              </w:rPr>
              <w:t>2</w:t>
            </w:r>
            <w:r>
              <w:rPr>
                <w:color w:val="auto"/>
                <w:sz w:val="24"/>
                <w:highlight w:val="none"/>
              </w:rPr>
              <w:t>（有组织）</w:t>
            </w:r>
            <w:r>
              <w:rPr>
                <w:rFonts w:hint="eastAsia"/>
                <w:color w:val="auto"/>
                <w:sz w:val="24"/>
                <w:highlight w:val="none"/>
              </w:rPr>
              <w:t>：</w:t>
            </w:r>
            <w:r>
              <w:rPr>
                <w:rFonts w:hint="eastAsia"/>
                <w:color w:val="auto"/>
                <w:sz w:val="24"/>
                <w:highlight w:val="none"/>
                <w:lang w:val="en-US" w:eastAsia="zh-CN"/>
              </w:rPr>
              <w:t>0.2</w:t>
            </w:r>
            <w:r>
              <w:rPr>
                <w:rFonts w:hint="eastAsia"/>
                <w:color w:val="auto"/>
                <w:sz w:val="24"/>
                <w:highlight w:val="none"/>
              </w:rPr>
              <w:t>t/a；</w:t>
            </w:r>
          </w:p>
          <w:p>
            <w:pPr>
              <w:spacing w:line="360" w:lineRule="auto"/>
              <w:ind w:firstLine="480" w:firstLineChars="200"/>
              <w:jc w:val="both"/>
              <w:rPr>
                <w:rFonts w:hint="eastAsia" w:eastAsia="宋体"/>
                <w:color w:val="auto"/>
                <w:sz w:val="24"/>
                <w:highlight w:val="none"/>
                <w:lang w:eastAsia="zh-CN"/>
              </w:rPr>
            </w:pPr>
            <w:r>
              <w:rPr>
                <w:color w:val="auto"/>
                <w:sz w:val="24"/>
                <w:highlight w:val="none"/>
              </w:rPr>
              <w:t>NOx（有组织）：</w:t>
            </w:r>
            <w:r>
              <w:rPr>
                <w:rFonts w:hint="eastAsia"/>
                <w:color w:val="auto"/>
                <w:sz w:val="24"/>
                <w:highlight w:val="none"/>
                <w:lang w:val="en-US" w:eastAsia="zh-CN"/>
              </w:rPr>
              <w:t>0.7949</w:t>
            </w:r>
            <w:r>
              <w:rPr>
                <w:rFonts w:hint="eastAsia"/>
                <w:color w:val="auto"/>
                <w:sz w:val="24"/>
                <w:highlight w:val="none"/>
              </w:rPr>
              <w:t>t/a</w:t>
            </w:r>
            <w:r>
              <w:rPr>
                <w:rFonts w:hint="eastAsia"/>
                <w:color w:val="auto"/>
                <w:sz w:val="24"/>
                <w:highlight w:val="none"/>
                <w:lang w:eastAsia="zh-CN"/>
              </w:rPr>
              <w:t>。</w:t>
            </w:r>
          </w:p>
          <w:p>
            <w:pPr>
              <w:pStyle w:val="51"/>
              <w:snapToGrid w:val="0"/>
              <w:spacing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综上，本项目总量控制建议指标如下。</w:t>
            </w:r>
          </w:p>
          <w:p>
            <w:pPr>
              <w:pStyle w:val="41"/>
              <w:bidi w:val="0"/>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rPr>
              <w:t>表3-1</w:t>
            </w:r>
            <w:r>
              <w:rPr>
                <w:rFonts w:hint="eastAsia" w:ascii="Times New Roman" w:hAnsi="Times New Roman" w:eastAsia="宋体" w:cs="宋体"/>
                <w:color w:val="auto"/>
                <w:highlight w:val="none"/>
                <w:lang w:val="en-US" w:eastAsia="zh-CN"/>
              </w:rPr>
              <w:t>4</w:t>
            </w:r>
            <w:r>
              <w:rPr>
                <w:rFonts w:hint="eastAsia" w:ascii="Times New Roman" w:hAnsi="Times New Roman" w:eastAsia="宋体" w:cs="宋体"/>
                <w:color w:val="auto"/>
                <w:highlight w:val="none"/>
              </w:rPr>
              <w:t xml:space="preserve">  总量控制建议指标一览表</w:t>
            </w:r>
            <w:r>
              <w:rPr>
                <w:rFonts w:hint="eastAsia" w:ascii="Times New Roman" w:hAnsi="Times New Roman" w:eastAsia="宋体" w:cs="宋体"/>
                <w:color w:val="auto"/>
                <w:highlight w:val="none"/>
                <w:lang w:val="en-US" w:eastAsia="zh-CN"/>
              </w:rPr>
              <w:t xml:space="preserve">    单位：t/a</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911"/>
              <w:gridCol w:w="792"/>
              <w:gridCol w:w="1046"/>
              <w:gridCol w:w="1025"/>
              <w:gridCol w:w="1129"/>
              <w:gridCol w:w="1135"/>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1" w:type="pct"/>
                  <w:noWrap w:val="0"/>
                  <w:vAlign w:val="center"/>
                </w:tcPr>
                <w:p>
                  <w:pPr>
                    <w:pStyle w:val="8"/>
                    <w:overflowPunct w:val="0"/>
                    <w:autoSpaceDE w:val="0"/>
                    <w:autoSpaceDN w:val="0"/>
                    <w:snapToGrid/>
                    <w:spacing w:before="0" w:after="0" w:line="240" w:lineRule="auto"/>
                    <w:ind w:right="0"/>
                    <w:jc w:val="center"/>
                    <w:rPr>
                      <w:b/>
                      <w:color w:val="auto"/>
                      <w:sz w:val="21"/>
                      <w:szCs w:val="21"/>
                      <w:highlight w:val="none"/>
                    </w:rPr>
                  </w:pPr>
                  <w:r>
                    <w:rPr>
                      <w:rFonts w:hint="eastAsia"/>
                      <w:b/>
                      <w:color w:val="auto"/>
                      <w:sz w:val="21"/>
                      <w:szCs w:val="21"/>
                      <w:highlight w:val="none"/>
                    </w:rPr>
                    <w:t>项目</w:t>
                  </w:r>
                </w:p>
              </w:tc>
              <w:tc>
                <w:tcPr>
                  <w:tcW w:w="1032" w:type="pct"/>
                  <w:gridSpan w:val="2"/>
                  <w:noWrap w:val="0"/>
                  <w:vAlign w:val="center"/>
                </w:tcPr>
                <w:p>
                  <w:pPr>
                    <w:pStyle w:val="8"/>
                    <w:overflowPunct w:val="0"/>
                    <w:autoSpaceDE w:val="0"/>
                    <w:autoSpaceDN w:val="0"/>
                    <w:snapToGrid/>
                    <w:spacing w:before="0" w:after="0" w:line="240" w:lineRule="auto"/>
                    <w:ind w:right="0"/>
                    <w:jc w:val="center"/>
                    <w:rPr>
                      <w:b/>
                      <w:color w:val="auto"/>
                      <w:sz w:val="21"/>
                      <w:szCs w:val="21"/>
                      <w:highlight w:val="none"/>
                    </w:rPr>
                  </w:pPr>
                  <w:r>
                    <w:rPr>
                      <w:rFonts w:hint="eastAsia"/>
                      <w:b/>
                      <w:color w:val="auto"/>
                      <w:sz w:val="21"/>
                      <w:szCs w:val="21"/>
                      <w:highlight w:val="none"/>
                    </w:rPr>
                    <w:t>污染物名称</w:t>
                  </w:r>
                </w:p>
              </w:tc>
              <w:tc>
                <w:tcPr>
                  <w:tcW w:w="634" w:type="pct"/>
                  <w:noWrap w:val="0"/>
                  <w:vAlign w:val="center"/>
                </w:tcPr>
                <w:p>
                  <w:pPr>
                    <w:pStyle w:val="8"/>
                    <w:overflowPunct w:val="0"/>
                    <w:autoSpaceDE w:val="0"/>
                    <w:autoSpaceDN w:val="0"/>
                    <w:snapToGrid/>
                    <w:spacing w:before="0" w:after="0" w:line="240" w:lineRule="auto"/>
                    <w:ind w:right="0"/>
                    <w:jc w:val="center"/>
                    <w:rPr>
                      <w:rFonts w:hint="eastAsia"/>
                      <w:b/>
                      <w:color w:val="auto"/>
                      <w:sz w:val="21"/>
                      <w:szCs w:val="21"/>
                      <w:highlight w:val="none"/>
                    </w:rPr>
                  </w:pPr>
                  <w:r>
                    <w:rPr>
                      <w:rFonts w:hint="eastAsia"/>
                      <w:b/>
                      <w:color w:val="auto"/>
                      <w:sz w:val="21"/>
                      <w:szCs w:val="21"/>
                      <w:highlight w:val="none"/>
                      <w:lang w:val="en-US" w:eastAsia="zh-CN"/>
                    </w:rPr>
                    <w:t>现有项目</w:t>
                  </w:r>
                  <w:r>
                    <w:rPr>
                      <w:rFonts w:hint="eastAsia"/>
                      <w:b/>
                      <w:color w:val="auto"/>
                      <w:sz w:val="21"/>
                      <w:szCs w:val="21"/>
                      <w:highlight w:val="none"/>
                    </w:rPr>
                    <w:t>总量</w:t>
                  </w:r>
                </w:p>
              </w:tc>
              <w:tc>
                <w:tcPr>
                  <w:tcW w:w="621" w:type="pct"/>
                  <w:noWrap w:val="0"/>
                  <w:vAlign w:val="center"/>
                </w:tcPr>
                <w:p>
                  <w:pPr>
                    <w:pStyle w:val="8"/>
                    <w:overflowPunct w:val="0"/>
                    <w:autoSpaceDE w:val="0"/>
                    <w:autoSpaceDN w:val="0"/>
                    <w:snapToGrid/>
                    <w:spacing w:before="0" w:after="0" w:line="240" w:lineRule="auto"/>
                    <w:ind w:right="0"/>
                    <w:jc w:val="center"/>
                    <w:rPr>
                      <w:rFonts w:hint="eastAsia"/>
                      <w:b/>
                      <w:color w:val="auto"/>
                      <w:sz w:val="21"/>
                      <w:szCs w:val="21"/>
                      <w:highlight w:val="none"/>
                    </w:rPr>
                  </w:pPr>
                  <w:r>
                    <w:rPr>
                      <w:rFonts w:hint="eastAsia"/>
                      <w:b/>
                      <w:color w:val="auto"/>
                      <w:sz w:val="21"/>
                      <w:szCs w:val="21"/>
                      <w:highlight w:val="none"/>
                    </w:rPr>
                    <w:t>本项目总量</w:t>
                  </w:r>
                </w:p>
              </w:tc>
              <w:tc>
                <w:tcPr>
                  <w:tcW w:w="684" w:type="pct"/>
                  <w:noWrap w:val="0"/>
                  <w:vAlign w:val="center"/>
                </w:tcPr>
                <w:p>
                  <w:pPr>
                    <w:pStyle w:val="8"/>
                    <w:overflowPunct w:val="0"/>
                    <w:autoSpaceDE w:val="0"/>
                    <w:autoSpaceDN w:val="0"/>
                    <w:snapToGrid/>
                    <w:spacing w:before="0" w:after="0" w:line="240" w:lineRule="auto"/>
                    <w:ind w:right="0"/>
                    <w:jc w:val="center"/>
                    <w:rPr>
                      <w:rFonts w:hint="default" w:eastAsia="宋体"/>
                      <w:b/>
                      <w:color w:val="auto"/>
                      <w:sz w:val="21"/>
                      <w:szCs w:val="21"/>
                      <w:highlight w:val="none"/>
                      <w:lang w:val="en-US" w:eastAsia="zh-CN"/>
                    </w:rPr>
                  </w:pPr>
                  <w:r>
                    <w:rPr>
                      <w:rFonts w:hint="eastAsia"/>
                      <w:b/>
                      <w:color w:val="auto"/>
                      <w:sz w:val="21"/>
                      <w:szCs w:val="21"/>
                      <w:highlight w:val="none"/>
                      <w:lang w:val="en-US" w:eastAsia="zh-CN"/>
                    </w:rPr>
                    <w:t>以新带老削减量</w:t>
                  </w:r>
                </w:p>
              </w:tc>
              <w:tc>
                <w:tcPr>
                  <w:tcW w:w="688" w:type="pct"/>
                  <w:noWrap w:val="0"/>
                  <w:vAlign w:val="center"/>
                </w:tcPr>
                <w:p>
                  <w:pPr>
                    <w:pStyle w:val="8"/>
                    <w:overflowPunct w:val="0"/>
                    <w:autoSpaceDE w:val="0"/>
                    <w:autoSpaceDN w:val="0"/>
                    <w:snapToGrid/>
                    <w:spacing w:before="0" w:after="0" w:line="240" w:lineRule="auto"/>
                    <w:ind w:right="0"/>
                    <w:jc w:val="center"/>
                    <w:rPr>
                      <w:rFonts w:hint="eastAsia"/>
                      <w:b/>
                      <w:color w:val="auto"/>
                      <w:sz w:val="21"/>
                      <w:szCs w:val="21"/>
                      <w:highlight w:val="none"/>
                    </w:rPr>
                  </w:pPr>
                  <w:r>
                    <w:rPr>
                      <w:rFonts w:hint="eastAsia"/>
                      <w:b/>
                      <w:color w:val="auto"/>
                      <w:sz w:val="21"/>
                      <w:szCs w:val="21"/>
                      <w:highlight w:val="none"/>
                    </w:rPr>
                    <w:t>建成后全</w:t>
                  </w:r>
                  <w:r>
                    <w:rPr>
                      <w:rFonts w:hint="eastAsia"/>
                      <w:b/>
                      <w:color w:val="auto"/>
                      <w:sz w:val="21"/>
                      <w:szCs w:val="21"/>
                      <w:highlight w:val="none"/>
                      <w:lang w:val="en-US" w:eastAsia="zh-CN"/>
                    </w:rPr>
                    <w:t>厂</w:t>
                  </w:r>
                  <w:r>
                    <w:rPr>
                      <w:rFonts w:hint="eastAsia"/>
                      <w:b/>
                      <w:color w:val="auto"/>
                      <w:sz w:val="21"/>
                      <w:szCs w:val="21"/>
                      <w:highlight w:val="none"/>
                    </w:rPr>
                    <w:t>总量</w:t>
                  </w:r>
                </w:p>
              </w:tc>
              <w:tc>
                <w:tcPr>
                  <w:tcW w:w="637" w:type="pct"/>
                  <w:noWrap w:val="0"/>
                  <w:vAlign w:val="center"/>
                </w:tcPr>
                <w:p>
                  <w:pPr>
                    <w:pStyle w:val="8"/>
                    <w:overflowPunct w:val="0"/>
                    <w:autoSpaceDE w:val="0"/>
                    <w:autoSpaceDN w:val="0"/>
                    <w:snapToGrid/>
                    <w:spacing w:before="0" w:after="0" w:line="240" w:lineRule="auto"/>
                    <w:ind w:right="0"/>
                    <w:jc w:val="center"/>
                    <w:rPr>
                      <w:rFonts w:hint="eastAsia"/>
                      <w:b/>
                      <w:color w:val="auto"/>
                      <w:sz w:val="21"/>
                      <w:szCs w:val="21"/>
                      <w:highlight w:val="none"/>
                    </w:rPr>
                  </w:pPr>
                  <w:r>
                    <w:rPr>
                      <w:rFonts w:hint="eastAsia"/>
                      <w:b/>
                      <w:color w:val="auto"/>
                      <w:sz w:val="21"/>
                      <w:szCs w:val="21"/>
                      <w:highlight w:val="none"/>
                      <w:lang w:val="en-US" w:eastAsia="zh-CN"/>
                    </w:rPr>
                    <w:t>增减</w:t>
                  </w:r>
                  <w:r>
                    <w:rPr>
                      <w:rFonts w:hint="eastAsia"/>
                      <w:b/>
                      <w:color w:val="auto"/>
                      <w:sz w:val="21"/>
                      <w:szCs w:val="21"/>
                      <w:highlight w:val="none"/>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701" w:type="pct"/>
                  <w:vMerge w:val="restart"/>
                  <w:noWrap w:val="0"/>
                  <w:vAlign w:val="center"/>
                </w:tcPr>
                <w:p>
                  <w:pPr>
                    <w:adjustRightInd w:val="0"/>
                    <w:snapToGrid w:val="0"/>
                    <w:jc w:val="center"/>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水污染物总量控制指标</w:t>
                  </w:r>
                </w:p>
              </w:tc>
              <w:tc>
                <w:tcPr>
                  <w:tcW w:w="552" w:type="pct"/>
                  <w:vMerge w:val="restart"/>
                  <w:noWrap w:val="0"/>
                  <w:vAlign w:val="center"/>
                </w:tcPr>
                <w:p>
                  <w:pPr>
                    <w:adjustRightInd w:val="0"/>
                    <w:snapToGrid w:val="0"/>
                    <w:jc w:val="center"/>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lang w:val="en-US" w:eastAsia="zh-CN"/>
                    </w:rPr>
                    <w:t>厂</w:t>
                  </w:r>
                  <w:r>
                    <w:rPr>
                      <w:rFonts w:hint="eastAsia" w:ascii="Times New Roman" w:hAnsi="Times New Roman" w:eastAsia="宋体" w:cs="Times New Roman"/>
                      <w:bCs/>
                      <w:color w:val="auto"/>
                      <w:szCs w:val="21"/>
                      <w:highlight w:val="none"/>
                    </w:rPr>
                    <w:t>区总排口</w:t>
                  </w:r>
                </w:p>
              </w:tc>
              <w:tc>
                <w:tcPr>
                  <w:tcW w:w="480" w:type="pct"/>
                  <w:noWrap w:val="0"/>
                  <w:vAlign w:val="center"/>
                </w:tcPr>
                <w:p>
                  <w:pPr>
                    <w:pStyle w:val="8"/>
                    <w:overflowPunct w:val="0"/>
                    <w:autoSpaceDE w:val="0"/>
                    <w:autoSpaceDN w:val="0"/>
                    <w:snapToGrid/>
                    <w:spacing w:before="0" w:after="0" w:line="240" w:lineRule="auto"/>
                    <w:ind w:right="0" w:rightChars="0"/>
                    <w:jc w:val="center"/>
                    <w:rPr>
                      <w:rFonts w:hint="eastAsia" w:ascii="Times New Roman" w:hAnsi="Times New Roman" w:eastAsia="宋体" w:cs="Times New Roman"/>
                      <w:bCs/>
                      <w:color w:val="auto"/>
                      <w:szCs w:val="21"/>
                      <w:highlight w:val="none"/>
                    </w:rPr>
                  </w:pPr>
                  <w:r>
                    <w:rPr>
                      <w:rFonts w:hint="eastAsia"/>
                      <w:bCs/>
                      <w:color w:val="auto"/>
                      <w:sz w:val="21"/>
                      <w:szCs w:val="21"/>
                      <w:highlight w:val="none"/>
                    </w:rPr>
                    <w:t>COD</w:t>
                  </w:r>
                </w:p>
              </w:tc>
              <w:tc>
                <w:tcPr>
                  <w:tcW w:w="634"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10.275</w:t>
                  </w:r>
                </w:p>
              </w:tc>
              <w:tc>
                <w:tcPr>
                  <w:tcW w:w="1025"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13.8612</w:t>
                  </w:r>
                </w:p>
              </w:tc>
              <w:tc>
                <w:tcPr>
                  <w:tcW w:w="1129"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p>
              </w:tc>
              <w:tc>
                <w:tcPr>
                  <w:tcW w:w="1135"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24.1362</w:t>
                  </w:r>
                </w:p>
              </w:tc>
              <w:tc>
                <w:tcPr>
                  <w:tcW w:w="1051"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+13.8612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01" w:type="pct"/>
                  <w:vMerge w:val="continue"/>
                  <w:noWrap w:val="0"/>
                  <w:vAlign w:val="center"/>
                </w:tcPr>
                <w:p>
                  <w:pPr>
                    <w:adjustRightInd w:val="0"/>
                    <w:snapToGrid w:val="0"/>
                    <w:jc w:val="center"/>
                    <w:rPr>
                      <w:rFonts w:hint="eastAsia" w:ascii="Times New Roman" w:hAnsi="Times New Roman" w:eastAsia="宋体" w:cs="Times New Roman"/>
                      <w:bCs/>
                      <w:color w:val="auto"/>
                      <w:szCs w:val="21"/>
                      <w:highlight w:val="none"/>
                    </w:rPr>
                  </w:pPr>
                </w:p>
              </w:tc>
              <w:tc>
                <w:tcPr>
                  <w:tcW w:w="552" w:type="pct"/>
                  <w:vMerge w:val="continue"/>
                  <w:noWrap w:val="0"/>
                  <w:vAlign w:val="center"/>
                </w:tcPr>
                <w:p>
                  <w:pPr>
                    <w:adjustRightInd w:val="0"/>
                    <w:snapToGrid w:val="0"/>
                    <w:jc w:val="center"/>
                    <w:rPr>
                      <w:rFonts w:hint="eastAsia" w:ascii="Times New Roman" w:hAnsi="Times New Roman" w:eastAsia="宋体" w:cs="Times New Roman"/>
                      <w:bCs/>
                      <w:color w:val="auto"/>
                      <w:szCs w:val="21"/>
                      <w:highlight w:val="none"/>
                    </w:rPr>
                  </w:pPr>
                </w:p>
              </w:tc>
              <w:tc>
                <w:tcPr>
                  <w:tcW w:w="480" w:type="pct"/>
                  <w:noWrap w:val="0"/>
                  <w:vAlign w:val="center"/>
                </w:tcPr>
                <w:p>
                  <w:pPr>
                    <w:pStyle w:val="8"/>
                    <w:overflowPunct w:val="0"/>
                    <w:autoSpaceDE w:val="0"/>
                    <w:autoSpaceDN w:val="0"/>
                    <w:snapToGrid/>
                    <w:spacing w:before="0" w:after="0" w:line="240" w:lineRule="auto"/>
                    <w:ind w:right="0" w:rightChars="0"/>
                    <w:jc w:val="center"/>
                    <w:rPr>
                      <w:rFonts w:hint="eastAsia" w:ascii="Times New Roman" w:hAnsi="Times New Roman" w:eastAsia="宋体" w:cs="Times New Roman"/>
                      <w:bCs/>
                      <w:color w:val="auto"/>
                      <w:szCs w:val="21"/>
                      <w:highlight w:val="none"/>
                    </w:rPr>
                  </w:pPr>
                  <w:r>
                    <w:rPr>
                      <w:rFonts w:hint="eastAsia"/>
                      <w:bCs/>
                      <w:color w:val="auto"/>
                      <w:sz w:val="21"/>
                      <w:szCs w:val="21"/>
                      <w:highlight w:val="none"/>
                    </w:rPr>
                    <w:t>NH</w:t>
                  </w:r>
                  <w:r>
                    <w:rPr>
                      <w:rFonts w:hint="eastAsia"/>
                      <w:bCs/>
                      <w:color w:val="auto"/>
                      <w:sz w:val="21"/>
                      <w:szCs w:val="21"/>
                      <w:highlight w:val="none"/>
                      <w:vertAlign w:val="subscript"/>
                    </w:rPr>
                    <w:t>3</w:t>
                  </w:r>
                  <w:r>
                    <w:rPr>
                      <w:rFonts w:hint="eastAsia"/>
                      <w:bCs/>
                      <w:color w:val="auto"/>
                      <w:sz w:val="21"/>
                      <w:szCs w:val="21"/>
                      <w:highlight w:val="none"/>
                    </w:rPr>
                    <w:t>-N</w:t>
                  </w:r>
                </w:p>
              </w:tc>
              <w:tc>
                <w:tcPr>
                  <w:tcW w:w="634"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1.29</w:t>
                  </w:r>
                </w:p>
              </w:tc>
              <w:tc>
                <w:tcPr>
                  <w:tcW w:w="1025"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1.2475</w:t>
                  </w:r>
                </w:p>
              </w:tc>
              <w:tc>
                <w:tcPr>
                  <w:tcW w:w="1129"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p>
              </w:tc>
              <w:tc>
                <w:tcPr>
                  <w:tcW w:w="1135"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2.5375</w:t>
                  </w:r>
                </w:p>
              </w:tc>
              <w:tc>
                <w:tcPr>
                  <w:tcW w:w="1051" w:type="dxa"/>
                  <w:noWrap w:val="0"/>
                  <w:vAlign w:val="center"/>
                </w:tcPr>
                <w:p>
                  <w:pPr>
                    <w:adjustRightInd w:val="0"/>
                    <w:snapToGrid w:val="0"/>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+1.2475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01" w:type="pct"/>
                  <w:vMerge w:val="continue"/>
                  <w:noWrap w:val="0"/>
                  <w:vAlign w:val="center"/>
                </w:tcPr>
                <w:p>
                  <w:pPr>
                    <w:adjustRightInd w:val="0"/>
                    <w:snapToGrid w:val="0"/>
                    <w:jc w:val="center"/>
                    <w:rPr>
                      <w:rFonts w:ascii="Times New Roman" w:hAnsi="Times New Roman" w:eastAsia="宋体" w:cs="Times New Roman"/>
                      <w:bCs/>
                      <w:color w:val="auto"/>
                      <w:szCs w:val="21"/>
                      <w:highlight w:val="none"/>
                    </w:rPr>
                  </w:pPr>
                </w:p>
              </w:tc>
              <w:tc>
                <w:tcPr>
                  <w:tcW w:w="552" w:type="pct"/>
                  <w:vMerge w:val="continue"/>
                  <w:noWrap w:val="0"/>
                  <w:vAlign w:val="center"/>
                </w:tcPr>
                <w:p>
                  <w:pPr>
                    <w:adjustRightInd w:val="0"/>
                    <w:snapToGrid w:val="0"/>
                    <w:jc w:val="center"/>
                    <w:rPr>
                      <w:rFonts w:ascii="Times New Roman" w:hAnsi="Times New Roman" w:eastAsia="宋体" w:cs="Times New Roman"/>
                      <w:bCs/>
                      <w:color w:val="auto"/>
                      <w:szCs w:val="21"/>
                      <w:highlight w:val="none"/>
                    </w:rPr>
                  </w:pPr>
                </w:p>
              </w:tc>
              <w:tc>
                <w:tcPr>
                  <w:tcW w:w="480" w:type="pct"/>
                  <w:noWrap w:val="0"/>
                  <w:vAlign w:val="center"/>
                </w:tcPr>
                <w:p>
                  <w:pPr>
                    <w:pStyle w:val="8"/>
                    <w:overflowPunct w:val="0"/>
                    <w:autoSpaceDE w:val="0"/>
                    <w:autoSpaceDN w:val="0"/>
                    <w:snapToGrid/>
                    <w:spacing w:before="0" w:after="0" w:line="240" w:lineRule="auto"/>
                    <w:ind w:right="0" w:rightChars="0"/>
                    <w:jc w:val="center"/>
                    <w:rPr>
                      <w:rFonts w:hint="eastAsia" w:ascii="Times New Roman" w:hAnsi="Times New Roman" w:eastAsia="宋体" w:cs="Times New Roman"/>
                      <w:bCs/>
                      <w:color w:val="auto"/>
                      <w:szCs w:val="21"/>
                      <w:highlight w:val="none"/>
                    </w:rPr>
                  </w:pPr>
                  <w:r>
                    <w:rPr>
                      <w:rFonts w:hint="eastAsia"/>
                      <w:bCs/>
                      <w:color w:val="auto"/>
                      <w:sz w:val="21"/>
                      <w:szCs w:val="21"/>
                      <w:highlight w:val="none"/>
                      <w:lang w:val="en-US" w:eastAsia="zh-CN"/>
                    </w:rPr>
                    <w:t>TP</w:t>
                  </w:r>
                </w:p>
              </w:tc>
              <w:tc>
                <w:tcPr>
                  <w:tcW w:w="634"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0.2408</w:t>
                  </w:r>
                </w:p>
              </w:tc>
              <w:tc>
                <w:tcPr>
                  <w:tcW w:w="1025"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0.2218</w:t>
                  </w:r>
                </w:p>
              </w:tc>
              <w:tc>
                <w:tcPr>
                  <w:tcW w:w="1129"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p>
              </w:tc>
              <w:tc>
                <w:tcPr>
                  <w:tcW w:w="1135"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0.4626</w:t>
                  </w:r>
                </w:p>
              </w:tc>
              <w:tc>
                <w:tcPr>
                  <w:tcW w:w="1051" w:type="dxa"/>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01" w:type="pct"/>
                  <w:vMerge w:val="continue"/>
                  <w:noWrap w:val="0"/>
                  <w:vAlign w:val="center"/>
                </w:tcPr>
                <w:p>
                  <w:pPr>
                    <w:adjustRightInd w:val="0"/>
                    <w:snapToGrid w:val="0"/>
                    <w:jc w:val="center"/>
                    <w:rPr>
                      <w:rFonts w:ascii="Times New Roman" w:hAnsi="Times New Roman" w:eastAsia="宋体" w:cs="Times New Roman"/>
                      <w:bCs/>
                      <w:color w:val="auto"/>
                      <w:szCs w:val="21"/>
                      <w:highlight w:val="none"/>
                    </w:rPr>
                  </w:pPr>
                </w:p>
              </w:tc>
              <w:tc>
                <w:tcPr>
                  <w:tcW w:w="552" w:type="pct"/>
                  <w:vMerge w:val="restart"/>
                  <w:noWrap w:val="0"/>
                  <w:vAlign w:val="center"/>
                </w:tcPr>
                <w:p>
                  <w:pPr>
                    <w:adjustRightInd w:val="0"/>
                    <w:snapToGrid w:val="0"/>
                    <w:jc w:val="center"/>
                    <w:rPr>
                      <w:rFonts w:hint="eastAsia"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污水处理厂排口</w:t>
                  </w:r>
                  <w:r>
                    <w:rPr>
                      <w:rFonts w:hint="eastAsia" w:ascii="Times New Roman" w:hAnsi="Times New Roman" w:eastAsia="宋体" w:cs="Times New Roman"/>
                      <w:bCs/>
                      <w:color w:val="auto"/>
                      <w:szCs w:val="21"/>
                      <w:highlight w:val="none"/>
                      <w:lang w:eastAsia="zh-CN"/>
                    </w:rPr>
                    <w:t>（</w:t>
                  </w:r>
                  <w:r>
                    <w:rPr>
                      <w:rFonts w:hint="eastAsia" w:ascii="Times New Roman" w:hAnsi="Times New Roman" w:eastAsia="宋体" w:cs="Times New Roman"/>
                      <w:bCs/>
                      <w:color w:val="auto"/>
                      <w:szCs w:val="21"/>
                      <w:highlight w:val="none"/>
                      <w:lang w:val="en-US" w:eastAsia="zh-CN"/>
                    </w:rPr>
                    <w:t>近期</w:t>
                  </w:r>
                  <w:r>
                    <w:rPr>
                      <w:rFonts w:hint="eastAsia" w:ascii="Times New Roman" w:hAnsi="Times New Roman" w:eastAsia="宋体" w:cs="Times New Roman"/>
                      <w:bCs/>
                      <w:color w:val="auto"/>
                      <w:szCs w:val="21"/>
                      <w:highlight w:val="none"/>
                      <w:lang w:eastAsia="zh-CN"/>
                    </w:rPr>
                    <w:t>）</w:t>
                  </w:r>
                </w:p>
              </w:tc>
              <w:tc>
                <w:tcPr>
                  <w:tcW w:w="480" w:type="pct"/>
                  <w:noWrap w:val="0"/>
                  <w:vAlign w:val="center"/>
                </w:tcPr>
                <w:p>
                  <w:pPr>
                    <w:pStyle w:val="8"/>
                    <w:overflowPunct w:val="0"/>
                    <w:autoSpaceDE w:val="0"/>
                    <w:autoSpaceDN w:val="0"/>
                    <w:snapToGrid/>
                    <w:spacing w:before="0" w:after="0" w:line="240" w:lineRule="auto"/>
                    <w:ind w:right="0" w:rightChars="0"/>
                    <w:jc w:val="center"/>
                    <w:rPr>
                      <w:rFonts w:hint="eastAsia" w:ascii="Times New Roman" w:hAnsi="Times New Roman" w:eastAsia="宋体" w:cs="Times New Roman"/>
                      <w:bCs/>
                      <w:color w:val="auto"/>
                      <w:szCs w:val="21"/>
                      <w:highlight w:val="none"/>
                    </w:rPr>
                  </w:pPr>
                  <w:r>
                    <w:rPr>
                      <w:rFonts w:hint="eastAsia"/>
                      <w:bCs/>
                      <w:color w:val="auto"/>
                      <w:sz w:val="21"/>
                      <w:szCs w:val="21"/>
                      <w:highlight w:val="none"/>
                    </w:rPr>
                    <w:t>COD</w:t>
                  </w:r>
                </w:p>
              </w:tc>
              <w:tc>
                <w:tcPr>
                  <w:tcW w:w="634"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3.75</w:t>
                  </w:r>
                </w:p>
              </w:tc>
              <w:tc>
                <w:tcPr>
                  <w:tcW w:w="621"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1.3861</w:t>
                  </w:r>
                </w:p>
              </w:tc>
              <w:tc>
                <w:tcPr>
                  <w:tcW w:w="684"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p>
              </w:tc>
              <w:tc>
                <w:tcPr>
                  <w:tcW w:w="688"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5.1361</w:t>
                  </w:r>
                </w:p>
              </w:tc>
              <w:tc>
                <w:tcPr>
                  <w:tcW w:w="637"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1.3861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01" w:type="pct"/>
                  <w:vMerge w:val="continue"/>
                  <w:noWrap w:val="0"/>
                  <w:vAlign w:val="center"/>
                </w:tcPr>
                <w:p>
                  <w:pPr>
                    <w:adjustRightInd w:val="0"/>
                    <w:snapToGrid w:val="0"/>
                    <w:jc w:val="center"/>
                    <w:rPr>
                      <w:rFonts w:ascii="Times New Roman" w:hAnsi="Times New Roman" w:eastAsia="宋体" w:cs="Times New Roman"/>
                      <w:bCs/>
                      <w:color w:val="auto"/>
                      <w:szCs w:val="21"/>
                      <w:highlight w:val="none"/>
                    </w:rPr>
                  </w:pPr>
                </w:p>
              </w:tc>
              <w:tc>
                <w:tcPr>
                  <w:tcW w:w="552" w:type="pct"/>
                  <w:vMerge w:val="continue"/>
                  <w:noWrap w:val="0"/>
                  <w:vAlign w:val="center"/>
                </w:tcPr>
                <w:p>
                  <w:pPr>
                    <w:adjustRightInd w:val="0"/>
                    <w:snapToGrid w:val="0"/>
                    <w:jc w:val="center"/>
                    <w:rPr>
                      <w:rFonts w:hint="eastAsia" w:ascii="Times New Roman" w:hAnsi="Times New Roman" w:eastAsia="宋体" w:cs="Times New Roman"/>
                      <w:bCs/>
                      <w:color w:val="auto"/>
                      <w:szCs w:val="21"/>
                      <w:highlight w:val="none"/>
                    </w:rPr>
                  </w:pPr>
                </w:p>
              </w:tc>
              <w:tc>
                <w:tcPr>
                  <w:tcW w:w="480" w:type="pct"/>
                  <w:noWrap w:val="0"/>
                  <w:vAlign w:val="center"/>
                </w:tcPr>
                <w:p>
                  <w:pPr>
                    <w:pStyle w:val="8"/>
                    <w:overflowPunct w:val="0"/>
                    <w:autoSpaceDE w:val="0"/>
                    <w:autoSpaceDN w:val="0"/>
                    <w:snapToGrid/>
                    <w:spacing w:before="0" w:after="0" w:line="240" w:lineRule="auto"/>
                    <w:ind w:right="0" w:rightChars="0"/>
                    <w:jc w:val="center"/>
                    <w:rPr>
                      <w:rFonts w:hint="eastAsia" w:ascii="Times New Roman" w:hAnsi="Times New Roman" w:eastAsia="宋体" w:cs="Times New Roman"/>
                      <w:bCs/>
                      <w:color w:val="auto"/>
                      <w:szCs w:val="21"/>
                      <w:highlight w:val="none"/>
                    </w:rPr>
                  </w:pPr>
                  <w:r>
                    <w:rPr>
                      <w:rFonts w:hint="eastAsia"/>
                      <w:bCs/>
                      <w:color w:val="auto"/>
                      <w:sz w:val="21"/>
                      <w:szCs w:val="21"/>
                      <w:highlight w:val="none"/>
                    </w:rPr>
                    <w:t>NH</w:t>
                  </w:r>
                  <w:r>
                    <w:rPr>
                      <w:rFonts w:hint="eastAsia"/>
                      <w:bCs/>
                      <w:color w:val="auto"/>
                      <w:sz w:val="21"/>
                      <w:szCs w:val="21"/>
                      <w:highlight w:val="none"/>
                      <w:vertAlign w:val="subscript"/>
                    </w:rPr>
                    <w:t>3</w:t>
                  </w:r>
                  <w:r>
                    <w:rPr>
                      <w:rFonts w:hint="eastAsia"/>
                      <w:bCs/>
                      <w:color w:val="auto"/>
                      <w:sz w:val="21"/>
                      <w:szCs w:val="21"/>
                      <w:highlight w:val="none"/>
                    </w:rPr>
                    <w:t>-N</w:t>
                  </w:r>
                </w:p>
              </w:tc>
              <w:tc>
                <w:tcPr>
                  <w:tcW w:w="634"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0.375</w:t>
                  </w:r>
                </w:p>
              </w:tc>
              <w:tc>
                <w:tcPr>
                  <w:tcW w:w="621"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0.1386</w:t>
                  </w:r>
                </w:p>
              </w:tc>
              <w:tc>
                <w:tcPr>
                  <w:tcW w:w="684"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p>
              </w:tc>
              <w:tc>
                <w:tcPr>
                  <w:tcW w:w="688"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0.5136</w:t>
                  </w:r>
                </w:p>
              </w:tc>
              <w:tc>
                <w:tcPr>
                  <w:tcW w:w="637"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0.1386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01" w:type="pct"/>
                  <w:vMerge w:val="continue"/>
                  <w:noWrap w:val="0"/>
                  <w:vAlign w:val="center"/>
                </w:tcPr>
                <w:p>
                  <w:pPr>
                    <w:adjustRightInd w:val="0"/>
                    <w:snapToGrid w:val="0"/>
                    <w:jc w:val="center"/>
                    <w:rPr>
                      <w:rFonts w:ascii="Times New Roman" w:hAnsi="Times New Roman" w:eastAsia="宋体" w:cs="Times New Roman"/>
                      <w:bCs/>
                      <w:color w:val="auto"/>
                      <w:szCs w:val="21"/>
                      <w:highlight w:val="none"/>
                    </w:rPr>
                  </w:pPr>
                </w:p>
              </w:tc>
              <w:tc>
                <w:tcPr>
                  <w:tcW w:w="552" w:type="pct"/>
                  <w:vMerge w:val="continue"/>
                  <w:noWrap w:val="0"/>
                  <w:vAlign w:val="center"/>
                </w:tcPr>
                <w:p>
                  <w:pPr>
                    <w:adjustRightInd w:val="0"/>
                    <w:snapToGrid w:val="0"/>
                    <w:jc w:val="center"/>
                    <w:rPr>
                      <w:rFonts w:hint="eastAsia" w:ascii="Times New Roman" w:hAnsi="Times New Roman" w:eastAsia="宋体" w:cs="Times New Roman"/>
                      <w:bCs/>
                      <w:color w:val="auto"/>
                      <w:szCs w:val="21"/>
                      <w:highlight w:val="none"/>
                    </w:rPr>
                  </w:pPr>
                </w:p>
              </w:tc>
              <w:tc>
                <w:tcPr>
                  <w:tcW w:w="480" w:type="pct"/>
                  <w:noWrap w:val="0"/>
                  <w:vAlign w:val="center"/>
                </w:tcPr>
                <w:p>
                  <w:pPr>
                    <w:pStyle w:val="8"/>
                    <w:overflowPunct w:val="0"/>
                    <w:autoSpaceDE w:val="0"/>
                    <w:autoSpaceDN w:val="0"/>
                    <w:snapToGrid/>
                    <w:spacing w:before="0" w:after="0" w:line="240" w:lineRule="auto"/>
                    <w:ind w:right="0" w:rightChars="0"/>
                    <w:jc w:val="center"/>
                    <w:rPr>
                      <w:rFonts w:hint="eastAsia" w:ascii="Times New Roman" w:hAnsi="Times New Roman" w:eastAsia="宋体" w:cs="Times New Roman"/>
                      <w:bCs/>
                      <w:color w:val="auto"/>
                      <w:szCs w:val="21"/>
                      <w:highlight w:val="none"/>
                    </w:rPr>
                  </w:pPr>
                  <w:r>
                    <w:rPr>
                      <w:rFonts w:hint="eastAsia"/>
                      <w:bCs/>
                      <w:color w:val="auto"/>
                      <w:sz w:val="21"/>
                      <w:szCs w:val="21"/>
                      <w:highlight w:val="none"/>
                      <w:lang w:val="en-US" w:eastAsia="zh-CN"/>
                    </w:rPr>
                    <w:t>TP</w:t>
                  </w:r>
                </w:p>
              </w:tc>
              <w:tc>
                <w:tcPr>
                  <w:tcW w:w="634"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0.0375</w:t>
                  </w:r>
                </w:p>
              </w:tc>
              <w:tc>
                <w:tcPr>
                  <w:tcW w:w="621"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0.0139</w:t>
                  </w:r>
                </w:p>
              </w:tc>
              <w:tc>
                <w:tcPr>
                  <w:tcW w:w="684"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p>
              </w:tc>
              <w:tc>
                <w:tcPr>
                  <w:tcW w:w="688"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0.0514</w:t>
                  </w:r>
                </w:p>
              </w:tc>
              <w:tc>
                <w:tcPr>
                  <w:tcW w:w="637"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0.0139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01" w:type="pct"/>
                  <w:vMerge w:val="continue"/>
                  <w:noWrap w:val="0"/>
                  <w:vAlign w:val="center"/>
                </w:tcPr>
                <w:p>
                  <w:pPr>
                    <w:adjustRightInd w:val="0"/>
                    <w:snapToGrid w:val="0"/>
                    <w:jc w:val="center"/>
                    <w:rPr>
                      <w:rFonts w:ascii="Times New Roman" w:hAnsi="Times New Roman" w:eastAsia="宋体" w:cs="Times New Roman"/>
                      <w:bCs/>
                      <w:color w:val="auto"/>
                      <w:szCs w:val="21"/>
                      <w:highlight w:val="none"/>
                    </w:rPr>
                  </w:pPr>
                </w:p>
              </w:tc>
              <w:tc>
                <w:tcPr>
                  <w:tcW w:w="552" w:type="pct"/>
                  <w:vMerge w:val="restart"/>
                  <w:noWrap w:val="0"/>
                  <w:vAlign w:val="center"/>
                </w:tcPr>
                <w:p>
                  <w:pPr>
                    <w:adjustRightInd w:val="0"/>
                    <w:snapToGrid w:val="0"/>
                    <w:jc w:val="center"/>
                    <w:rPr>
                      <w:rFonts w:hint="eastAsia"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污水处理厂排口</w:t>
                  </w:r>
                  <w:r>
                    <w:rPr>
                      <w:rFonts w:hint="eastAsia" w:ascii="Times New Roman" w:hAnsi="Times New Roman" w:eastAsia="宋体" w:cs="Times New Roman"/>
                      <w:bCs/>
                      <w:color w:val="auto"/>
                      <w:szCs w:val="21"/>
                      <w:highlight w:val="none"/>
                      <w:lang w:eastAsia="zh-CN"/>
                    </w:rPr>
                    <w:t>（</w:t>
                  </w:r>
                  <w:r>
                    <w:rPr>
                      <w:rFonts w:hint="eastAsia" w:ascii="Times New Roman" w:hAnsi="Times New Roman" w:eastAsia="宋体" w:cs="Times New Roman"/>
                      <w:bCs/>
                      <w:color w:val="auto"/>
                      <w:szCs w:val="21"/>
                      <w:highlight w:val="none"/>
                      <w:lang w:val="en-US" w:eastAsia="zh-CN"/>
                    </w:rPr>
                    <w:t>远期</w:t>
                  </w:r>
                  <w:r>
                    <w:rPr>
                      <w:rFonts w:hint="eastAsia" w:ascii="Times New Roman" w:hAnsi="Times New Roman" w:eastAsia="宋体" w:cs="Times New Roman"/>
                      <w:bCs/>
                      <w:color w:val="auto"/>
                      <w:szCs w:val="21"/>
                      <w:highlight w:val="none"/>
                      <w:lang w:eastAsia="zh-CN"/>
                    </w:rPr>
                    <w:t>）</w:t>
                  </w:r>
                </w:p>
              </w:tc>
              <w:tc>
                <w:tcPr>
                  <w:tcW w:w="480" w:type="pct"/>
                  <w:noWrap w:val="0"/>
                  <w:vAlign w:val="center"/>
                </w:tcPr>
                <w:p>
                  <w:pPr>
                    <w:pStyle w:val="8"/>
                    <w:overflowPunct w:val="0"/>
                    <w:autoSpaceDE w:val="0"/>
                    <w:autoSpaceDN w:val="0"/>
                    <w:snapToGrid/>
                    <w:spacing w:before="0" w:after="0" w:line="240" w:lineRule="auto"/>
                    <w:ind w:right="0" w:rightChars="0"/>
                    <w:jc w:val="center"/>
                    <w:rPr>
                      <w:rFonts w:hint="eastAsia" w:ascii="Times New Roman" w:hAnsi="Times New Roman" w:eastAsia="宋体" w:cs="Times New Roman"/>
                      <w:bCs/>
                      <w:color w:val="auto"/>
                      <w:szCs w:val="21"/>
                      <w:highlight w:val="none"/>
                    </w:rPr>
                  </w:pPr>
                  <w:r>
                    <w:rPr>
                      <w:rFonts w:hint="eastAsia"/>
                      <w:bCs/>
                      <w:color w:val="auto"/>
                      <w:sz w:val="21"/>
                      <w:szCs w:val="21"/>
                      <w:highlight w:val="none"/>
                    </w:rPr>
                    <w:t>COD</w:t>
                  </w:r>
                </w:p>
              </w:tc>
              <w:tc>
                <w:tcPr>
                  <w:tcW w:w="634"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2.25</w:t>
                  </w:r>
                </w:p>
              </w:tc>
              <w:tc>
                <w:tcPr>
                  <w:tcW w:w="621"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0.8317</w:t>
                  </w:r>
                </w:p>
              </w:tc>
              <w:tc>
                <w:tcPr>
                  <w:tcW w:w="684"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p>
              </w:tc>
              <w:tc>
                <w:tcPr>
                  <w:tcW w:w="688"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3.0817</w:t>
                  </w:r>
                </w:p>
              </w:tc>
              <w:tc>
                <w:tcPr>
                  <w:tcW w:w="637"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0.8317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01" w:type="pct"/>
                  <w:vMerge w:val="continue"/>
                  <w:noWrap w:val="0"/>
                  <w:vAlign w:val="center"/>
                </w:tcPr>
                <w:p>
                  <w:pPr>
                    <w:adjustRightInd w:val="0"/>
                    <w:snapToGrid w:val="0"/>
                    <w:jc w:val="center"/>
                    <w:rPr>
                      <w:rFonts w:ascii="Times New Roman" w:hAnsi="Times New Roman" w:eastAsia="宋体" w:cs="Times New Roman"/>
                      <w:bCs/>
                      <w:color w:val="auto"/>
                      <w:szCs w:val="21"/>
                      <w:highlight w:val="none"/>
                    </w:rPr>
                  </w:pPr>
                </w:p>
              </w:tc>
              <w:tc>
                <w:tcPr>
                  <w:tcW w:w="552" w:type="pct"/>
                  <w:vMerge w:val="continue"/>
                  <w:noWrap w:val="0"/>
                  <w:vAlign w:val="center"/>
                </w:tcPr>
                <w:p>
                  <w:pPr>
                    <w:adjustRightInd w:val="0"/>
                    <w:snapToGrid w:val="0"/>
                    <w:jc w:val="center"/>
                    <w:rPr>
                      <w:rFonts w:hint="eastAsia" w:ascii="Times New Roman" w:hAnsi="Times New Roman" w:eastAsia="宋体" w:cs="Times New Roman"/>
                      <w:bCs/>
                      <w:color w:val="auto"/>
                      <w:szCs w:val="21"/>
                      <w:highlight w:val="none"/>
                    </w:rPr>
                  </w:pPr>
                </w:p>
              </w:tc>
              <w:tc>
                <w:tcPr>
                  <w:tcW w:w="480" w:type="pct"/>
                  <w:noWrap w:val="0"/>
                  <w:vAlign w:val="center"/>
                </w:tcPr>
                <w:p>
                  <w:pPr>
                    <w:pStyle w:val="8"/>
                    <w:overflowPunct w:val="0"/>
                    <w:autoSpaceDE w:val="0"/>
                    <w:autoSpaceDN w:val="0"/>
                    <w:snapToGrid/>
                    <w:spacing w:before="0" w:after="0" w:line="240" w:lineRule="auto"/>
                    <w:ind w:right="0" w:rightChars="0"/>
                    <w:jc w:val="center"/>
                    <w:rPr>
                      <w:rFonts w:hint="eastAsia" w:ascii="Times New Roman" w:hAnsi="Times New Roman" w:eastAsia="宋体" w:cs="Times New Roman"/>
                      <w:bCs/>
                      <w:color w:val="auto"/>
                      <w:szCs w:val="21"/>
                      <w:highlight w:val="none"/>
                    </w:rPr>
                  </w:pPr>
                  <w:r>
                    <w:rPr>
                      <w:rFonts w:hint="eastAsia"/>
                      <w:bCs/>
                      <w:color w:val="auto"/>
                      <w:sz w:val="21"/>
                      <w:szCs w:val="21"/>
                      <w:highlight w:val="none"/>
                    </w:rPr>
                    <w:t>NH</w:t>
                  </w:r>
                  <w:r>
                    <w:rPr>
                      <w:rFonts w:hint="eastAsia"/>
                      <w:bCs/>
                      <w:color w:val="auto"/>
                      <w:sz w:val="21"/>
                      <w:szCs w:val="21"/>
                      <w:highlight w:val="none"/>
                      <w:vertAlign w:val="subscript"/>
                    </w:rPr>
                    <w:t>3</w:t>
                  </w:r>
                  <w:r>
                    <w:rPr>
                      <w:rFonts w:hint="eastAsia"/>
                      <w:bCs/>
                      <w:color w:val="auto"/>
                      <w:sz w:val="21"/>
                      <w:szCs w:val="21"/>
                      <w:highlight w:val="none"/>
                    </w:rPr>
                    <w:t>-N</w:t>
                  </w:r>
                </w:p>
              </w:tc>
              <w:tc>
                <w:tcPr>
                  <w:tcW w:w="634"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0.1125</w:t>
                  </w:r>
                </w:p>
              </w:tc>
              <w:tc>
                <w:tcPr>
                  <w:tcW w:w="621"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0.0416</w:t>
                  </w:r>
                </w:p>
              </w:tc>
              <w:tc>
                <w:tcPr>
                  <w:tcW w:w="684"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p>
              </w:tc>
              <w:tc>
                <w:tcPr>
                  <w:tcW w:w="688"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0.1541</w:t>
                  </w:r>
                </w:p>
              </w:tc>
              <w:tc>
                <w:tcPr>
                  <w:tcW w:w="637"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0.0416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01" w:type="pct"/>
                  <w:vMerge w:val="continue"/>
                  <w:noWrap w:val="0"/>
                  <w:vAlign w:val="center"/>
                </w:tcPr>
                <w:p>
                  <w:pPr>
                    <w:adjustRightInd w:val="0"/>
                    <w:snapToGrid w:val="0"/>
                    <w:jc w:val="center"/>
                    <w:rPr>
                      <w:rFonts w:ascii="Times New Roman" w:hAnsi="Times New Roman" w:eastAsia="宋体" w:cs="Times New Roman"/>
                      <w:bCs/>
                      <w:color w:val="auto"/>
                      <w:szCs w:val="21"/>
                      <w:highlight w:val="none"/>
                    </w:rPr>
                  </w:pPr>
                </w:p>
              </w:tc>
              <w:tc>
                <w:tcPr>
                  <w:tcW w:w="552" w:type="pct"/>
                  <w:vMerge w:val="continue"/>
                  <w:noWrap w:val="0"/>
                  <w:vAlign w:val="center"/>
                </w:tcPr>
                <w:p>
                  <w:pPr>
                    <w:adjustRightInd w:val="0"/>
                    <w:snapToGrid w:val="0"/>
                    <w:jc w:val="center"/>
                    <w:rPr>
                      <w:rFonts w:hint="eastAsia" w:ascii="Times New Roman" w:hAnsi="Times New Roman" w:eastAsia="宋体" w:cs="Times New Roman"/>
                      <w:bCs/>
                      <w:color w:val="auto"/>
                      <w:szCs w:val="21"/>
                      <w:highlight w:val="none"/>
                    </w:rPr>
                  </w:pPr>
                </w:p>
              </w:tc>
              <w:tc>
                <w:tcPr>
                  <w:tcW w:w="480" w:type="pct"/>
                  <w:noWrap w:val="0"/>
                  <w:vAlign w:val="center"/>
                </w:tcPr>
                <w:p>
                  <w:pPr>
                    <w:pStyle w:val="8"/>
                    <w:overflowPunct w:val="0"/>
                    <w:autoSpaceDE w:val="0"/>
                    <w:autoSpaceDN w:val="0"/>
                    <w:snapToGrid/>
                    <w:spacing w:before="0" w:after="0" w:line="240" w:lineRule="auto"/>
                    <w:ind w:right="0" w:rightChars="0"/>
                    <w:jc w:val="center"/>
                    <w:rPr>
                      <w:rFonts w:hint="eastAsia" w:ascii="Times New Roman" w:hAnsi="Times New Roman" w:eastAsia="宋体" w:cs="Times New Roman"/>
                      <w:bCs/>
                      <w:color w:val="auto"/>
                      <w:szCs w:val="21"/>
                      <w:highlight w:val="none"/>
                    </w:rPr>
                  </w:pPr>
                  <w:r>
                    <w:rPr>
                      <w:rFonts w:hint="eastAsia"/>
                      <w:bCs/>
                      <w:color w:val="auto"/>
                      <w:sz w:val="21"/>
                      <w:szCs w:val="21"/>
                      <w:highlight w:val="none"/>
                      <w:lang w:val="en-US" w:eastAsia="zh-CN"/>
                    </w:rPr>
                    <w:t>TP</w:t>
                  </w:r>
                </w:p>
              </w:tc>
              <w:tc>
                <w:tcPr>
                  <w:tcW w:w="634"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0.0225</w:t>
                  </w:r>
                </w:p>
              </w:tc>
              <w:tc>
                <w:tcPr>
                  <w:tcW w:w="621"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0.0083</w:t>
                  </w:r>
                </w:p>
              </w:tc>
              <w:tc>
                <w:tcPr>
                  <w:tcW w:w="684"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p>
              </w:tc>
              <w:tc>
                <w:tcPr>
                  <w:tcW w:w="688" w:type="pct"/>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0.0308</w:t>
                  </w:r>
                </w:p>
              </w:tc>
              <w:tc>
                <w:tcPr>
                  <w:tcW w:w="637"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0.0083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01" w:type="pct"/>
                  <w:vMerge w:val="restart"/>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大</w:t>
                  </w:r>
                  <w:r>
                    <w:rPr>
                      <w:rFonts w:hint="eastAsia" w:ascii="Times New Roman" w:hAnsi="Times New Roman" w:eastAsia="宋体" w:cs="Times New Roman"/>
                      <w:bCs/>
                      <w:color w:val="auto"/>
                      <w:szCs w:val="21"/>
                      <w:highlight w:val="none"/>
                    </w:rPr>
                    <w:t>气污染物总量控制指标</w:t>
                  </w:r>
                </w:p>
              </w:tc>
              <w:tc>
                <w:tcPr>
                  <w:tcW w:w="1032" w:type="pct"/>
                  <w:gridSpan w:val="2"/>
                  <w:noWrap w:val="0"/>
                  <w:vAlign w:val="center"/>
                </w:tcPr>
                <w:p>
                  <w:pPr>
                    <w:adjustRightInd w:val="0"/>
                    <w:snapToGrid w:val="0"/>
                    <w:jc w:val="center"/>
                    <w:rPr>
                      <w:rFonts w:hint="eastAsia"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lang w:val="en-US" w:eastAsia="zh-CN"/>
                    </w:rPr>
                    <w:t>颗粒物</w:t>
                  </w:r>
                </w:p>
              </w:tc>
              <w:tc>
                <w:tcPr>
                  <w:tcW w:w="634" w:type="pct"/>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0.0828</w:t>
                  </w:r>
                </w:p>
              </w:tc>
              <w:tc>
                <w:tcPr>
                  <w:tcW w:w="621" w:type="pct"/>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0.0414</w:t>
                  </w:r>
                </w:p>
              </w:tc>
              <w:tc>
                <w:tcPr>
                  <w:tcW w:w="684"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p>
              </w:tc>
              <w:tc>
                <w:tcPr>
                  <w:tcW w:w="6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0.1242</w:t>
                  </w:r>
                </w:p>
              </w:tc>
              <w:tc>
                <w:tcPr>
                  <w:tcW w:w="637" w:type="pct"/>
                  <w:noWrap w:val="0"/>
                  <w:vAlign w:val="center"/>
                </w:tcPr>
                <w:p>
                  <w:pPr>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+0.0414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01" w:type="pct"/>
                  <w:vMerge w:val="continue"/>
                  <w:noWrap w:val="0"/>
                  <w:vAlign w:val="center"/>
                </w:tcPr>
                <w:p>
                  <w:pPr>
                    <w:adjustRightInd w:val="0"/>
                    <w:snapToGrid w:val="0"/>
                    <w:jc w:val="center"/>
                    <w:rPr>
                      <w:rFonts w:ascii="Times New Roman" w:hAnsi="Times New Roman" w:eastAsia="宋体" w:cs="Times New Roman"/>
                      <w:bCs/>
                      <w:color w:val="auto"/>
                      <w:szCs w:val="21"/>
                      <w:highlight w:val="none"/>
                    </w:rPr>
                  </w:pPr>
                </w:p>
              </w:tc>
              <w:tc>
                <w:tcPr>
                  <w:tcW w:w="1032" w:type="pct"/>
                  <w:gridSpan w:val="2"/>
                  <w:noWrap w:val="0"/>
                  <w:vAlign w:val="center"/>
                </w:tcPr>
                <w:p>
                  <w:pPr>
                    <w:adjustRightInd w:val="0"/>
                    <w:snapToGrid w:val="0"/>
                    <w:jc w:val="center"/>
                    <w:rPr>
                      <w:rFonts w:hint="eastAsia" w:ascii="Times New Roman" w:hAnsi="Times New Roman" w:eastAsia="宋体" w:cs="Times New Roman"/>
                      <w:bCs/>
                      <w:color w:val="auto"/>
                      <w:szCs w:val="21"/>
                      <w:highlight w:val="none"/>
                    </w:rPr>
                  </w:pPr>
                  <w:r>
                    <w:rPr>
                      <w:color w:val="auto"/>
                      <w:highlight w:val="none"/>
                    </w:rPr>
                    <w:t>SO</w:t>
                  </w:r>
                  <w:r>
                    <w:rPr>
                      <w:color w:val="auto"/>
                      <w:highlight w:val="none"/>
                      <w:vertAlign w:val="subscript"/>
                    </w:rPr>
                    <w:t>2</w:t>
                  </w:r>
                </w:p>
              </w:tc>
              <w:tc>
                <w:tcPr>
                  <w:tcW w:w="634" w:type="pct"/>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0.09</w:t>
                  </w:r>
                </w:p>
              </w:tc>
              <w:tc>
                <w:tcPr>
                  <w:tcW w:w="621" w:type="pct"/>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0.2</w:t>
                  </w:r>
                </w:p>
              </w:tc>
              <w:tc>
                <w:tcPr>
                  <w:tcW w:w="684"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p>
              </w:tc>
              <w:tc>
                <w:tcPr>
                  <w:tcW w:w="6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0.29</w:t>
                  </w:r>
                </w:p>
              </w:tc>
              <w:tc>
                <w:tcPr>
                  <w:tcW w:w="637" w:type="pct"/>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01" w:type="pct"/>
                  <w:vMerge w:val="continue"/>
                  <w:noWrap w:val="0"/>
                  <w:vAlign w:val="center"/>
                </w:tcPr>
                <w:p>
                  <w:pPr>
                    <w:adjustRightInd w:val="0"/>
                    <w:snapToGrid w:val="0"/>
                    <w:jc w:val="center"/>
                    <w:rPr>
                      <w:rFonts w:ascii="Times New Roman" w:hAnsi="Times New Roman" w:eastAsia="宋体" w:cs="Times New Roman"/>
                      <w:bCs/>
                      <w:color w:val="auto"/>
                      <w:szCs w:val="21"/>
                      <w:highlight w:val="none"/>
                    </w:rPr>
                  </w:pPr>
                </w:p>
              </w:tc>
              <w:tc>
                <w:tcPr>
                  <w:tcW w:w="1032" w:type="pct"/>
                  <w:gridSpan w:val="2"/>
                  <w:noWrap w:val="0"/>
                  <w:vAlign w:val="center"/>
                </w:tcPr>
                <w:p>
                  <w:pPr>
                    <w:adjustRightInd w:val="0"/>
                    <w:snapToGrid w:val="0"/>
                    <w:jc w:val="center"/>
                    <w:rPr>
                      <w:rFonts w:hint="eastAsia" w:ascii="Times New Roman" w:hAnsi="Times New Roman" w:eastAsia="宋体" w:cs="Times New Roman"/>
                      <w:bCs/>
                      <w:color w:val="auto"/>
                      <w:szCs w:val="21"/>
                      <w:highlight w:val="none"/>
                    </w:rPr>
                  </w:pPr>
                  <w:r>
                    <w:rPr>
                      <w:color w:val="auto"/>
                      <w:highlight w:val="none"/>
                    </w:rPr>
                    <w:t>NO</w:t>
                  </w:r>
                  <w:r>
                    <w:rPr>
                      <w:rFonts w:hint="eastAsia"/>
                      <w:color w:val="auto"/>
                      <w:highlight w:val="none"/>
                    </w:rPr>
                    <w:t>x</w:t>
                  </w:r>
                </w:p>
              </w:tc>
              <w:tc>
                <w:tcPr>
                  <w:tcW w:w="634" w:type="pct"/>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0.576</w:t>
                  </w:r>
                </w:p>
              </w:tc>
              <w:tc>
                <w:tcPr>
                  <w:tcW w:w="621" w:type="pct"/>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0.7949</w:t>
                  </w:r>
                </w:p>
              </w:tc>
              <w:tc>
                <w:tcPr>
                  <w:tcW w:w="684"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p>
              </w:tc>
              <w:tc>
                <w:tcPr>
                  <w:tcW w:w="6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 w:val="21"/>
                      <w:szCs w:val="21"/>
                      <w:highlight w:val="none"/>
                      <w:lang w:val="en-US" w:eastAsia="zh-CN"/>
                    </w:rPr>
                    <w:t>1.3709</w:t>
                  </w:r>
                </w:p>
              </w:tc>
              <w:tc>
                <w:tcPr>
                  <w:tcW w:w="637" w:type="pct"/>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+0.7949</w:t>
                  </w:r>
                </w:p>
              </w:tc>
            </w:tr>
          </w:tbl>
          <w:p>
            <w:pPr>
              <w:spacing w:line="360" w:lineRule="auto"/>
              <w:ind w:firstLine="480" w:firstLineChars="200"/>
              <w:jc w:val="left"/>
              <w:rPr>
                <w:color w:val="auto"/>
                <w:sz w:val="24"/>
                <w:highlight w:val="none"/>
              </w:rPr>
            </w:pPr>
            <w:r>
              <w:rPr>
                <w:color w:val="auto"/>
                <w:sz w:val="24"/>
                <w:highlight w:val="none"/>
              </w:rPr>
              <w:t>对于以上指标，建议由生态环境主管部门核定后下达。</w:t>
            </w:r>
          </w:p>
          <w:p>
            <w:pPr>
              <w:spacing w:line="360" w:lineRule="auto"/>
              <w:ind w:firstLine="480" w:firstLineChars="200"/>
              <w:rPr>
                <w:rFonts w:ascii="Times New Roman" w:hAnsi="Times New Roman" w:eastAsia="宋体" w:cs="Times New Roman"/>
                <w:color w:val="auto"/>
                <w:sz w:val="24"/>
                <w:highlight w:val="none"/>
              </w:rPr>
            </w:pPr>
          </w:p>
          <w:p>
            <w:pPr>
              <w:spacing w:line="360" w:lineRule="auto"/>
              <w:ind w:firstLine="480" w:firstLineChars="200"/>
              <w:rPr>
                <w:rFonts w:ascii="Times New Roman" w:hAnsi="Times New Roman" w:eastAsia="宋体" w:cs="Times New Roman"/>
                <w:color w:val="auto"/>
                <w:sz w:val="24"/>
                <w:highlight w:val="none"/>
              </w:rPr>
            </w:pPr>
          </w:p>
          <w:p>
            <w:pPr>
              <w:spacing w:line="360" w:lineRule="auto"/>
              <w:ind w:firstLine="480" w:firstLineChars="200"/>
              <w:rPr>
                <w:rFonts w:ascii="Times New Roman" w:hAnsi="Times New Roman" w:eastAsia="宋体" w:cs="Times New Roman"/>
                <w:color w:val="auto"/>
                <w:sz w:val="24"/>
                <w:highlight w:val="none"/>
              </w:rPr>
            </w:pPr>
          </w:p>
          <w:p>
            <w:pPr>
              <w:spacing w:line="360" w:lineRule="auto"/>
              <w:ind w:firstLine="480" w:firstLineChars="200"/>
              <w:rPr>
                <w:rFonts w:ascii="Times New Roman" w:hAnsi="Times New Roman" w:eastAsia="宋体" w:cs="Times New Roman"/>
                <w:color w:val="auto"/>
                <w:sz w:val="24"/>
                <w:highlight w:val="none"/>
              </w:rPr>
            </w:pPr>
          </w:p>
          <w:p>
            <w:pPr>
              <w:adjustRightInd w:val="0"/>
              <w:snapToGrid w:val="0"/>
              <w:jc w:val="center"/>
              <w:rPr>
                <w:rFonts w:ascii="宋体" w:hAnsi="宋体" w:cs="宋体"/>
                <w:color w:val="auto"/>
                <w:kern w:val="0"/>
                <w:szCs w:val="21"/>
                <w:highlight w:val="none"/>
              </w:rPr>
            </w:pPr>
          </w:p>
        </w:tc>
      </w:tr>
    </w:tbl>
    <w:p>
      <w:pPr>
        <w:pStyle w:val="19"/>
        <w:jc w:val="center"/>
        <w:outlineLvl w:val="0"/>
        <w:rPr>
          <w:rFonts w:ascii="黑体" w:hAnsi="黑体" w:eastAsia="黑体"/>
          <w:snapToGrid w:val="0"/>
          <w:color w:val="auto"/>
          <w:sz w:val="30"/>
          <w:szCs w:val="30"/>
          <w:highlight w:val="none"/>
        </w:rPr>
      </w:pPr>
      <w:r>
        <w:rPr>
          <w:rFonts w:ascii="黑体" w:hAnsi="黑体" w:eastAsia="黑体"/>
          <w:snapToGrid w:val="0"/>
          <w:color w:val="auto"/>
          <w:sz w:val="36"/>
          <w:szCs w:val="36"/>
          <w:highlight w:val="none"/>
        </w:rPr>
        <w:br w:type="page"/>
      </w:r>
      <w:r>
        <w:rPr>
          <w:rFonts w:hint="eastAsia" w:ascii="黑体" w:hAnsi="黑体" w:eastAsia="黑体"/>
          <w:snapToGrid w:val="0"/>
          <w:color w:val="auto"/>
          <w:sz w:val="30"/>
          <w:szCs w:val="30"/>
          <w:highlight w:val="none"/>
        </w:rPr>
        <w:t>四、主要环境影响和保护措施</w:t>
      </w:r>
    </w:p>
    <w:tbl>
      <w:tblPr>
        <w:tblStyle w:val="2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4"/>
        <w:gridCol w:w="84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6" w:type="pct"/>
            <w:noWrap w:val="0"/>
            <w:tcMar>
              <w:left w:w="28" w:type="dxa"/>
              <w:right w:w="28" w:type="dxa"/>
            </w:tcMar>
            <w:vAlign w:val="center"/>
          </w:tcPr>
          <w:p>
            <w:pPr>
              <w:pStyle w:val="19"/>
              <w:adjustRightInd w:val="0"/>
              <w:snapToGrid w:val="0"/>
              <w:spacing w:before="0" w:beforeAutospacing="0" w:after="0" w:afterAutospacing="0"/>
              <w:jc w:val="center"/>
              <w:rPr>
                <w:rFonts w:hint="eastAsia" w:cs="宋体"/>
                <w:bCs/>
                <w:color w:val="auto"/>
                <w:kern w:val="2"/>
                <w:sz w:val="21"/>
                <w:szCs w:val="21"/>
                <w:highlight w:val="none"/>
              </w:rPr>
            </w:pPr>
            <w:r>
              <w:rPr>
                <w:rFonts w:hint="eastAsia" w:cs="宋体"/>
                <w:color w:val="auto"/>
                <w:kern w:val="2"/>
                <w:sz w:val="21"/>
                <w:szCs w:val="21"/>
                <w:highlight w:val="none"/>
              </w:rPr>
              <w:t>施工期环境保护措施</w:t>
            </w:r>
          </w:p>
        </w:tc>
        <w:tc>
          <w:tcPr>
            <w:tcW w:w="4713" w:type="pct"/>
            <w:noWrap w:val="0"/>
            <w:vAlign w:val="center"/>
          </w:tcPr>
          <w:p>
            <w:pPr>
              <w:keepNext w:val="0"/>
              <w:keepLines w:val="0"/>
              <w:pageBreakBefore w:val="0"/>
              <w:widowControl w:val="0"/>
              <w:kinsoku/>
              <w:wordWrap/>
              <w:overflowPunct/>
              <w:topLinePunct w:val="0"/>
              <w:autoSpaceDE/>
              <w:autoSpaceDN/>
              <w:bidi w:val="0"/>
              <w:spacing w:after="0" w:line="360" w:lineRule="auto"/>
              <w:ind w:firstLine="482" w:firstLineChars="200"/>
              <w:jc w:val="both"/>
              <w:textAlignment w:val="center"/>
              <w:rPr>
                <w:rFonts w:ascii="Times New Roman" w:hAnsi="Times New Roman" w:eastAsia="宋体"/>
                <w:b/>
                <w:color w:val="auto"/>
                <w:kern w:val="2"/>
                <w:sz w:val="24"/>
                <w:highlight w:val="none"/>
              </w:rPr>
            </w:pPr>
            <w:r>
              <w:rPr>
                <w:rFonts w:hint="eastAsia" w:ascii="Times New Roman" w:hAnsi="Times New Roman" w:eastAsia="宋体"/>
                <w:b/>
                <w:color w:val="auto"/>
                <w:kern w:val="2"/>
                <w:sz w:val="24"/>
                <w:highlight w:val="none"/>
              </w:rPr>
              <w:t>1、施工期废气产生及治理措施</w:t>
            </w:r>
          </w:p>
          <w:p>
            <w:pPr>
              <w:keepNext w:val="0"/>
              <w:keepLines w:val="0"/>
              <w:pageBreakBefore w:val="0"/>
              <w:widowControl w:val="0"/>
              <w:kinsoku/>
              <w:wordWrap/>
              <w:overflowPunct/>
              <w:topLinePunct w:val="0"/>
              <w:autoSpaceDE/>
              <w:autoSpaceDN/>
              <w:bidi w:val="0"/>
              <w:spacing w:after="0" w:line="360" w:lineRule="auto"/>
              <w:ind w:firstLine="480" w:firstLineChars="200"/>
              <w:jc w:val="both"/>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t>本项目施工期间的废气主要来源于施工扬尘、施工机械废气及装修废气等。</w:t>
            </w:r>
          </w:p>
          <w:p>
            <w:pPr>
              <w:keepNext w:val="0"/>
              <w:keepLines w:val="0"/>
              <w:pageBreakBefore w:val="0"/>
              <w:widowControl w:val="0"/>
              <w:kinsoku/>
              <w:wordWrap/>
              <w:overflowPunct/>
              <w:topLinePunct w:val="0"/>
              <w:autoSpaceDE/>
              <w:autoSpaceDN/>
              <w:bidi w:val="0"/>
              <w:spacing w:after="0" w:line="360" w:lineRule="auto"/>
              <w:ind w:firstLine="482" w:firstLineChars="200"/>
              <w:jc w:val="both"/>
              <w:rPr>
                <w:rFonts w:ascii="Times New Roman" w:hAnsi="Times New Roman" w:eastAsia="宋体"/>
                <w:b/>
                <w:color w:val="auto"/>
                <w:kern w:val="2"/>
                <w:sz w:val="24"/>
                <w:highlight w:val="none"/>
              </w:rPr>
            </w:pPr>
            <w:r>
              <w:rPr>
                <w:rFonts w:hint="eastAsia" w:ascii="Times New Roman" w:hAnsi="Times New Roman" w:eastAsia="宋体"/>
                <w:b/>
                <w:color w:val="auto"/>
                <w:kern w:val="2"/>
                <w:sz w:val="24"/>
                <w:highlight w:val="none"/>
              </w:rPr>
              <w:t>（1）施工扬尘</w:t>
            </w:r>
          </w:p>
          <w:p>
            <w:pPr>
              <w:keepNext w:val="0"/>
              <w:keepLines w:val="0"/>
              <w:pageBreakBefore w:val="0"/>
              <w:widowControl w:val="0"/>
              <w:kinsoku/>
              <w:wordWrap/>
              <w:overflowPunct/>
              <w:topLinePunct w:val="0"/>
              <w:autoSpaceDE/>
              <w:autoSpaceDN/>
              <w:bidi w:val="0"/>
              <w:spacing w:after="0" w:line="360" w:lineRule="auto"/>
              <w:ind w:firstLine="480" w:firstLineChars="200"/>
              <w:jc w:val="both"/>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t>项目在建设施工过程中的大气污染主要来自于施工场地的扬尘。施工扬尘一般来源于以下几方面：</w:t>
            </w:r>
          </w:p>
          <w:p>
            <w:pPr>
              <w:keepNext w:val="0"/>
              <w:keepLines w:val="0"/>
              <w:pageBreakBefore w:val="0"/>
              <w:widowControl w:val="0"/>
              <w:kinsoku/>
              <w:wordWrap/>
              <w:overflowPunct/>
              <w:topLinePunct w:val="0"/>
              <w:autoSpaceDE/>
              <w:autoSpaceDN/>
              <w:bidi w:val="0"/>
              <w:spacing w:after="0" w:line="360" w:lineRule="auto"/>
              <w:ind w:firstLine="480" w:firstLineChars="200"/>
              <w:jc w:val="both"/>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fldChar w:fldCharType="begin"/>
            </w:r>
            <w:r>
              <w:rPr>
                <w:rFonts w:hint="eastAsia" w:ascii="Times New Roman" w:hAnsi="Times New Roman" w:eastAsia="宋体"/>
                <w:color w:val="auto"/>
                <w:kern w:val="2"/>
                <w:sz w:val="24"/>
                <w:highlight w:val="none"/>
              </w:rPr>
              <w:instrText xml:space="preserve"> = 1 \* GB3 </w:instrText>
            </w:r>
            <w:r>
              <w:rPr>
                <w:rFonts w:hint="eastAsia" w:ascii="Times New Roman" w:hAnsi="Times New Roman" w:eastAsia="宋体"/>
                <w:color w:val="auto"/>
                <w:kern w:val="2"/>
                <w:sz w:val="24"/>
                <w:highlight w:val="none"/>
              </w:rPr>
              <w:fldChar w:fldCharType="separate"/>
            </w:r>
            <w:r>
              <w:rPr>
                <w:rFonts w:hint="eastAsia" w:ascii="宋体" w:hAnsi="宋体" w:eastAsia="宋体" w:cs="宋体"/>
                <w:color w:val="auto"/>
                <w:kern w:val="2"/>
                <w:sz w:val="24"/>
                <w:highlight w:val="none"/>
              </w:rPr>
              <w:t>①</w:t>
            </w:r>
            <w:r>
              <w:rPr>
                <w:rFonts w:hint="eastAsia" w:ascii="Times New Roman" w:hAnsi="Times New Roman" w:eastAsia="宋体"/>
                <w:color w:val="auto"/>
                <w:kern w:val="2"/>
                <w:sz w:val="24"/>
                <w:highlight w:val="none"/>
              </w:rPr>
              <w:fldChar w:fldCharType="end"/>
            </w:r>
            <w:r>
              <w:rPr>
                <w:rFonts w:hint="eastAsia" w:ascii="Times New Roman" w:hAnsi="Times New Roman" w:eastAsia="宋体"/>
                <w:color w:val="auto"/>
                <w:kern w:val="2"/>
                <w:sz w:val="24"/>
                <w:highlight w:val="none"/>
              </w:rPr>
              <w:t>土方挖掘、堆放、清运、回填及场地平整过程产生的粉尘；</w:t>
            </w:r>
          </w:p>
          <w:p>
            <w:pPr>
              <w:keepNext w:val="0"/>
              <w:keepLines w:val="0"/>
              <w:pageBreakBefore w:val="0"/>
              <w:widowControl w:val="0"/>
              <w:kinsoku/>
              <w:wordWrap/>
              <w:overflowPunct/>
              <w:topLinePunct w:val="0"/>
              <w:autoSpaceDE/>
              <w:autoSpaceDN/>
              <w:bidi w:val="0"/>
              <w:spacing w:after="0" w:line="360" w:lineRule="auto"/>
              <w:ind w:firstLine="480" w:firstLineChars="200"/>
              <w:jc w:val="both"/>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fldChar w:fldCharType="begin"/>
            </w:r>
            <w:r>
              <w:rPr>
                <w:rFonts w:hint="eastAsia" w:ascii="Times New Roman" w:hAnsi="Times New Roman" w:eastAsia="宋体"/>
                <w:color w:val="auto"/>
                <w:kern w:val="2"/>
                <w:sz w:val="24"/>
                <w:highlight w:val="none"/>
              </w:rPr>
              <w:instrText xml:space="preserve"> = 2 \* GB3 </w:instrText>
            </w:r>
            <w:r>
              <w:rPr>
                <w:rFonts w:hint="eastAsia" w:ascii="Times New Roman" w:hAnsi="Times New Roman" w:eastAsia="宋体"/>
                <w:color w:val="auto"/>
                <w:kern w:val="2"/>
                <w:sz w:val="24"/>
                <w:highlight w:val="none"/>
              </w:rPr>
              <w:fldChar w:fldCharType="separate"/>
            </w:r>
            <w:r>
              <w:rPr>
                <w:rFonts w:hint="eastAsia" w:ascii="宋体" w:hAnsi="宋体" w:eastAsia="宋体" w:cs="宋体"/>
                <w:color w:val="auto"/>
                <w:kern w:val="2"/>
                <w:sz w:val="24"/>
                <w:highlight w:val="none"/>
              </w:rPr>
              <w:t>②</w:t>
            </w:r>
            <w:r>
              <w:rPr>
                <w:rFonts w:hint="eastAsia" w:ascii="Times New Roman" w:hAnsi="Times New Roman" w:eastAsia="宋体"/>
                <w:color w:val="auto"/>
                <w:kern w:val="2"/>
                <w:sz w:val="24"/>
                <w:highlight w:val="none"/>
              </w:rPr>
              <w:fldChar w:fldCharType="end"/>
            </w:r>
            <w:r>
              <w:rPr>
                <w:rFonts w:hint="eastAsia" w:ascii="Times New Roman" w:hAnsi="Times New Roman" w:eastAsia="宋体"/>
                <w:color w:val="auto"/>
                <w:kern w:val="2"/>
                <w:sz w:val="24"/>
                <w:highlight w:val="none"/>
              </w:rPr>
              <w:t>建筑材料如钢筋、砂子等在其装卸、运输、堆放等过程中，因风力作用而产生的扬尘污染；</w:t>
            </w:r>
          </w:p>
          <w:p>
            <w:pPr>
              <w:keepNext w:val="0"/>
              <w:keepLines w:val="0"/>
              <w:pageBreakBefore w:val="0"/>
              <w:widowControl w:val="0"/>
              <w:kinsoku/>
              <w:wordWrap/>
              <w:overflowPunct/>
              <w:topLinePunct w:val="0"/>
              <w:autoSpaceDE/>
              <w:autoSpaceDN/>
              <w:bidi w:val="0"/>
              <w:spacing w:after="0" w:line="360" w:lineRule="auto"/>
              <w:ind w:firstLine="480" w:firstLineChars="200"/>
              <w:jc w:val="both"/>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fldChar w:fldCharType="begin"/>
            </w:r>
            <w:r>
              <w:rPr>
                <w:rFonts w:hint="eastAsia" w:ascii="Times New Roman" w:hAnsi="Times New Roman" w:eastAsia="宋体"/>
                <w:color w:val="auto"/>
                <w:kern w:val="2"/>
                <w:sz w:val="24"/>
                <w:highlight w:val="none"/>
              </w:rPr>
              <w:instrText xml:space="preserve"> = 3 \* GB3 </w:instrText>
            </w:r>
            <w:r>
              <w:rPr>
                <w:rFonts w:hint="eastAsia" w:ascii="Times New Roman" w:hAnsi="Times New Roman" w:eastAsia="宋体"/>
                <w:color w:val="auto"/>
                <w:kern w:val="2"/>
                <w:sz w:val="24"/>
                <w:highlight w:val="none"/>
              </w:rPr>
              <w:fldChar w:fldCharType="separate"/>
            </w:r>
            <w:r>
              <w:rPr>
                <w:rFonts w:hint="eastAsia" w:ascii="宋体" w:hAnsi="宋体" w:eastAsia="宋体" w:cs="宋体"/>
                <w:color w:val="auto"/>
                <w:kern w:val="2"/>
                <w:sz w:val="24"/>
                <w:highlight w:val="none"/>
              </w:rPr>
              <w:t>③</w:t>
            </w:r>
            <w:r>
              <w:rPr>
                <w:rFonts w:hint="eastAsia" w:ascii="Times New Roman" w:hAnsi="Times New Roman" w:eastAsia="宋体"/>
                <w:color w:val="auto"/>
                <w:kern w:val="2"/>
                <w:sz w:val="24"/>
                <w:highlight w:val="none"/>
              </w:rPr>
              <w:fldChar w:fldCharType="end"/>
            </w:r>
            <w:r>
              <w:rPr>
                <w:rFonts w:hint="eastAsia" w:ascii="Times New Roman" w:hAnsi="Times New Roman" w:eastAsia="宋体"/>
                <w:color w:val="auto"/>
                <w:kern w:val="2"/>
                <w:sz w:val="24"/>
                <w:highlight w:val="none"/>
              </w:rPr>
              <w:t>搅拌粉尘和运输车辆往来造成地面扬尘；</w:t>
            </w:r>
          </w:p>
          <w:p>
            <w:pPr>
              <w:keepNext w:val="0"/>
              <w:keepLines w:val="0"/>
              <w:pageBreakBefore w:val="0"/>
              <w:widowControl w:val="0"/>
              <w:kinsoku/>
              <w:wordWrap/>
              <w:overflowPunct/>
              <w:topLinePunct w:val="0"/>
              <w:autoSpaceDE/>
              <w:autoSpaceDN/>
              <w:bidi w:val="0"/>
              <w:spacing w:after="0" w:line="360" w:lineRule="auto"/>
              <w:ind w:firstLine="480" w:firstLineChars="200"/>
              <w:jc w:val="both"/>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fldChar w:fldCharType="begin"/>
            </w:r>
            <w:r>
              <w:rPr>
                <w:rFonts w:hint="eastAsia" w:ascii="Times New Roman" w:hAnsi="Times New Roman" w:eastAsia="宋体"/>
                <w:color w:val="auto"/>
                <w:kern w:val="2"/>
                <w:sz w:val="24"/>
                <w:highlight w:val="none"/>
              </w:rPr>
              <w:instrText xml:space="preserve"> = 4 \* GB3 </w:instrText>
            </w:r>
            <w:r>
              <w:rPr>
                <w:rFonts w:hint="eastAsia" w:ascii="Times New Roman" w:hAnsi="Times New Roman" w:eastAsia="宋体"/>
                <w:color w:val="auto"/>
                <w:kern w:val="2"/>
                <w:sz w:val="24"/>
                <w:highlight w:val="none"/>
              </w:rPr>
              <w:fldChar w:fldCharType="separate"/>
            </w:r>
            <w:r>
              <w:rPr>
                <w:rFonts w:hint="eastAsia" w:ascii="宋体" w:hAnsi="宋体" w:eastAsia="宋体" w:cs="宋体"/>
                <w:color w:val="auto"/>
                <w:kern w:val="2"/>
                <w:sz w:val="24"/>
                <w:highlight w:val="none"/>
              </w:rPr>
              <w:t>④</w:t>
            </w:r>
            <w:r>
              <w:rPr>
                <w:rFonts w:hint="eastAsia" w:ascii="Times New Roman" w:hAnsi="Times New Roman" w:eastAsia="宋体"/>
                <w:color w:val="auto"/>
                <w:kern w:val="2"/>
                <w:sz w:val="24"/>
                <w:highlight w:val="none"/>
              </w:rPr>
              <w:fldChar w:fldCharType="end"/>
            </w:r>
            <w:r>
              <w:rPr>
                <w:rFonts w:hint="eastAsia" w:ascii="Times New Roman" w:hAnsi="Times New Roman" w:eastAsia="宋体"/>
                <w:color w:val="auto"/>
                <w:kern w:val="2"/>
                <w:sz w:val="24"/>
                <w:highlight w:val="none"/>
              </w:rPr>
              <w:t>施工垃圾在其堆放过程和清运过程中产生扬尘；</w:t>
            </w:r>
          </w:p>
          <w:p>
            <w:pPr>
              <w:keepNext w:val="0"/>
              <w:keepLines w:val="0"/>
              <w:pageBreakBefore w:val="0"/>
              <w:widowControl w:val="0"/>
              <w:kinsoku/>
              <w:wordWrap/>
              <w:overflowPunct/>
              <w:topLinePunct w:val="0"/>
              <w:autoSpaceDE/>
              <w:autoSpaceDN/>
              <w:bidi w:val="0"/>
              <w:spacing w:after="0" w:line="360" w:lineRule="auto"/>
              <w:ind w:firstLine="480" w:firstLineChars="200"/>
              <w:jc w:val="both"/>
              <w:textAlignment w:val="center"/>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t>根据同类工程的类比调查，当风速为1.5m/s时，工地内的TSP浓度是上风向对照点的1.5～2.3倍，距施工现场100m处的TSP监测值为0.21～0.79mg/m</w:t>
            </w:r>
            <w:r>
              <w:rPr>
                <w:rFonts w:hint="eastAsia" w:ascii="Times New Roman" w:hAnsi="Times New Roman" w:eastAsia="宋体"/>
                <w:color w:val="auto"/>
                <w:kern w:val="2"/>
                <w:sz w:val="24"/>
                <w:highlight w:val="none"/>
                <w:vertAlign w:val="superscript"/>
              </w:rPr>
              <w:t>3</w:t>
            </w:r>
            <w:r>
              <w:rPr>
                <w:rFonts w:hint="eastAsia" w:ascii="Times New Roman" w:hAnsi="Times New Roman" w:eastAsia="宋体"/>
                <w:color w:val="auto"/>
                <w:kern w:val="2"/>
                <w:sz w:val="24"/>
                <w:highlight w:val="none"/>
              </w:rPr>
              <w:t>，同时，对类似施工现场进行监测，其TSP值在0.20～0.40mg/m</w:t>
            </w:r>
            <w:r>
              <w:rPr>
                <w:rFonts w:hint="eastAsia" w:ascii="Times New Roman" w:hAnsi="Times New Roman" w:eastAsia="宋体"/>
                <w:color w:val="auto"/>
                <w:kern w:val="2"/>
                <w:sz w:val="24"/>
                <w:highlight w:val="none"/>
                <w:vertAlign w:val="superscript"/>
              </w:rPr>
              <w:t>3</w:t>
            </w:r>
            <w:r>
              <w:rPr>
                <w:rFonts w:hint="eastAsia" w:ascii="Times New Roman" w:hAnsi="Times New Roman" w:eastAsia="宋体"/>
                <w:color w:val="auto"/>
                <w:kern w:val="2"/>
                <w:sz w:val="24"/>
                <w:highlight w:val="none"/>
              </w:rPr>
              <w:t>之间。经初步估算，本项目在施工期产生的粉尘量合计约为3.5t。</w:t>
            </w:r>
          </w:p>
          <w:p>
            <w:pPr>
              <w:keepNext w:val="0"/>
              <w:keepLines w:val="0"/>
              <w:pageBreakBefore w:val="0"/>
              <w:widowControl w:val="0"/>
              <w:kinsoku/>
              <w:wordWrap/>
              <w:overflowPunct/>
              <w:topLinePunct w:val="0"/>
              <w:autoSpaceDE/>
              <w:autoSpaceDN/>
              <w:bidi w:val="0"/>
              <w:spacing w:after="0" w:line="360" w:lineRule="auto"/>
              <w:ind w:firstLine="480" w:firstLineChars="200"/>
              <w:jc w:val="both"/>
              <w:textAlignment w:val="center"/>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t>为减轻施工期扬尘对大气环境的影响，施工单位必须严格按照《防治城市扬尘污染技术规范》（HJ/T393-2007）</w:t>
            </w:r>
            <w:r>
              <w:rPr>
                <w:rFonts w:hint="eastAsia"/>
                <w:color w:val="auto"/>
                <w:kern w:val="2"/>
                <w:sz w:val="24"/>
                <w:highlight w:val="none"/>
                <w:lang w:eastAsia="zh-CN"/>
              </w:rPr>
              <w:t>、</w:t>
            </w:r>
            <w:r>
              <w:rPr>
                <w:rFonts w:hint="eastAsia" w:ascii="Times New Roman" w:hAnsi="Times New Roman" w:eastAsia="宋体"/>
                <w:color w:val="auto"/>
                <w:kern w:val="2"/>
                <w:sz w:val="24"/>
                <w:highlight w:val="none"/>
              </w:rPr>
              <w:t>《</w:t>
            </w:r>
            <w:r>
              <w:rPr>
                <w:rFonts w:hint="eastAsia"/>
                <w:color w:val="auto"/>
                <w:kern w:val="2"/>
                <w:sz w:val="24"/>
                <w:highlight w:val="none"/>
                <w:lang w:eastAsia="zh-CN"/>
              </w:rPr>
              <w:t>四川省建筑工程扬尘污染防治技术导则（试行）</w:t>
            </w:r>
            <w:r>
              <w:rPr>
                <w:rFonts w:hint="eastAsia" w:ascii="Times New Roman" w:hAnsi="Times New Roman" w:eastAsia="宋体"/>
                <w:color w:val="auto"/>
                <w:kern w:val="2"/>
                <w:sz w:val="24"/>
                <w:highlight w:val="none"/>
              </w:rPr>
              <w:t>》</w:t>
            </w:r>
            <w:r>
              <w:rPr>
                <w:rFonts w:hint="eastAsia"/>
                <w:color w:val="auto"/>
                <w:kern w:val="2"/>
                <w:sz w:val="24"/>
                <w:highlight w:val="none"/>
                <w:lang w:eastAsia="zh-CN"/>
              </w:rPr>
              <w:t>（川建发〔2018〕16号）、《四川省施工场地扬尘排放标准》（DB51/2682-2040）、《巴中市扬尘污染防治条例》</w:t>
            </w:r>
            <w:r>
              <w:rPr>
                <w:rFonts w:hint="eastAsia"/>
                <w:color w:val="auto"/>
                <w:kern w:val="2"/>
                <w:sz w:val="24"/>
                <w:highlight w:val="none"/>
                <w:lang w:val="en-US" w:eastAsia="zh-CN"/>
              </w:rPr>
              <w:t>等要求</w:t>
            </w:r>
            <w:r>
              <w:rPr>
                <w:rFonts w:hint="eastAsia" w:ascii="Times New Roman" w:hAnsi="Times New Roman" w:eastAsia="宋体"/>
                <w:color w:val="auto"/>
                <w:kern w:val="2"/>
                <w:sz w:val="24"/>
                <w:highlight w:val="none"/>
              </w:rPr>
              <w:t>，尽量减少扬尘对环境的影响，采取以下扬尘防治措施：</w:t>
            </w:r>
          </w:p>
          <w:p>
            <w:pPr>
              <w:keepNext w:val="0"/>
              <w:keepLines w:val="0"/>
              <w:pageBreakBefore w:val="0"/>
              <w:widowControl w:val="0"/>
              <w:kinsoku/>
              <w:wordWrap/>
              <w:overflowPunct/>
              <w:topLinePunct w:val="0"/>
              <w:autoSpaceDE/>
              <w:autoSpaceDN/>
              <w:bidi w:val="0"/>
              <w:spacing w:after="0" w:line="360" w:lineRule="auto"/>
              <w:ind w:firstLine="480" w:firstLineChars="200"/>
              <w:jc w:val="both"/>
              <w:textAlignment w:val="center"/>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t>①采用符合规定强度的硬质材料，基础稳固，表面平整清洁。</w:t>
            </w:r>
          </w:p>
          <w:p>
            <w:pPr>
              <w:keepNext w:val="0"/>
              <w:keepLines w:val="0"/>
              <w:pageBreakBefore w:val="0"/>
              <w:widowControl w:val="0"/>
              <w:kinsoku/>
              <w:wordWrap/>
              <w:overflowPunct/>
              <w:topLinePunct w:val="0"/>
              <w:autoSpaceDE/>
              <w:autoSpaceDN/>
              <w:bidi w:val="0"/>
              <w:spacing w:after="0" w:line="360" w:lineRule="auto"/>
              <w:ind w:firstLine="480" w:firstLineChars="200"/>
              <w:jc w:val="both"/>
              <w:textAlignment w:val="center"/>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t>②施工现场架设2.5~3米高施工围挡，封闭施工现场，降低粉尘向大气中的排放，在主体结构施工阶段，应在建筑外立面设置喷雾降尘设备。</w:t>
            </w:r>
          </w:p>
          <w:p>
            <w:pPr>
              <w:keepNext w:val="0"/>
              <w:keepLines w:val="0"/>
              <w:pageBreakBefore w:val="0"/>
              <w:widowControl w:val="0"/>
              <w:kinsoku/>
              <w:wordWrap/>
              <w:overflowPunct/>
              <w:topLinePunct w:val="0"/>
              <w:autoSpaceDE/>
              <w:autoSpaceDN/>
              <w:bidi w:val="0"/>
              <w:spacing w:after="0" w:line="360" w:lineRule="auto"/>
              <w:ind w:firstLine="480" w:firstLineChars="200"/>
              <w:jc w:val="both"/>
              <w:textAlignment w:val="center"/>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t>③设置于交通路口的施工围挡，距地面1.2米以上部位应当保持通透；禁止施工单位在围挡外或者依托围挡堆放建筑垃圾和建筑材料；施工单位应当在施工现场出入口的醒目位置，按照规定标准设置施工公示牌。</w:t>
            </w:r>
          </w:p>
          <w:p>
            <w:pPr>
              <w:keepNext w:val="0"/>
              <w:keepLines w:val="0"/>
              <w:pageBreakBefore w:val="0"/>
              <w:widowControl w:val="0"/>
              <w:kinsoku/>
              <w:wordWrap/>
              <w:overflowPunct/>
              <w:topLinePunct w:val="0"/>
              <w:autoSpaceDE/>
              <w:autoSpaceDN/>
              <w:bidi w:val="0"/>
              <w:spacing w:after="0" w:line="360" w:lineRule="auto"/>
              <w:ind w:firstLine="480" w:firstLineChars="200"/>
              <w:jc w:val="both"/>
              <w:textAlignment w:val="center"/>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t>④土方作业阶段，采取洒水、覆盖等措施，达到作业区目测扬尘高度小于1.5m，不扩散到场区外。施工单位文明施工，定期对地面洒水，并对撒落在路面的渣土及时清除，清理阶段做到先洒水后清扫，避免产生扬尘。</w:t>
            </w:r>
          </w:p>
          <w:p>
            <w:pPr>
              <w:keepNext w:val="0"/>
              <w:keepLines w:val="0"/>
              <w:pageBreakBefore w:val="0"/>
              <w:widowControl w:val="0"/>
              <w:kinsoku/>
              <w:wordWrap/>
              <w:overflowPunct/>
              <w:topLinePunct w:val="0"/>
              <w:autoSpaceDE/>
              <w:autoSpaceDN/>
              <w:bidi w:val="0"/>
              <w:spacing w:after="0" w:line="360" w:lineRule="auto"/>
              <w:ind w:firstLine="480" w:firstLineChars="200"/>
              <w:jc w:val="both"/>
              <w:textAlignment w:val="center"/>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t>⑤施工车辆进出施工场地必须实施限速行驶，同时施工现场主要道路应根据用途进行硬化处理，土方应集中堆放。裸露的场地和集中堆放的土方应采取覆盖、固化或绿化等措施；在施工场地出口放置防尘垫和运输车辆冲洗设施及配套的地面排水沟、沉淀池。</w:t>
            </w:r>
          </w:p>
          <w:p>
            <w:pPr>
              <w:keepNext w:val="0"/>
              <w:keepLines w:val="0"/>
              <w:pageBreakBefore w:val="0"/>
              <w:widowControl w:val="0"/>
              <w:kinsoku/>
              <w:wordWrap/>
              <w:overflowPunct/>
              <w:topLinePunct w:val="0"/>
              <w:autoSpaceDE/>
              <w:autoSpaceDN/>
              <w:bidi w:val="0"/>
              <w:spacing w:after="0" w:line="360" w:lineRule="auto"/>
              <w:ind w:firstLine="480" w:firstLineChars="200"/>
              <w:jc w:val="both"/>
              <w:textAlignment w:val="center"/>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t>⑥运输车辆严禁超载行驶，必须采取密闭运输，装卸作业时必须采取有效防护措施，不得遗撒、泄漏、违规倾倒；运输时应选择对周围环境影响较小的运输路线，定时对运输路线进行清扫。</w:t>
            </w:r>
          </w:p>
          <w:p>
            <w:pPr>
              <w:keepNext w:val="0"/>
              <w:keepLines w:val="0"/>
              <w:pageBreakBefore w:val="0"/>
              <w:widowControl w:val="0"/>
              <w:kinsoku/>
              <w:wordWrap/>
              <w:overflowPunct/>
              <w:topLinePunct w:val="0"/>
              <w:autoSpaceDE/>
              <w:autoSpaceDN/>
              <w:bidi w:val="0"/>
              <w:spacing w:after="0" w:line="360" w:lineRule="auto"/>
              <w:ind w:firstLine="480" w:firstLineChars="200"/>
              <w:jc w:val="both"/>
              <w:textAlignment w:val="center"/>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t>⑦对易产生扬尘的堆放材料应采取覆盖措施；对粉末状材料应封闭存放；可能引起扬尘的材料及建筑垃圾搬运应有降尘措施。</w:t>
            </w:r>
          </w:p>
          <w:p>
            <w:pPr>
              <w:keepNext w:val="0"/>
              <w:keepLines w:val="0"/>
              <w:pageBreakBefore w:val="0"/>
              <w:widowControl w:val="0"/>
              <w:kinsoku/>
              <w:wordWrap/>
              <w:overflowPunct/>
              <w:topLinePunct w:val="0"/>
              <w:autoSpaceDE/>
              <w:autoSpaceDN/>
              <w:bidi w:val="0"/>
              <w:spacing w:after="0" w:line="360" w:lineRule="auto"/>
              <w:ind w:firstLine="480" w:firstLineChars="200"/>
              <w:jc w:val="both"/>
              <w:textAlignment w:val="center"/>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t>⑧禁止在风天进行渣土堆放作业，建材堆放地点要相对集中，建筑垃圾应及时清运，并对堆场以防尘布覆盖，禁止露天堆放。遇有四级以上大风天气，不应进行土方回填、转运以及其他可能产生扬尘污染的施工。</w:t>
            </w:r>
          </w:p>
          <w:p>
            <w:pPr>
              <w:keepNext w:val="0"/>
              <w:keepLines w:val="0"/>
              <w:pageBreakBefore w:val="0"/>
              <w:widowControl w:val="0"/>
              <w:kinsoku/>
              <w:wordWrap/>
              <w:overflowPunct/>
              <w:topLinePunct w:val="0"/>
              <w:autoSpaceDE/>
              <w:autoSpaceDN/>
              <w:bidi w:val="0"/>
              <w:spacing w:after="0" w:line="360" w:lineRule="auto"/>
              <w:ind w:firstLine="480" w:firstLineChars="200"/>
              <w:jc w:val="both"/>
              <w:textAlignment w:val="center"/>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t>⑨进行机械剔凿或切割作业时，作业面局部应遮挡、掩盖或采取水淋等降尘措施。施工现场应建立封闭式垃圾池。建筑物内施工垃圾的清运，应采用相应容器或管道运输，严禁高空抛掷。结构施工、装饰装修阶段，作业区目测扬尘高度小于0.5m，施工现场非作业区达到目测无扬尘的要求。</w:t>
            </w:r>
          </w:p>
          <w:p>
            <w:pPr>
              <w:keepNext w:val="0"/>
              <w:keepLines w:val="0"/>
              <w:pageBreakBefore w:val="0"/>
              <w:widowControl w:val="0"/>
              <w:kinsoku/>
              <w:wordWrap/>
              <w:overflowPunct/>
              <w:topLinePunct w:val="0"/>
              <w:autoSpaceDE/>
              <w:autoSpaceDN/>
              <w:bidi w:val="0"/>
              <w:spacing w:after="0" w:line="360" w:lineRule="auto"/>
              <w:ind w:firstLine="480" w:firstLineChars="200"/>
              <w:jc w:val="both"/>
              <w:textAlignment w:val="center"/>
              <w:rPr>
                <w:rFonts w:hint="eastAsia" w:ascii="Times New Roman" w:hAnsi="Times New Roman" w:eastAsia="宋体"/>
                <w:color w:val="auto"/>
                <w:kern w:val="2"/>
                <w:sz w:val="24"/>
                <w:highlight w:val="none"/>
                <w:lang w:eastAsia="zh-CN"/>
              </w:rPr>
            </w:pPr>
            <w:r>
              <w:rPr>
                <w:rFonts w:hint="eastAsia" w:ascii="Times New Roman" w:hAnsi="Times New Roman" w:eastAsia="宋体"/>
                <w:color w:val="auto"/>
                <w:kern w:val="2"/>
                <w:sz w:val="24"/>
                <w:highlight w:val="none"/>
              </w:rPr>
              <w:t>⑩风速大于3m/s时应停止施工</w:t>
            </w:r>
            <w:r>
              <w:rPr>
                <w:rFonts w:hint="eastAsia" w:ascii="Times New Roman" w:hAnsi="Times New Roman" w:eastAsia="宋体"/>
                <w:color w:val="auto"/>
                <w:kern w:val="2"/>
                <w:sz w:val="24"/>
                <w:highlight w:val="none"/>
                <w:lang w:eastAsia="zh-CN"/>
              </w:rPr>
              <w:t>。</w:t>
            </w:r>
          </w:p>
          <w:p>
            <w:pPr>
              <w:keepNext w:val="0"/>
              <w:keepLines w:val="0"/>
              <w:pageBreakBefore w:val="0"/>
              <w:widowControl w:val="0"/>
              <w:kinsoku/>
              <w:wordWrap/>
              <w:overflowPunct/>
              <w:topLinePunct w:val="0"/>
              <w:autoSpaceDE/>
              <w:autoSpaceDN/>
              <w:bidi w:val="0"/>
              <w:spacing w:after="0" w:line="360" w:lineRule="auto"/>
              <w:ind w:firstLine="482" w:firstLineChars="200"/>
              <w:jc w:val="both"/>
              <w:rPr>
                <w:rFonts w:ascii="Times New Roman" w:hAnsi="Times New Roman" w:eastAsia="宋体"/>
                <w:b/>
                <w:bCs/>
                <w:color w:val="auto"/>
                <w:kern w:val="2"/>
                <w:sz w:val="24"/>
                <w:highlight w:val="none"/>
              </w:rPr>
            </w:pPr>
            <w:r>
              <w:rPr>
                <w:rFonts w:hint="eastAsia" w:ascii="Times New Roman" w:hAnsi="Times New Roman" w:eastAsia="宋体"/>
                <w:b/>
                <w:color w:val="auto"/>
                <w:kern w:val="2"/>
                <w:sz w:val="24"/>
                <w:highlight w:val="none"/>
              </w:rPr>
              <w:t>（2）</w:t>
            </w:r>
            <w:r>
              <w:rPr>
                <w:rFonts w:hint="eastAsia" w:ascii="Times New Roman" w:hAnsi="Times New Roman" w:eastAsia="宋体"/>
                <w:b/>
                <w:bCs/>
                <w:color w:val="auto"/>
                <w:kern w:val="2"/>
                <w:sz w:val="24"/>
                <w:highlight w:val="none"/>
              </w:rPr>
              <w:t>施工机械废气</w:t>
            </w:r>
          </w:p>
          <w:p>
            <w:pPr>
              <w:keepNext w:val="0"/>
              <w:keepLines w:val="0"/>
              <w:pageBreakBefore w:val="0"/>
              <w:widowControl w:val="0"/>
              <w:kinsoku/>
              <w:wordWrap/>
              <w:overflowPunct/>
              <w:topLinePunct w:val="0"/>
              <w:autoSpaceDE/>
              <w:autoSpaceDN/>
              <w:bidi w:val="0"/>
              <w:spacing w:after="0" w:line="360" w:lineRule="auto"/>
              <w:ind w:firstLine="480" w:firstLineChars="200"/>
              <w:jc w:val="both"/>
              <w:rPr>
                <w:rFonts w:ascii="Times New Roman" w:hAnsi="Times New Roman" w:eastAsia="宋体"/>
                <w:bCs/>
                <w:color w:val="auto"/>
                <w:kern w:val="2"/>
                <w:sz w:val="24"/>
                <w:highlight w:val="none"/>
              </w:rPr>
            </w:pPr>
            <w:r>
              <w:rPr>
                <w:rFonts w:hint="eastAsia" w:ascii="Times New Roman" w:hAnsi="Times New Roman" w:eastAsia="宋体"/>
                <w:bCs/>
                <w:color w:val="auto"/>
                <w:kern w:val="2"/>
                <w:sz w:val="24"/>
                <w:highlight w:val="none"/>
              </w:rPr>
              <w:t>施工期间，使用机动车运送原材料、设备和建筑机械设备的运转，均会排放一定量的CO、NO</w:t>
            </w:r>
            <w:r>
              <w:rPr>
                <w:rFonts w:hint="eastAsia" w:ascii="Times New Roman" w:hAnsi="Times New Roman" w:eastAsia="宋体"/>
                <w:bCs/>
                <w:color w:val="auto"/>
                <w:kern w:val="2"/>
                <w:sz w:val="24"/>
                <w:highlight w:val="none"/>
                <w:vertAlign w:val="subscript"/>
              </w:rPr>
              <w:t>2</w:t>
            </w:r>
            <w:r>
              <w:rPr>
                <w:rFonts w:hint="eastAsia" w:ascii="Times New Roman" w:hAnsi="Times New Roman" w:eastAsia="宋体"/>
                <w:bCs/>
                <w:color w:val="auto"/>
                <w:kern w:val="2"/>
                <w:sz w:val="24"/>
                <w:highlight w:val="none"/>
              </w:rPr>
              <w:t>以及未完全燃烧的HC等，其特点是排放量小，且属间断性无组织排放，由于</w:t>
            </w:r>
            <w:r>
              <w:rPr>
                <w:rFonts w:hint="eastAsia" w:ascii="Times New Roman" w:hAnsi="Times New Roman" w:eastAsia="宋体"/>
                <w:color w:val="auto"/>
                <w:kern w:val="2"/>
                <w:sz w:val="24"/>
                <w:highlight w:val="none"/>
              </w:rPr>
              <w:t>项目施工期短，施工机械使用期短，尾气排放量也较少，再加上该项目所处区域较开阔，</w:t>
            </w:r>
            <w:r>
              <w:rPr>
                <w:rFonts w:hint="eastAsia" w:ascii="Times New Roman" w:hAnsi="Times New Roman" w:eastAsia="宋体"/>
                <w:bCs/>
                <w:color w:val="auto"/>
                <w:kern w:val="2"/>
                <w:sz w:val="24"/>
                <w:highlight w:val="none"/>
              </w:rPr>
              <w:t>因此自然扩散可达到相应的排放标准。对此，本环评要求在施工期内多加注意施工设备的维护，使其能够正常的运行，从而可以避免施工机械因病态而使产生的废气超标的现象发生。</w:t>
            </w:r>
          </w:p>
          <w:p>
            <w:pPr>
              <w:keepNext w:val="0"/>
              <w:keepLines w:val="0"/>
              <w:pageBreakBefore w:val="0"/>
              <w:widowControl w:val="0"/>
              <w:kinsoku/>
              <w:wordWrap/>
              <w:overflowPunct/>
              <w:topLinePunct w:val="0"/>
              <w:autoSpaceDE/>
              <w:autoSpaceDN/>
              <w:bidi w:val="0"/>
              <w:spacing w:after="0" w:line="360" w:lineRule="auto"/>
              <w:ind w:firstLine="482" w:firstLineChars="200"/>
              <w:jc w:val="both"/>
              <w:rPr>
                <w:rFonts w:ascii="Times New Roman" w:hAnsi="Times New Roman" w:eastAsia="宋体"/>
                <w:b/>
                <w:bCs/>
                <w:color w:val="auto"/>
                <w:kern w:val="2"/>
                <w:sz w:val="24"/>
                <w:highlight w:val="none"/>
              </w:rPr>
            </w:pPr>
            <w:r>
              <w:rPr>
                <w:rFonts w:hint="eastAsia" w:ascii="Times New Roman" w:hAnsi="Times New Roman" w:eastAsia="宋体"/>
                <w:b/>
                <w:color w:val="auto"/>
                <w:kern w:val="2"/>
                <w:sz w:val="24"/>
                <w:highlight w:val="none"/>
              </w:rPr>
              <w:t>（3）</w:t>
            </w:r>
            <w:r>
              <w:rPr>
                <w:rFonts w:hint="eastAsia" w:ascii="Times New Roman" w:hAnsi="Times New Roman" w:eastAsia="宋体"/>
                <w:b/>
                <w:bCs/>
                <w:color w:val="auto"/>
                <w:kern w:val="2"/>
                <w:sz w:val="24"/>
                <w:highlight w:val="none"/>
              </w:rPr>
              <w:t>装修废气</w:t>
            </w:r>
          </w:p>
          <w:p>
            <w:pPr>
              <w:keepNext w:val="0"/>
              <w:keepLines w:val="0"/>
              <w:pageBreakBefore w:val="0"/>
              <w:widowControl w:val="0"/>
              <w:kinsoku/>
              <w:wordWrap/>
              <w:overflowPunct/>
              <w:topLinePunct w:val="0"/>
              <w:autoSpaceDE/>
              <w:autoSpaceDN/>
              <w:bidi w:val="0"/>
              <w:spacing w:after="0" w:line="360" w:lineRule="auto"/>
              <w:ind w:firstLine="480" w:firstLineChars="200"/>
              <w:jc w:val="both"/>
              <w:rPr>
                <w:rFonts w:ascii="Times New Roman" w:hAnsi="Times New Roman" w:eastAsia="宋体"/>
                <w:bCs/>
                <w:color w:val="auto"/>
                <w:kern w:val="2"/>
                <w:sz w:val="24"/>
                <w:highlight w:val="none"/>
              </w:rPr>
            </w:pPr>
            <w:r>
              <w:rPr>
                <w:rFonts w:hint="eastAsia" w:ascii="Times New Roman" w:hAnsi="Times New Roman" w:eastAsia="宋体"/>
                <w:bCs/>
                <w:color w:val="auto"/>
                <w:kern w:val="2"/>
                <w:sz w:val="24"/>
                <w:highlight w:val="none"/>
              </w:rPr>
              <w:t xml:space="preserve">装修废气主要产生于室外装修阶段。装修废气的主要污染因子是作为稀释剂的二甲苯，此外还有较少量的醋酸丁酯、乙醇、丁醇等，该废气的排放属无组织排放。装修阶段的装修废气排放周期短，作业点分散，装修期间应加强室内的通风换气，装修结束完成以后也应每天进行通风换气一至二个月才能运营。 </w:t>
            </w:r>
          </w:p>
          <w:p>
            <w:pPr>
              <w:keepNext w:val="0"/>
              <w:keepLines w:val="0"/>
              <w:pageBreakBefore w:val="0"/>
              <w:widowControl w:val="0"/>
              <w:kinsoku/>
              <w:wordWrap/>
              <w:overflowPunct/>
              <w:topLinePunct w:val="0"/>
              <w:autoSpaceDE/>
              <w:autoSpaceDN/>
              <w:bidi w:val="0"/>
              <w:spacing w:after="0" w:line="360" w:lineRule="auto"/>
              <w:ind w:firstLine="480" w:firstLineChars="200"/>
              <w:jc w:val="both"/>
              <w:rPr>
                <w:rFonts w:ascii="Times New Roman" w:hAnsi="Times New Roman" w:eastAsia="宋体"/>
                <w:bCs/>
                <w:color w:val="auto"/>
                <w:kern w:val="2"/>
                <w:sz w:val="24"/>
                <w:highlight w:val="none"/>
              </w:rPr>
            </w:pPr>
            <w:r>
              <w:rPr>
                <w:rFonts w:hint="eastAsia" w:ascii="Times New Roman" w:hAnsi="Times New Roman" w:eastAsia="宋体"/>
                <w:bCs/>
                <w:color w:val="auto"/>
                <w:kern w:val="2"/>
                <w:sz w:val="24"/>
                <w:highlight w:val="none"/>
              </w:rPr>
              <w:t>本环评要求建设单位在装修期间应采用优质环保的装修材料，减少废气中有害物质的排放。</w:t>
            </w:r>
          </w:p>
          <w:p>
            <w:pPr>
              <w:keepNext w:val="0"/>
              <w:keepLines w:val="0"/>
              <w:pageBreakBefore w:val="0"/>
              <w:widowControl w:val="0"/>
              <w:kinsoku/>
              <w:wordWrap/>
              <w:overflowPunct/>
              <w:topLinePunct w:val="0"/>
              <w:autoSpaceDE/>
              <w:autoSpaceDN/>
              <w:bidi w:val="0"/>
              <w:spacing w:after="0" w:line="360" w:lineRule="auto"/>
              <w:ind w:firstLine="482" w:firstLineChars="200"/>
              <w:jc w:val="both"/>
              <w:rPr>
                <w:rFonts w:hint="eastAsia" w:ascii="Times New Roman" w:hAnsi="Times New Roman" w:eastAsia="宋体" w:cs="Times New Roman"/>
                <w:b/>
                <w:bCs w:val="0"/>
                <w:color w:val="auto"/>
                <w:kern w:val="2"/>
                <w:sz w:val="24"/>
                <w:highlight w:val="none"/>
              </w:rPr>
            </w:pPr>
            <w:r>
              <w:rPr>
                <w:rFonts w:hint="eastAsia" w:ascii="Times New Roman" w:hAnsi="Times New Roman" w:eastAsia="宋体" w:cs="Times New Roman"/>
                <w:b/>
                <w:bCs w:val="0"/>
                <w:color w:val="auto"/>
                <w:kern w:val="2"/>
                <w:sz w:val="24"/>
                <w:highlight w:val="none"/>
              </w:rPr>
              <w:t>综上所述，评价认为项目在进行以上防治措施后，其施工废气可实现达标排放。</w:t>
            </w:r>
          </w:p>
          <w:p>
            <w:pPr>
              <w:keepNext w:val="0"/>
              <w:keepLines w:val="0"/>
              <w:pageBreakBefore w:val="0"/>
              <w:widowControl w:val="0"/>
              <w:kinsoku/>
              <w:wordWrap/>
              <w:overflowPunct/>
              <w:topLinePunct w:val="0"/>
              <w:autoSpaceDE/>
              <w:autoSpaceDN/>
              <w:bidi w:val="0"/>
              <w:spacing w:after="0" w:line="360" w:lineRule="auto"/>
              <w:ind w:firstLine="482" w:firstLineChars="200"/>
              <w:jc w:val="both"/>
              <w:textAlignment w:val="center"/>
              <w:rPr>
                <w:rFonts w:ascii="Times New Roman" w:hAnsi="Times New Roman" w:eastAsia="宋体"/>
                <w:b/>
                <w:color w:val="auto"/>
                <w:kern w:val="2"/>
                <w:sz w:val="24"/>
                <w:highlight w:val="none"/>
              </w:rPr>
            </w:pPr>
            <w:r>
              <w:rPr>
                <w:rFonts w:hint="eastAsia" w:ascii="Times New Roman" w:hAnsi="Times New Roman" w:eastAsia="宋体"/>
                <w:b/>
                <w:color w:val="auto"/>
                <w:kern w:val="2"/>
                <w:sz w:val="24"/>
                <w:highlight w:val="none"/>
              </w:rPr>
              <w:t>2、施工期废水产生及治理措施</w:t>
            </w:r>
          </w:p>
          <w:p>
            <w:pPr>
              <w:keepNext w:val="0"/>
              <w:keepLines w:val="0"/>
              <w:pageBreakBefore w:val="0"/>
              <w:widowControl w:val="0"/>
              <w:kinsoku/>
              <w:wordWrap/>
              <w:overflowPunct/>
              <w:topLinePunct w:val="0"/>
              <w:autoSpaceDE/>
              <w:autoSpaceDN/>
              <w:bidi w:val="0"/>
              <w:spacing w:after="0" w:line="360" w:lineRule="auto"/>
              <w:ind w:firstLine="480" w:firstLineChars="200"/>
              <w:jc w:val="both"/>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t>施工期的废水排放主要来自于施工人员的生活污水及施工废水。</w:t>
            </w:r>
          </w:p>
          <w:p>
            <w:pPr>
              <w:keepNext w:val="0"/>
              <w:keepLines w:val="0"/>
              <w:pageBreakBefore w:val="0"/>
              <w:widowControl w:val="0"/>
              <w:kinsoku/>
              <w:wordWrap/>
              <w:overflowPunct/>
              <w:topLinePunct w:val="0"/>
              <w:autoSpaceDE/>
              <w:autoSpaceDN/>
              <w:bidi w:val="0"/>
              <w:spacing w:after="0" w:line="360" w:lineRule="auto"/>
              <w:ind w:firstLine="482" w:firstLineChars="200"/>
              <w:jc w:val="both"/>
              <w:rPr>
                <w:rFonts w:ascii="Times New Roman" w:hAnsi="Times New Roman" w:eastAsia="宋体"/>
                <w:b/>
                <w:color w:val="auto"/>
                <w:kern w:val="2"/>
                <w:sz w:val="24"/>
                <w:highlight w:val="none"/>
              </w:rPr>
            </w:pPr>
            <w:r>
              <w:rPr>
                <w:rFonts w:hint="eastAsia" w:ascii="Times New Roman" w:hAnsi="Times New Roman" w:eastAsia="宋体"/>
                <w:b/>
                <w:color w:val="auto"/>
                <w:kern w:val="2"/>
                <w:sz w:val="24"/>
                <w:highlight w:val="none"/>
              </w:rPr>
              <w:t>（1）生活污水</w:t>
            </w:r>
          </w:p>
          <w:p>
            <w:pPr>
              <w:keepNext w:val="0"/>
              <w:keepLines w:val="0"/>
              <w:pageBreakBefore w:val="0"/>
              <w:widowControl w:val="0"/>
              <w:kinsoku/>
              <w:wordWrap/>
              <w:overflowPunct/>
              <w:topLinePunct w:val="0"/>
              <w:autoSpaceDE/>
              <w:autoSpaceDN/>
              <w:bidi w:val="0"/>
              <w:spacing w:after="0" w:line="360" w:lineRule="auto"/>
              <w:ind w:firstLine="480" w:firstLineChars="200"/>
              <w:jc w:val="both"/>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t>按施工组织，由于项目施工期人员均来自于当地民工，因此，不设工人食宿，高峰期施工人员按</w:t>
            </w:r>
            <w:r>
              <w:rPr>
                <w:rFonts w:hint="eastAsia" w:ascii="Times New Roman" w:hAnsi="Times New Roman" w:eastAsia="宋体"/>
                <w:color w:val="auto"/>
                <w:kern w:val="2"/>
                <w:sz w:val="24"/>
                <w:highlight w:val="none"/>
                <w:lang w:val="en-US" w:eastAsia="zh-CN"/>
              </w:rPr>
              <w:t>50</w:t>
            </w:r>
            <w:r>
              <w:rPr>
                <w:rFonts w:hint="eastAsia" w:ascii="Times New Roman" w:hAnsi="Times New Roman" w:eastAsia="宋体"/>
                <w:color w:val="auto"/>
                <w:kern w:val="2"/>
                <w:sz w:val="24"/>
                <w:highlight w:val="none"/>
              </w:rPr>
              <w:t>人计算。</w:t>
            </w:r>
          </w:p>
          <w:p>
            <w:pPr>
              <w:keepNext w:val="0"/>
              <w:keepLines w:val="0"/>
              <w:pageBreakBefore w:val="0"/>
              <w:widowControl w:val="0"/>
              <w:kinsoku/>
              <w:wordWrap/>
              <w:overflowPunct/>
              <w:topLinePunct w:val="0"/>
              <w:autoSpaceDE/>
              <w:autoSpaceDN/>
              <w:bidi w:val="0"/>
              <w:spacing w:after="0" w:line="360" w:lineRule="auto"/>
              <w:ind w:firstLine="480" w:firstLineChars="200"/>
              <w:jc w:val="both"/>
              <w:rPr>
                <w:rFonts w:hint="default" w:ascii="Times New Roman" w:hAnsi="Times New Roman" w:eastAsia="宋体"/>
                <w:bCs/>
                <w:color w:val="auto"/>
                <w:kern w:val="2"/>
                <w:sz w:val="24"/>
                <w:highlight w:val="none"/>
                <w:lang w:val="en-US" w:eastAsia="zh-CN"/>
              </w:rPr>
            </w:pPr>
            <w:r>
              <w:rPr>
                <w:rFonts w:hint="eastAsia" w:ascii="Times New Roman" w:hAnsi="Times New Roman" w:eastAsia="宋体"/>
                <w:color w:val="auto"/>
                <w:kern w:val="2"/>
                <w:sz w:val="24"/>
                <w:highlight w:val="none"/>
              </w:rPr>
              <w:t>施工人员的生活污水中主要污染物为BOD</w:t>
            </w:r>
            <w:r>
              <w:rPr>
                <w:rFonts w:hint="eastAsia" w:ascii="Times New Roman" w:hAnsi="Times New Roman" w:eastAsia="宋体"/>
                <w:color w:val="auto"/>
                <w:kern w:val="2"/>
                <w:sz w:val="24"/>
                <w:highlight w:val="none"/>
                <w:vertAlign w:val="subscript"/>
              </w:rPr>
              <w:t>5</w:t>
            </w:r>
            <w:r>
              <w:rPr>
                <w:rFonts w:hint="eastAsia" w:ascii="Times New Roman" w:hAnsi="Times New Roman" w:eastAsia="宋体"/>
                <w:color w:val="auto"/>
                <w:kern w:val="2"/>
                <w:sz w:val="24"/>
                <w:highlight w:val="none"/>
              </w:rPr>
              <w:t>、COD、NH</w:t>
            </w:r>
            <w:r>
              <w:rPr>
                <w:rFonts w:hint="eastAsia" w:ascii="Times New Roman" w:hAnsi="Times New Roman" w:eastAsia="宋体"/>
                <w:color w:val="auto"/>
                <w:kern w:val="2"/>
                <w:sz w:val="24"/>
                <w:highlight w:val="none"/>
                <w:vertAlign w:val="subscript"/>
              </w:rPr>
              <w:t>3</w:t>
            </w:r>
            <w:r>
              <w:rPr>
                <w:rFonts w:hint="eastAsia" w:ascii="Times New Roman" w:hAnsi="Times New Roman" w:eastAsia="宋体"/>
                <w:color w:val="auto"/>
                <w:kern w:val="2"/>
                <w:sz w:val="24"/>
                <w:highlight w:val="none"/>
              </w:rPr>
              <w:t>-N和SS等，其浓度一般分别为150mg/L、350mg/L、40mg/L和350mg/L，评价按</w:t>
            </w:r>
            <w:r>
              <w:rPr>
                <w:rFonts w:hint="eastAsia" w:ascii="Times New Roman" w:hAnsi="Times New Roman" w:eastAsia="宋体"/>
                <w:color w:val="auto"/>
                <w:kern w:val="2"/>
                <w:sz w:val="24"/>
                <w:highlight w:val="none"/>
                <w:lang w:val="en-US" w:eastAsia="zh-CN"/>
              </w:rPr>
              <w:t>50</w:t>
            </w:r>
            <w:r>
              <w:rPr>
                <w:rFonts w:hint="eastAsia" w:ascii="Times New Roman" w:hAnsi="Times New Roman" w:eastAsia="宋体"/>
                <w:color w:val="auto"/>
                <w:kern w:val="2"/>
                <w:sz w:val="24"/>
                <w:highlight w:val="none"/>
              </w:rPr>
              <w:t>人计，</w:t>
            </w:r>
            <w:r>
              <w:rPr>
                <w:color w:val="auto"/>
                <w:sz w:val="24"/>
                <w:highlight w:val="none"/>
              </w:rPr>
              <w:t>污水产生量20L/d人计，</w:t>
            </w:r>
            <w:r>
              <w:rPr>
                <w:rFonts w:hint="eastAsia" w:ascii="Times New Roman" w:hAnsi="Times New Roman" w:eastAsia="宋体"/>
                <w:color w:val="auto"/>
                <w:kern w:val="2"/>
                <w:sz w:val="24"/>
                <w:highlight w:val="none"/>
              </w:rPr>
              <w:t>则施工人员生活用水量为</w:t>
            </w:r>
            <w:r>
              <w:rPr>
                <w:rFonts w:hint="eastAsia" w:ascii="Times New Roman" w:hAnsi="Times New Roman" w:eastAsia="宋体"/>
                <w:color w:val="auto"/>
                <w:kern w:val="2"/>
                <w:sz w:val="24"/>
                <w:highlight w:val="none"/>
                <w:lang w:val="en-US" w:eastAsia="zh-CN"/>
              </w:rPr>
              <w:t>1</w:t>
            </w:r>
            <w:r>
              <w:rPr>
                <w:rFonts w:hint="eastAsia" w:ascii="Times New Roman" w:hAnsi="Times New Roman" w:eastAsia="宋体"/>
                <w:color w:val="auto"/>
                <w:kern w:val="2"/>
                <w:sz w:val="24"/>
                <w:highlight w:val="none"/>
              </w:rPr>
              <w:t>t/d。</w:t>
            </w:r>
            <w:r>
              <w:rPr>
                <w:rFonts w:hint="eastAsia" w:ascii="Times New Roman" w:hAnsi="Times New Roman" w:eastAsia="宋体"/>
                <w:bCs/>
                <w:color w:val="auto"/>
                <w:kern w:val="2"/>
                <w:sz w:val="24"/>
                <w:highlight w:val="none"/>
              </w:rPr>
              <w:t>施工人员生活污水</w:t>
            </w:r>
            <w:r>
              <w:rPr>
                <w:rFonts w:hint="eastAsia" w:ascii="宋体" w:hAnsi="宋体" w:eastAsia="宋体" w:cs="宋体"/>
                <w:color w:val="auto"/>
                <w:kern w:val="0"/>
                <w:sz w:val="24"/>
                <w:highlight w:val="none"/>
              </w:rPr>
              <w:t>经</w:t>
            </w:r>
            <w:r>
              <w:rPr>
                <w:rFonts w:hint="eastAsia" w:ascii="宋体" w:hAnsi="宋体" w:eastAsia="宋体" w:cs="宋体"/>
                <w:color w:val="auto"/>
                <w:kern w:val="0"/>
                <w:sz w:val="24"/>
                <w:highlight w:val="none"/>
                <w:lang w:val="en-US" w:eastAsia="zh-CN"/>
              </w:rPr>
              <w:t>已建的</w:t>
            </w:r>
            <w:r>
              <w:rPr>
                <w:rFonts w:hint="eastAsia" w:ascii="宋体" w:hAnsi="宋体" w:cs="宋体"/>
                <w:color w:val="auto"/>
                <w:kern w:val="0"/>
                <w:sz w:val="24"/>
                <w:highlight w:val="none"/>
                <w:lang w:val="en-US" w:eastAsia="zh-CN"/>
              </w:rPr>
              <w:t>预处理池和</w:t>
            </w:r>
            <w:r>
              <w:rPr>
                <w:rFonts w:hint="eastAsia" w:ascii="宋体" w:hAnsi="宋体" w:eastAsia="宋体" w:cs="宋体"/>
                <w:color w:val="auto"/>
                <w:kern w:val="0"/>
                <w:sz w:val="24"/>
                <w:highlight w:val="none"/>
                <w:lang w:val="en-US" w:eastAsia="zh-CN"/>
              </w:rPr>
              <w:t>污水处理站</w:t>
            </w:r>
            <w:r>
              <w:rPr>
                <w:rFonts w:hint="eastAsia" w:ascii="宋体" w:hAnsi="宋体" w:eastAsia="宋体" w:cs="宋体"/>
                <w:color w:val="auto"/>
                <w:kern w:val="0"/>
                <w:sz w:val="24"/>
                <w:highlight w:val="none"/>
              </w:rPr>
              <w:t>处理后</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经管网输送至</w:t>
            </w:r>
            <w:r>
              <w:rPr>
                <w:rFonts w:hint="eastAsia" w:ascii="宋体" w:hAnsi="宋体" w:eastAsia="宋体" w:cs="宋体"/>
                <w:color w:val="auto"/>
                <w:kern w:val="0"/>
                <w:sz w:val="24"/>
                <w:highlight w:val="none"/>
                <w:lang w:val="en-US" w:eastAsia="zh-CN"/>
              </w:rPr>
              <w:t>园</w:t>
            </w:r>
            <w:r>
              <w:rPr>
                <w:rFonts w:hint="eastAsia" w:ascii="宋体" w:hAnsi="宋体" w:eastAsia="宋体" w:cs="宋体"/>
                <w:color w:val="auto"/>
                <w:kern w:val="0"/>
                <w:sz w:val="24"/>
                <w:highlight w:val="none"/>
              </w:rPr>
              <w:t>区污水处理厂处理。</w:t>
            </w:r>
          </w:p>
          <w:p>
            <w:pPr>
              <w:keepNext w:val="0"/>
              <w:keepLines w:val="0"/>
              <w:pageBreakBefore w:val="0"/>
              <w:widowControl w:val="0"/>
              <w:kinsoku/>
              <w:wordWrap/>
              <w:overflowPunct/>
              <w:topLinePunct w:val="0"/>
              <w:autoSpaceDE/>
              <w:autoSpaceDN/>
              <w:bidi w:val="0"/>
              <w:spacing w:after="0" w:line="360" w:lineRule="auto"/>
              <w:ind w:firstLine="482" w:firstLineChars="200"/>
              <w:jc w:val="both"/>
              <w:rPr>
                <w:rFonts w:ascii="Times New Roman" w:hAnsi="Times New Roman" w:eastAsia="宋体"/>
                <w:b/>
                <w:color w:val="auto"/>
                <w:kern w:val="2"/>
                <w:sz w:val="24"/>
                <w:highlight w:val="none"/>
              </w:rPr>
            </w:pPr>
            <w:r>
              <w:rPr>
                <w:rFonts w:hint="eastAsia" w:ascii="Times New Roman" w:hAnsi="Times New Roman" w:eastAsia="宋体"/>
                <w:b/>
                <w:color w:val="auto"/>
                <w:kern w:val="2"/>
                <w:sz w:val="24"/>
                <w:highlight w:val="none"/>
              </w:rPr>
              <w:t>（2）施工废水</w:t>
            </w:r>
          </w:p>
          <w:p>
            <w:pPr>
              <w:keepNext w:val="0"/>
              <w:keepLines w:val="0"/>
              <w:pageBreakBefore w:val="0"/>
              <w:widowControl w:val="0"/>
              <w:kinsoku/>
              <w:wordWrap/>
              <w:overflowPunct/>
              <w:topLinePunct w:val="0"/>
              <w:autoSpaceDE/>
              <w:autoSpaceDN/>
              <w:bidi w:val="0"/>
              <w:spacing w:after="0" w:line="360" w:lineRule="auto"/>
              <w:ind w:firstLine="480" w:firstLineChars="200"/>
              <w:jc w:val="both"/>
              <w:rPr>
                <w:color w:val="auto"/>
                <w:kern w:val="2"/>
                <w:sz w:val="24"/>
                <w:highlight w:val="none"/>
              </w:rPr>
            </w:pPr>
            <w:r>
              <w:rPr>
                <w:rFonts w:hint="eastAsia" w:ascii="Times New Roman" w:hAnsi="Times New Roman" w:eastAsia="宋体"/>
                <w:color w:val="auto"/>
                <w:kern w:val="2"/>
                <w:sz w:val="24"/>
                <w:highlight w:val="none"/>
              </w:rPr>
              <w:t>根据项目设计，其施工期间外购商品混凝土，因此，施工废水主要来自车辆冲洗废水以及墙面冲洗、构件与建筑材料的保潮、墙体浸润等。在工程的整个施工期，预计每天产生施工废水约</w:t>
            </w:r>
            <w:r>
              <w:rPr>
                <w:rFonts w:hint="eastAsia" w:ascii="Times New Roman" w:hAnsi="Times New Roman" w:eastAsia="宋体"/>
                <w:color w:val="auto"/>
                <w:kern w:val="2"/>
                <w:sz w:val="24"/>
                <w:highlight w:val="none"/>
                <w:lang w:val="en-US" w:eastAsia="zh-CN"/>
              </w:rPr>
              <w:t>8</w:t>
            </w:r>
            <w:r>
              <w:rPr>
                <w:rFonts w:hint="eastAsia" w:ascii="Times New Roman" w:hAnsi="Times New Roman" w:eastAsia="宋体"/>
                <w:color w:val="auto"/>
                <w:kern w:val="2"/>
                <w:sz w:val="24"/>
                <w:highlight w:val="none"/>
              </w:rPr>
              <w:t>m</w:t>
            </w:r>
            <w:r>
              <w:rPr>
                <w:rFonts w:hint="eastAsia" w:ascii="Times New Roman" w:hAnsi="Times New Roman" w:eastAsia="宋体"/>
                <w:color w:val="auto"/>
                <w:kern w:val="2"/>
                <w:sz w:val="24"/>
                <w:highlight w:val="none"/>
                <w:vertAlign w:val="superscript"/>
              </w:rPr>
              <w:t>3</w:t>
            </w:r>
            <w:r>
              <w:rPr>
                <w:rFonts w:hint="eastAsia" w:ascii="Times New Roman" w:hAnsi="Times New Roman" w:eastAsia="宋体"/>
                <w:color w:val="auto"/>
                <w:kern w:val="2"/>
                <w:sz w:val="24"/>
                <w:highlight w:val="none"/>
              </w:rPr>
              <w:t>，其中废水中主要以SS污染为主，其值为400～1000mg/l，出于节水以及避免对本区域的地表水污染考虑，本评价要求施工单位应设临时</w:t>
            </w:r>
            <w:r>
              <w:rPr>
                <w:rFonts w:hint="eastAsia" w:ascii="Times New Roman" w:hAnsi="Times New Roman" w:eastAsia="宋体"/>
                <w:color w:val="auto"/>
                <w:kern w:val="2"/>
                <w:sz w:val="24"/>
                <w:highlight w:val="none"/>
                <w:lang w:val="en-US" w:eastAsia="zh-CN"/>
              </w:rPr>
              <w:t>沉淀</w:t>
            </w:r>
            <w:r>
              <w:rPr>
                <w:rFonts w:hint="eastAsia" w:ascii="Times New Roman" w:hAnsi="Times New Roman" w:eastAsia="宋体"/>
                <w:color w:val="auto"/>
                <w:kern w:val="2"/>
                <w:sz w:val="24"/>
                <w:highlight w:val="none"/>
              </w:rPr>
              <w:t>池，</w:t>
            </w:r>
            <w:r>
              <w:rPr>
                <w:rFonts w:hint="eastAsia" w:ascii="Times New Roman" w:hAnsi="Times New Roman" w:eastAsia="宋体"/>
                <w:color w:val="auto"/>
                <w:kern w:val="2"/>
                <w:sz w:val="24"/>
                <w:highlight w:val="none"/>
                <w:lang w:val="en-US" w:eastAsia="zh-CN"/>
              </w:rPr>
              <w:t>混凝土养护废水、</w:t>
            </w:r>
            <w:r>
              <w:rPr>
                <w:rFonts w:hint="eastAsia" w:ascii="Times New Roman" w:hAnsi="Times New Roman" w:eastAsia="宋体"/>
                <w:color w:val="auto"/>
                <w:kern w:val="2"/>
                <w:sz w:val="24"/>
                <w:highlight w:val="none"/>
              </w:rPr>
              <w:t>车辆冲洗废水经</w:t>
            </w:r>
            <w:r>
              <w:rPr>
                <w:rFonts w:hint="eastAsia" w:ascii="Times New Roman" w:hAnsi="Times New Roman" w:eastAsia="宋体"/>
                <w:color w:val="auto"/>
                <w:kern w:val="2"/>
                <w:sz w:val="24"/>
                <w:highlight w:val="none"/>
                <w:lang w:val="en-US" w:eastAsia="zh-CN"/>
              </w:rPr>
              <w:t>沉淀</w:t>
            </w:r>
            <w:r>
              <w:rPr>
                <w:rFonts w:hint="eastAsia" w:ascii="Times New Roman" w:hAnsi="Times New Roman" w:eastAsia="宋体"/>
                <w:color w:val="auto"/>
                <w:kern w:val="2"/>
                <w:sz w:val="24"/>
                <w:highlight w:val="none"/>
              </w:rPr>
              <w:t>池处理后回用或施工期间洒水抑尘，禁止外排，池底泥沙作为固废运往建筑垃圾堆放场。</w:t>
            </w:r>
          </w:p>
          <w:p>
            <w:pPr>
              <w:keepNext w:val="0"/>
              <w:keepLines w:val="0"/>
              <w:pageBreakBefore w:val="0"/>
              <w:widowControl w:val="0"/>
              <w:kinsoku/>
              <w:wordWrap/>
              <w:overflowPunct/>
              <w:topLinePunct w:val="0"/>
              <w:autoSpaceDE/>
              <w:autoSpaceDN/>
              <w:bidi w:val="0"/>
              <w:spacing w:after="0" w:line="360" w:lineRule="auto"/>
              <w:ind w:firstLine="482" w:firstLineChars="200"/>
              <w:jc w:val="both"/>
              <w:rPr>
                <w:rFonts w:hint="default" w:ascii="Times New Roman" w:hAnsi="Times New Roman" w:eastAsia="宋体" w:cs="Times New Roman"/>
                <w:b/>
                <w:bCs w:val="0"/>
                <w:color w:val="auto"/>
                <w:kern w:val="2"/>
                <w:sz w:val="24"/>
                <w:highlight w:val="none"/>
                <w:lang w:val="en-US" w:eastAsia="zh-CN"/>
              </w:rPr>
            </w:pPr>
            <w:r>
              <w:rPr>
                <w:rFonts w:hint="eastAsia" w:ascii="Times New Roman" w:hAnsi="Times New Roman" w:eastAsia="宋体" w:cs="Times New Roman"/>
                <w:b/>
                <w:bCs w:val="0"/>
                <w:color w:val="auto"/>
                <w:kern w:val="2"/>
                <w:sz w:val="24"/>
                <w:highlight w:val="none"/>
                <w:lang w:val="en-US" w:eastAsia="zh-CN"/>
              </w:rPr>
              <w:t>施工产生的生活污水和施工废水经治理后对地表水体影响较小。</w:t>
            </w:r>
          </w:p>
          <w:p>
            <w:pPr>
              <w:keepNext w:val="0"/>
              <w:keepLines w:val="0"/>
              <w:pageBreakBefore w:val="0"/>
              <w:widowControl w:val="0"/>
              <w:kinsoku/>
              <w:wordWrap/>
              <w:overflowPunct/>
              <w:topLinePunct w:val="0"/>
              <w:autoSpaceDE/>
              <w:autoSpaceDN/>
              <w:bidi w:val="0"/>
              <w:spacing w:after="0" w:line="360" w:lineRule="auto"/>
              <w:ind w:firstLine="482" w:firstLineChars="200"/>
              <w:jc w:val="both"/>
              <w:textAlignment w:val="center"/>
              <w:rPr>
                <w:rFonts w:ascii="Times New Roman" w:hAnsi="Times New Roman" w:eastAsia="宋体"/>
                <w:b/>
                <w:color w:val="auto"/>
                <w:kern w:val="2"/>
                <w:sz w:val="24"/>
                <w:highlight w:val="none"/>
              </w:rPr>
            </w:pPr>
            <w:r>
              <w:rPr>
                <w:rFonts w:hint="eastAsia" w:ascii="Times New Roman" w:hAnsi="Times New Roman" w:eastAsia="宋体"/>
                <w:b/>
                <w:color w:val="auto"/>
                <w:kern w:val="2"/>
                <w:sz w:val="24"/>
                <w:highlight w:val="none"/>
              </w:rPr>
              <w:t>3、施工噪声产生及治理措施</w:t>
            </w:r>
          </w:p>
          <w:p>
            <w:pPr>
              <w:keepNext w:val="0"/>
              <w:keepLines w:val="0"/>
              <w:pageBreakBefore w:val="0"/>
              <w:widowControl w:val="0"/>
              <w:kinsoku/>
              <w:wordWrap/>
              <w:overflowPunct/>
              <w:topLinePunct w:val="0"/>
              <w:autoSpaceDE/>
              <w:autoSpaceDN/>
              <w:bidi w:val="0"/>
              <w:spacing w:after="0" w:line="360" w:lineRule="auto"/>
              <w:ind w:firstLine="480" w:firstLineChars="200"/>
              <w:jc w:val="both"/>
              <w:rPr>
                <w:rFonts w:hint="eastAsia" w:ascii="Times New Roman" w:hAnsi="Times New Roman" w:eastAsia="宋体"/>
                <w:color w:val="auto"/>
                <w:kern w:val="2"/>
                <w:sz w:val="24"/>
                <w:highlight w:val="none"/>
                <w:lang w:eastAsia="zh-CN"/>
              </w:rPr>
            </w:pPr>
            <w:r>
              <w:rPr>
                <w:rFonts w:hint="eastAsia" w:ascii="Times New Roman" w:hAnsi="Times New Roman" w:eastAsia="宋体"/>
                <w:color w:val="auto"/>
                <w:kern w:val="2"/>
                <w:sz w:val="24"/>
                <w:highlight w:val="none"/>
              </w:rPr>
              <w:t>建筑噪声是本工程施工期主要的污染因素之一，主要是设备噪声、机械噪声和车辆噪声。设备噪声多来自装载机等设备的发动机噪声等；机械噪声主要是机械挖掘土石噪声、搅拌机撞击噪声及装卸材料碰击噪声，由于各施工阶段均有大量设备交互作业，这些设备在场地内的位置以及使用率均有较大变化，因此，很难计算其确切的施工厂界噪声，根据施工量，按经验计算各施工阶段的昼夜的主要噪声源及厂界噪声标准声级见下表</w:t>
            </w:r>
            <w:r>
              <w:rPr>
                <w:rFonts w:hint="eastAsia" w:ascii="Times New Roman" w:hAnsi="Times New Roman" w:eastAsia="宋体"/>
                <w:color w:val="auto"/>
                <w:kern w:val="2"/>
                <w:sz w:val="24"/>
                <w:highlight w:val="none"/>
                <w:lang w:eastAsia="zh-CN"/>
              </w:rPr>
              <w:t>。</w:t>
            </w:r>
          </w:p>
          <w:p>
            <w:pPr>
              <w:pStyle w:val="41"/>
              <w:bidi w:val="0"/>
              <w:rPr>
                <w:rFonts w:ascii="Times New Roman" w:hAnsi="Times New Roman" w:eastAsia="宋体" w:cs="Times New Roman"/>
                <w:b/>
                <w:bCs/>
                <w:color w:val="auto"/>
                <w:kern w:val="0"/>
                <w:szCs w:val="21"/>
                <w:highlight w:val="none"/>
              </w:rPr>
            </w:pPr>
            <w:r>
              <w:rPr>
                <w:rFonts w:hint="eastAsia" w:ascii="Times New Roman" w:hAnsi="Times New Roman" w:eastAsia="宋体" w:cs="Times New Roman"/>
                <w:b/>
                <w:bCs/>
                <w:color w:val="auto"/>
                <w:kern w:val="0"/>
                <w:szCs w:val="21"/>
                <w:highlight w:val="none"/>
              </w:rPr>
              <w:t>表</w:t>
            </w:r>
            <w:r>
              <w:rPr>
                <w:rFonts w:hint="eastAsia" w:ascii="Times New Roman" w:hAnsi="Times New Roman" w:eastAsia="宋体" w:cs="Times New Roman"/>
                <w:b/>
                <w:bCs/>
                <w:color w:val="auto"/>
                <w:kern w:val="0"/>
                <w:szCs w:val="21"/>
                <w:highlight w:val="none"/>
                <w:lang w:val="en-US" w:eastAsia="zh-CN"/>
              </w:rPr>
              <w:t>4</w:t>
            </w:r>
            <w:r>
              <w:rPr>
                <w:rFonts w:hint="eastAsia" w:ascii="Times New Roman" w:hAnsi="Times New Roman" w:eastAsia="宋体" w:cs="Times New Roman"/>
                <w:b/>
                <w:bCs/>
                <w:color w:val="auto"/>
                <w:kern w:val="0"/>
                <w:szCs w:val="21"/>
                <w:highlight w:val="none"/>
              </w:rPr>
              <w:t>-</w:t>
            </w:r>
            <w:r>
              <w:rPr>
                <w:rFonts w:hint="eastAsia" w:ascii="Times New Roman" w:hAnsi="Times New Roman" w:eastAsia="宋体" w:cs="Times New Roman"/>
                <w:b/>
                <w:bCs/>
                <w:color w:val="auto"/>
                <w:kern w:val="0"/>
                <w:szCs w:val="21"/>
                <w:highlight w:val="none"/>
                <w:lang w:val="en-US" w:eastAsia="zh-CN"/>
              </w:rPr>
              <w:t xml:space="preserve">1  </w:t>
            </w:r>
            <w:r>
              <w:rPr>
                <w:rFonts w:hint="eastAsia" w:ascii="Times New Roman" w:hAnsi="Times New Roman" w:eastAsia="宋体" w:cs="Times New Roman"/>
                <w:b/>
                <w:bCs/>
                <w:color w:val="auto"/>
                <w:kern w:val="0"/>
                <w:szCs w:val="21"/>
                <w:highlight w:val="none"/>
              </w:rPr>
              <w:t>施工设备噪声值</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455"/>
              <w:gridCol w:w="1890"/>
              <w:gridCol w:w="3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21" w:hRule="atLeast"/>
                <w:jc w:val="center"/>
              </w:trPr>
              <w:tc>
                <w:tcPr>
                  <w:tcW w:w="88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b/>
                      <w:caps/>
                      <w:color w:val="auto"/>
                      <w:kern w:val="2"/>
                      <w:sz w:val="21"/>
                      <w:szCs w:val="21"/>
                      <w:highlight w:val="none"/>
                    </w:rPr>
                  </w:pPr>
                  <w:r>
                    <w:rPr>
                      <w:rFonts w:hint="eastAsia" w:ascii="Times New Roman" w:hAnsi="Times New Roman" w:eastAsia="宋体"/>
                      <w:b/>
                      <w:caps/>
                      <w:color w:val="auto"/>
                      <w:kern w:val="2"/>
                      <w:sz w:val="21"/>
                      <w:szCs w:val="21"/>
                      <w:highlight w:val="none"/>
                    </w:rPr>
                    <w:t>序号</w:t>
                  </w:r>
                </w:p>
              </w:tc>
              <w:tc>
                <w:tcPr>
                  <w:tcW w:w="883"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b/>
                      <w:caps/>
                      <w:color w:val="auto"/>
                      <w:kern w:val="2"/>
                      <w:sz w:val="21"/>
                      <w:szCs w:val="21"/>
                      <w:highlight w:val="none"/>
                    </w:rPr>
                  </w:pPr>
                  <w:r>
                    <w:rPr>
                      <w:rFonts w:hint="eastAsia" w:ascii="Times New Roman" w:hAnsi="Times New Roman" w:eastAsia="宋体"/>
                      <w:b/>
                      <w:caps/>
                      <w:color w:val="auto"/>
                      <w:kern w:val="2"/>
                      <w:sz w:val="21"/>
                      <w:szCs w:val="21"/>
                      <w:highlight w:val="none"/>
                    </w:rPr>
                    <w:t>施工阶段</w:t>
                  </w:r>
                </w:p>
              </w:tc>
              <w:tc>
                <w:tcPr>
                  <w:tcW w:w="114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b/>
                      <w:caps/>
                      <w:color w:val="auto"/>
                      <w:kern w:val="2"/>
                      <w:sz w:val="21"/>
                      <w:szCs w:val="21"/>
                      <w:highlight w:val="none"/>
                    </w:rPr>
                  </w:pPr>
                  <w:r>
                    <w:rPr>
                      <w:rFonts w:hint="eastAsia" w:ascii="Times New Roman" w:hAnsi="Times New Roman" w:eastAsia="宋体"/>
                      <w:b/>
                      <w:caps/>
                      <w:color w:val="auto"/>
                      <w:kern w:val="2"/>
                      <w:sz w:val="21"/>
                      <w:szCs w:val="21"/>
                      <w:highlight w:val="none"/>
                    </w:rPr>
                    <w:t>声源</w:t>
                  </w:r>
                </w:p>
              </w:tc>
              <w:tc>
                <w:tcPr>
                  <w:tcW w:w="20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b/>
                      <w:caps/>
                      <w:color w:val="auto"/>
                      <w:kern w:val="2"/>
                      <w:sz w:val="21"/>
                      <w:szCs w:val="21"/>
                      <w:highlight w:val="none"/>
                    </w:rPr>
                  </w:pPr>
                  <w:r>
                    <w:rPr>
                      <w:rFonts w:hint="eastAsia" w:ascii="Times New Roman" w:hAnsi="Times New Roman" w:eastAsia="宋体"/>
                      <w:b/>
                      <w:caps/>
                      <w:color w:val="auto"/>
                      <w:kern w:val="2"/>
                      <w:sz w:val="21"/>
                      <w:szCs w:val="21"/>
                      <w:highlight w:val="none"/>
                    </w:rPr>
                    <w:t>距离设备5</w:t>
                  </w:r>
                  <w:r>
                    <w:rPr>
                      <w:rFonts w:hint="eastAsia" w:ascii="Times New Roman" w:hAnsi="Times New Roman" w:eastAsia="宋体"/>
                      <w:b/>
                      <w:color w:val="auto"/>
                      <w:kern w:val="2"/>
                      <w:sz w:val="21"/>
                      <w:szCs w:val="21"/>
                      <w:highlight w:val="none"/>
                    </w:rPr>
                    <w:t>m</w:t>
                  </w:r>
                  <w:r>
                    <w:rPr>
                      <w:rFonts w:hint="eastAsia" w:ascii="Times New Roman" w:hAnsi="Times New Roman" w:eastAsia="宋体"/>
                      <w:b/>
                      <w:caps/>
                      <w:color w:val="auto"/>
                      <w:kern w:val="2"/>
                      <w:sz w:val="21"/>
                      <w:szCs w:val="21"/>
                      <w:highlight w:val="none"/>
                    </w:rPr>
                    <w:t>噪声值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88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w:t>
                  </w:r>
                </w:p>
              </w:tc>
              <w:tc>
                <w:tcPr>
                  <w:tcW w:w="88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土方阶段</w:t>
                  </w:r>
                </w:p>
              </w:tc>
              <w:tc>
                <w:tcPr>
                  <w:tcW w:w="114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挖掘机</w:t>
                  </w:r>
                </w:p>
              </w:tc>
              <w:tc>
                <w:tcPr>
                  <w:tcW w:w="20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82～90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jc w:val="center"/>
              </w:trPr>
              <w:tc>
                <w:tcPr>
                  <w:tcW w:w="88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2</w:t>
                  </w:r>
                </w:p>
              </w:tc>
              <w:tc>
                <w:tcPr>
                  <w:tcW w:w="88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p>
              </w:tc>
              <w:tc>
                <w:tcPr>
                  <w:tcW w:w="114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推土机</w:t>
                  </w:r>
                </w:p>
              </w:tc>
              <w:tc>
                <w:tcPr>
                  <w:tcW w:w="20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jc w:val="center"/>
              </w:trPr>
              <w:tc>
                <w:tcPr>
                  <w:tcW w:w="88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3</w:t>
                  </w:r>
                </w:p>
              </w:tc>
              <w:tc>
                <w:tcPr>
                  <w:tcW w:w="88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p>
              </w:tc>
              <w:tc>
                <w:tcPr>
                  <w:tcW w:w="114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混凝土运输泵</w:t>
                  </w:r>
                </w:p>
              </w:tc>
              <w:tc>
                <w:tcPr>
                  <w:tcW w:w="20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88～92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jc w:val="center"/>
              </w:trPr>
              <w:tc>
                <w:tcPr>
                  <w:tcW w:w="88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4</w:t>
                  </w:r>
                </w:p>
              </w:tc>
              <w:tc>
                <w:tcPr>
                  <w:tcW w:w="88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p>
              </w:tc>
              <w:tc>
                <w:tcPr>
                  <w:tcW w:w="114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打桩机</w:t>
                  </w:r>
                </w:p>
              </w:tc>
              <w:tc>
                <w:tcPr>
                  <w:tcW w:w="20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100～110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88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5</w:t>
                  </w:r>
                </w:p>
              </w:tc>
              <w:tc>
                <w:tcPr>
                  <w:tcW w:w="88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p>
              </w:tc>
              <w:tc>
                <w:tcPr>
                  <w:tcW w:w="114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装载机</w:t>
                  </w:r>
                </w:p>
              </w:tc>
              <w:tc>
                <w:tcPr>
                  <w:tcW w:w="20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90～95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88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6</w:t>
                  </w:r>
                </w:p>
              </w:tc>
              <w:tc>
                <w:tcPr>
                  <w:tcW w:w="88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基础施工阶段噪声</w:t>
                  </w:r>
                </w:p>
              </w:tc>
              <w:tc>
                <w:tcPr>
                  <w:tcW w:w="114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振捣器</w:t>
                  </w:r>
                </w:p>
              </w:tc>
              <w:tc>
                <w:tcPr>
                  <w:tcW w:w="20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80～88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jc w:val="center"/>
              </w:trPr>
              <w:tc>
                <w:tcPr>
                  <w:tcW w:w="88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7</w:t>
                  </w:r>
                </w:p>
              </w:tc>
              <w:tc>
                <w:tcPr>
                  <w:tcW w:w="88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p>
              </w:tc>
              <w:tc>
                <w:tcPr>
                  <w:tcW w:w="114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电锯</w:t>
                  </w:r>
                </w:p>
              </w:tc>
              <w:tc>
                <w:tcPr>
                  <w:tcW w:w="20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93～99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jc w:val="center"/>
              </w:trPr>
              <w:tc>
                <w:tcPr>
                  <w:tcW w:w="88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8</w:t>
                  </w:r>
                </w:p>
              </w:tc>
              <w:tc>
                <w:tcPr>
                  <w:tcW w:w="88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p>
              </w:tc>
              <w:tc>
                <w:tcPr>
                  <w:tcW w:w="114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电焊机</w:t>
                  </w:r>
                </w:p>
              </w:tc>
              <w:tc>
                <w:tcPr>
                  <w:tcW w:w="20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88～92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jc w:val="center"/>
              </w:trPr>
              <w:tc>
                <w:tcPr>
                  <w:tcW w:w="88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9</w:t>
                  </w:r>
                </w:p>
              </w:tc>
              <w:tc>
                <w:tcPr>
                  <w:tcW w:w="88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p>
              </w:tc>
              <w:tc>
                <w:tcPr>
                  <w:tcW w:w="114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空压机</w:t>
                  </w:r>
                </w:p>
              </w:tc>
              <w:tc>
                <w:tcPr>
                  <w:tcW w:w="20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88～92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88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11</w:t>
                  </w:r>
                </w:p>
              </w:tc>
              <w:tc>
                <w:tcPr>
                  <w:tcW w:w="88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结构施工阶段噪声</w:t>
                  </w:r>
                </w:p>
              </w:tc>
              <w:tc>
                <w:tcPr>
                  <w:tcW w:w="114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电锤</w:t>
                  </w:r>
                </w:p>
              </w:tc>
              <w:tc>
                <w:tcPr>
                  <w:tcW w:w="20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100～105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88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12</w:t>
                  </w:r>
                </w:p>
              </w:tc>
              <w:tc>
                <w:tcPr>
                  <w:tcW w:w="88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p>
              </w:tc>
              <w:tc>
                <w:tcPr>
                  <w:tcW w:w="114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切割机</w:t>
                  </w:r>
                </w:p>
              </w:tc>
              <w:tc>
                <w:tcPr>
                  <w:tcW w:w="20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93～99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jc w:val="center"/>
              </w:trPr>
              <w:tc>
                <w:tcPr>
                  <w:tcW w:w="88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13</w:t>
                  </w:r>
                </w:p>
              </w:tc>
              <w:tc>
                <w:tcPr>
                  <w:tcW w:w="88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p>
              </w:tc>
              <w:tc>
                <w:tcPr>
                  <w:tcW w:w="114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云石机</w:t>
                  </w:r>
                </w:p>
              </w:tc>
              <w:tc>
                <w:tcPr>
                  <w:tcW w:w="20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90～96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 w:hRule="atLeast"/>
                <w:jc w:val="center"/>
              </w:trPr>
              <w:tc>
                <w:tcPr>
                  <w:tcW w:w="882"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14</w:t>
                  </w:r>
                </w:p>
              </w:tc>
              <w:tc>
                <w:tcPr>
                  <w:tcW w:w="88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p>
              </w:tc>
              <w:tc>
                <w:tcPr>
                  <w:tcW w:w="114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角磨机</w:t>
                  </w:r>
                </w:p>
              </w:tc>
              <w:tc>
                <w:tcPr>
                  <w:tcW w:w="20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contextualSpacing/>
                    <w:jc w:val="center"/>
                    <w:textAlignment w:val="auto"/>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90～96</w:t>
                  </w:r>
                </w:p>
              </w:tc>
            </w:tr>
          </w:tbl>
          <w:p>
            <w:pPr>
              <w:keepNext w:val="0"/>
              <w:keepLines w:val="0"/>
              <w:pageBreakBefore w:val="0"/>
              <w:widowControl w:val="0"/>
              <w:kinsoku/>
              <w:wordWrap/>
              <w:overflowPunct/>
              <w:topLinePunct w:val="0"/>
              <w:autoSpaceDE/>
              <w:autoSpaceDN/>
              <w:bidi w:val="0"/>
              <w:spacing w:after="0" w:line="360" w:lineRule="auto"/>
              <w:ind w:firstLine="480" w:firstLineChars="200"/>
              <w:jc w:val="both"/>
              <w:rPr>
                <w:rFonts w:ascii="Times New Roman" w:hAnsi="Times New Roman" w:eastAsia="宋体"/>
                <w:b w:val="0"/>
                <w:bCs/>
                <w:color w:val="auto"/>
                <w:kern w:val="2"/>
                <w:sz w:val="24"/>
                <w:highlight w:val="none"/>
              </w:rPr>
            </w:pPr>
            <w:r>
              <w:rPr>
                <w:rFonts w:hint="eastAsia" w:ascii="Times New Roman" w:hAnsi="Times New Roman" w:eastAsia="宋体"/>
                <w:color w:val="auto"/>
                <w:kern w:val="28"/>
                <w:sz w:val="24"/>
                <w:highlight w:val="none"/>
              </w:rPr>
              <w:t>要求施工方在施工过程中应根据外环境敏感点分布情况，合理进行施工平面布置，合理安排工序，尽量对高噪声源采用一定的围护结构对其进行隔声处理，严格控制各种强噪声施工机械的作业时间。</w:t>
            </w:r>
            <w:r>
              <w:rPr>
                <w:rFonts w:hint="eastAsia" w:ascii="Times New Roman" w:hAnsi="Times New Roman" w:eastAsia="宋体"/>
                <w:color w:val="auto"/>
                <w:kern w:val="2"/>
                <w:sz w:val="24"/>
                <w:highlight w:val="none"/>
              </w:rPr>
              <w:t>为使施工噪声能够达到《建筑施工场界环境噪声排放标准》</w:t>
            </w:r>
            <w:r>
              <w:rPr>
                <w:rFonts w:hint="eastAsia" w:ascii="Times New Roman" w:hAnsi="Times New Roman" w:eastAsia="宋体"/>
                <w:color w:val="auto"/>
                <w:kern w:val="2"/>
                <w:sz w:val="24"/>
                <w:highlight w:val="none"/>
                <w:lang w:eastAsia="zh-CN"/>
              </w:rPr>
              <w:t>（</w:t>
            </w:r>
            <w:r>
              <w:rPr>
                <w:rFonts w:hint="eastAsia" w:ascii="Times New Roman" w:hAnsi="Times New Roman" w:eastAsia="宋体"/>
                <w:color w:val="auto"/>
                <w:kern w:val="2"/>
                <w:sz w:val="24"/>
                <w:highlight w:val="none"/>
              </w:rPr>
              <w:t>GB12523-2011</w:t>
            </w:r>
            <w:r>
              <w:rPr>
                <w:rFonts w:hint="eastAsia" w:ascii="Times New Roman" w:hAnsi="Times New Roman" w:eastAsia="宋体"/>
                <w:color w:val="auto"/>
                <w:kern w:val="2"/>
                <w:sz w:val="24"/>
                <w:highlight w:val="none"/>
                <w:lang w:eastAsia="zh-CN"/>
              </w:rPr>
              <w:t>）</w:t>
            </w:r>
            <w:r>
              <w:rPr>
                <w:rFonts w:hint="eastAsia" w:ascii="Times New Roman" w:hAnsi="Times New Roman" w:eastAsia="宋体"/>
                <w:color w:val="auto"/>
                <w:kern w:val="2"/>
                <w:sz w:val="24"/>
                <w:highlight w:val="none"/>
              </w:rPr>
              <w:t>要求并不会对周边环境产生影响，须采取减缓措施，</w:t>
            </w:r>
            <w:r>
              <w:rPr>
                <w:rFonts w:hint="eastAsia" w:ascii="Times New Roman" w:hAnsi="Times New Roman" w:eastAsia="宋体"/>
                <w:b w:val="0"/>
                <w:bCs/>
                <w:color w:val="auto"/>
                <w:kern w:val="2"/>
                <w:sz w:val="24"/>
                <w:highlight w:val="none"/>
              </w:rPr>
              <w:t>其具体治理措施如下：</w:t>
            </w:r>
          </w:p>
          <w:p>
            <w:pPr>
              <w:pStyle w:val="49"/>
              <w:keepNext w:val="0"/>
              <w:keepLines w:val="0"/>
              <w:pageBreakBefore w:val="0"/>
              <w:widowControl w:val="0"/>
              <w:kinsoku/>
              <w:wordWrap/>
              <w:overflowPunct/>
              <w:topLinePunct w:val="0"/>
              <w:autoSpaceDE/>
              <w:autoSpaceDN/>
              <w:bidi w:val="0"/>
              <w:adjustRightInd/>
              <w:snapToGrid/>
              <w:spacing w:after="0" w:line="360" w:lineRule="auto"/>
              <w:ind w:firstLine="480" w:firstLineChars="200"/>
              <w:contextualSpacing/>
              <w:jc w:val="both"/>
              <w:rPr>
                <w:rFonts w:ascii="Times New Roman" w:hAnsi="Times New Roman" w:eastAsia="宋体"/>
                <w:color w:val="auto"/>
                <w:kern w:val="2"/>
                <w:highlight w:val="none"/>
              </w:rPr>
            </w:pPr>
            <w:r>
              <w:rPr>
                <w:rFonts w:hint="eastAsia" w:ascii="Times New Roman" w:hAnsi="Times New Roman" w:eastAsia="宋体"/>
                <w:color w:val="auto"/>
                <w:kern w:val="2"/>
                <w:highlight w:val="none"/>
              </w:rPr>
              <w:t>（1）选用低噪声设备和运输车辆，并对高噪声源采用一定的围护结构对其进行隔声处理，严格控制各种强噪声施工机械的作业时间，夜间禁止打桩；</w:t>
            </w:r>
          </w:p>
          <w:p>
            <w:pPr>
              <w:pStyle w:val="49"/>
              <w:keepNext w:val="0"/>
              <w:keepLines w:val="0"/>
              <w:pageBreakBefore w:val="0"/>
              <w:widowControl w:val="0"/>
              <w:kinsoku/>
              <w:wordWrap/>
              <w:overflowPunct/>
              <w:topLinePunct w:val="0"/>
              <w:autoSpaceDE/>
              <w:autoSpaceDN/>
              <w:bidi w:val="0"/>
              <w:adjustRightInd/>
              <w:snapToGrid/>
              <w:spacing w:after="0" w:line="360" w:lineRule="auto"/>
              <w:ind w:firstLine="480" w:firstLineChars="200"/>
              <w:contextualSpacing/>
              <w:jc w:val="both"/>
              <w:rPr>
                <w:rFonts w:ascii="Times New Roman" w:hAnsi="Times New Roman" w:eastAsia="宋体"/>
                <w:color w:val="auto"/>
                <w:kern w:val="2"/>
                <w:highlight w:val="none"/>
              </w:rPr>
            </w:pPr>
            <w:r>
              <w:rPr>
                <w:rFonts w:hint="eastAsia" w:ascii="Times New Roman" w:hAnsi="Times New Roman" w:eastAsia="宋体"/>
                <w:color w:val="auto"/>
                <w:kern w:val="2"/>
                <w:highlight w:val="none"/>
              </w:rPr>
              <w:t>（2）合理设计施工总平面图。结合项目外环境关系将木工房、钢筋加工间等产生高噪声的作业点</w:t>
            </w:r>
            <w:r>
              <w:rPr>
                <w:rFonts w:hint="eastAsia" w:ascii="Times New Roman" w:hAnsi="Times New Roman" w:eastAsia="宋体"/>
                <w:color w:val="auto"/>
                <w:kern w:val="2"/>
                <w:szCs w:val="28"/>
                <w:highlight w:val="none"/>
              </w:rPr>
              <w:t>设于施工场地</w:t>
            </w:r>
            <w:r>
              <w:rPr>
                <w:rFonts w:hint="eastAsia" w:ascii="Times New Roman" w:hAnsi="Times New Roman" w:eastAsia="宋体"/>
                <w:color w:val="auto"/>
                <w:kern w:val="2"/>
                <w:szCs w:val="28"/>
                <w:highlight w:val="none"/>
                <w:lang w:val="en-US" w:eastAsia="zh-CN"/>
              </w:rPr>
              <w:t>北</w:t>
            </w:r>
            <w:r>
              <w:rPr>
                <w:rFonts w:hint="eastAsia" w:ascii="Times New Roman" w:hAnsi="Times New Roman" w:eastAsia="宋体"/>
                <w:color w:val="auto"/>
                <w:kern w:val="2"/>
                <w:szCs w:val="28"/>
                <w:highlight w:val="none"/>
              </w:rPr>
              <w:t>侧，可</w:t>
            </w:r>
            <w:r>
              <w:rPr>
                <w:rFonts w:hint="eastAsia" w:ascii="Times New Roman" w:hAnsi="Times New Roman" w:eastAsia="宋体"/>
                <w:color w:val="auto"/>
                <w:kern w:val="2"/>
                <w:highlight w:val="none"/>
              </w:rPr>
              <w:t>有效利用噪声距离衰减作用，减轻施工噪声对区域声环境的影响；</w:t>
            </w:r>
          </w:p>
          <w:p>
            <w:pPr>
              <w:pStyle w:val="49"/>
              <w:keepNext w:val="0"/>
              <w:keepLines w:val="0"/>
              <w:pageBreakBefore w:val="0"/>
              <w:widowControl w:val="0"/>
              <w:kinsoku/>
              <w:wordWrap/>
              <w:overflowPunct/>
              <w:topLinePunct w:val="0"/>
              <w:autoSpaceDE/>
              <w:autoSpaceDN/>
              <w:bidi w:val="0"/>
              <w:adjustRightInd/>
              <w:snapToGrid/>
              <w:spacing w:after="0" w:line="360" w:lineRule="auto"/>
              <w:ind w:firstLine="480" w:firstLineChars="200"/>
              <w:contextualSpacing/>
              <w:jc w:val="both"/>
              <w:rPr>
                <w:rFonts w:ascii="Times New Roman" w:hAnsi="Times New Roman" w:eastAsia="宋体"/>
                <w:color w:val="auto"/>
                <w:kern w:val="2"/>
                <w:highlight w:val="none"/>
              </w:rPr>
            </w:pPr>
            <w:r>
              <w:rPr>
                <w:rFonts w:hint="eastAsia" w:ascii="Times New Roman" w:hAnsi="Times New Roman" w:eastAsia="宋体"/>
                <w:color w:val="auto"/>
                <w:kern w:val="2"/>
                <w:highlight w:val="none"/>
              </w:rPr>
              <w:t>（3）文明施工。装卸、搬运钢管、模板等严禁抛掷，木工房使用前应完全封闭；</w:t>
            </w:r>
          </w:p>
          <w:p>
            <w:pPr>
              <w:pStyle w:val="49"/>
              <w:keepNext w:val="0"/>
              <w:keepLines w:val="0"/>
              <w:pageBreakBefore w:val="0"/>
              <w:widowControl w:val="0"/>
              <w:kinsoku/>
              <w:wordWrap/>
              <w:overflowPunct/>
              <w:topLinePunct w:val="0"/>
              <w:autoSpaceDE/>
              <w:autoSpaceDN/>
              <w:bidi w:val="0"/>
              <w:adjustRightInd/>
              <w:snapToGrid/>
              <w:spacing w:after="0" w:line="360" w:lineRule="auto"/>
              <w:ind w:firstLine="480" w:firstLineChars="200"/>
              <w:contextualSpacing/>
              <w:jc w:val="both"/>
              <w:rPr>
                <w:rFonts w:ascii="Times New Roman" w:hAnsi="Times New Roman" w:eastAsia="宋体"/>
                <w:color w:val="auto"/>
                <w:kern w:val="2"/>
                <w:highlight w:val="none"/>
              </w:rPr>
            </w:pPr>
            <w:r>
              <w:rPr>
                <w:rFonts w:hint="eastAsia" w:ascii="Times New Roman" w:hAnsi="Times New Roman" w:eastAsia="宋体"/>
                <w:color w:val="auto"/>
                <w:kern w:val="2"/>
                <w:highlight w:val="none"/>
              </w:rPr>
              <w:t>（4）施工方应合理安排施工时间。夜间22时至凌晨6时不进行拆除施工；将倾倒卵石料等强噪声作业尽量安排在白天进行，杜绝夜间（22：00－6：00）施工噪声扰民；如果工艺要求必须连续作业的强噪声施工，应首先征得当地建委、城管等主管部门的同意，办理夜间施工许可证，同时合理进行施工平面布局，以免发生噪声对周边声环境的影响；</w:t>
            </w:r>
          </w:p>
          <w:p>
            <w:pPr>
              <w:pStyle w:val="49"/>
              <w:keepNext w:val="0"/>
              <w:keepLines w:val="0"/>
              <w:pageBreakBefore w:val="0"/>
              <w:widowControl w:val="0"/>
              <w:kinsoku/>
              <w:wordWrap/>
              <w:overflowPunct/>
              <w:topLinePunct w:val="0"/>
              <w:autoSpaceDE/>
              <w:autoSpaceDN/>
              <w:bidi w:val="0"/>
              <w:adjustRightInd/>
              <w:snapToGrid/>
              <w:spacing w:after="0" w:line="360" w:lineRule="auto"/>
              <w:ind w:firstLine="480" w:firstLineChars="200"/>
              <w:contextualSpacing/>
              <w:jc w:val="both"/>
              <w:rPr>
                <w:rFonts w:ascii="Times New Roman" w:hAnsi="Times New Roman" w:eastAsia="宋体"/>
                <w:color w:val="auto"/>
                <w:kern w:val="2"/>
                <w:highlight w:val="none"/>
              </w:rPr>
            </w:pPr>
            <w:r>
              <w:rPr>
                <w:rFonts w:hint="eastAsia" w:ascii="Times New Roman" w:hAnsi="Times New Roman" w:eastAsia="宋体"/>
                <w:color w:val="auto"/>
                <w:kern w:val="2"/>
                <w:highlight w:val="none"/>
              </w:rPr>
              <w:t>（5）要求施工方加强施工过程中的管理工作，注意对挖掘机和运输车辆的定期维修保养，使其保持最佳工作状态，使噪声影响降低到最小范围；</w:t>
            </w:r>
          </w:p>
          <w:p>
            <w:pPr>
              <w:pStyle w:val="49"/>
              <w:keepNext w:val="0"/>
              <w:keepLines w:val="0"/>
              <w:pageBreakBefore w:val="0"/>
              <w:widowControl w:val="0"/>
              <w:kinsoku/>
              <w:wordWrap/>
              <w:overflowPunct/>
              <w:topLinePunct w:val="0"/>
              <w:autoSpaceDE/>
              <w:autoSpaceDN/>
              <w:bidi w:val="0"/>
              <w:adjustRightInd/>
              <w:snapToGrid/>
              <w:spacing w:after="0" w:line="360" w:lineRule="auto"/>
              <w:ind w:firstLine="480" w:firstLineChars="200"/>
              <w:contextualSpacing/>
              <w:jc w:val="both"/>
              <w:rPr>
                <w:rFonts w:ascii="Times New Roman" w:hAnsi="Times New Roman" w:eastAsia="宋体"/>
                <w:color w:val="auto"/>
                <w:kern w:val="2"/>
                <w:highlight w:val="none"/>
              </w:rPr>
            </w:pPr>
            <w:r>
              <w:rPr>
                <w:rFonts w:hint="eastAsia" w:ascii="Times New Roman" w:hAnsi="Times New Roman" w:eastAsia="宋体"/>
                <w:color w:val="auto"/>
                <w:kern w:val="2"/>
                <w:highlight w:val="none"/>
              </w:rPr>
              <w:t>（6）修建2.5~3m高的建筑围墙；</w:t>
            </w:r>
          </w:p>
          <w:p>
            <w:pPr>
              <w:pStyle w:val="49"/>
              <w:keepNext w:val="0"/>
              <w:keepLines w:val="0"/>
              <w:pageBreakBefore w:val="0"/>
              <w:widowControl w:val="0"/>
              <w:kinsoku/>
              <w:wordWrap/>
              <w:overflowPunct/>
              <w:topLinePunct w:val="0"/>
              <w:autoSpaceDE/>
              <w:autoSpaceDN/>
              <w:bidi w:val="0"/>
              <w:adjustRightInd/>
              <w:snapToGrid/>
              <w:spacing w:after="0" w:line="360" w:lineRule="auto"/>
              <w:ind w:firstLine="480" w:firstLineChars="200"/>
              <w:contextualSpacing/>
              <w:jc w:val="both"/>
              <w:rPr>
                <w:rFonts w:ascii="Times New Roman" w:hAnsi="Times New Roman" w:eastAsia="宋体"/>
                <w:color w:val="auto"/>
                <w:kern w:val="2"/>
                <w:highlight w:val="none"/>
              </w:rPr>
            </w:pPr>
            <w:r>
              <w:rPr>
                <w:rFonts w:hint="eastAsia" w:ascii="Times New Roman" w:hAnsi="Times New Roman" w:eastAsia="宋体"/>
                <w:color w:val="auto"/>
                <w:kern w:val="2"/>
                <w:highlight w:val="none"/>
              </w:rPr>
              <w:t>（7）加强施工作业人员管理和教育，施工中减少不必要的金属敲击声；材料运输等汽车进场安排专人指挥，场内禁止运输车辆鸣笛；施工方还应协调好运输车辆通行时间，应按交通规则行驶，禁止超速超载行驶及鸣笛，确保不对运输线路周围敏感点造成噪声扰民影响。</w:t>
            </w:r>
          </w:p>
          <w:p>
            <w:pPr>
              <w:keepNext w:val="0"/>
              <w:keepLines w:val="0"/>
              <w:pageBreakBefore w:val="0"/>
              <w:widowControl w:val="0"/>
              <w:kinsoku/>
              <w:wordWrap/>
              <w:overflowPunct/>
              <w:topLinePunct w:val="0"/>
              <w:autoSpaceDE/>
              <w:autoSpaceDN/>
              <w:bidi w:val="0"/>
              <w:spacing w:after="0" w:line="360" w:lineRule="auto"/>
              <w:ind w:firstLine="482" w:firstLineChars="200"/>
              <w:jc w:val="both"/>
              <w:rPr>
                <w:rFonts w:ascii="Times New Roman" w:hAnsi="Times New Roman" w:eastAsia="宋体"/>
                <w:b/>
                <w:bCs/>
                <w:color w:val="auto"/>
                <w:kern w:val="2"/>
                <w:sz w:val="24"/>
                <w:highlight w:val="none"/>
              </w:rPr>
            </w:pPr>
            <w:r>
              <w:rPr>
                <w:rFonts w:hint="eastAsia" w:ascii="Times New Roman" w:hAnsi="Times New Roman" w:eastAsia="宋体"/>
                <w:b/>
                <w:bCs/>
                <w:color w:val="auto"/>
                <w:kern w:val="2"/>
                <w:sz w:val="24"/>
                <w:highlight w:val="none"/>
              </w:rPr>
              <w:t>施工期噪声经过治理后，其施工期间的场界噪声满足《建筑施工场界环境噪声排放标准》（GB12523-2011）的要求，实现达标排放。</w:t>
            </w:r>
          </w:p>
          <w:p>
            <w:pPr>
              <w:keepNext w:val="0"/>
              <w:keepLines w:val="0"/>
              <w:pageBreakBefore w:val="0"/>
              <w:widowControl w:val="0"/>
              <w:kinsoku/>
              <w:wordWrap/>
              <w:overflowPunct/>
              <w:topLinePunct w:val="0"/>
              <w:autoSpaceDE/>
              <w:autoSpaceDN/>
              <w:bidi w:val="0"/>
              <w:spacing w:after="0" w:line="360" w:lineRule="auto"/>
              <w:ind w:firstLine="482" w:firstLineChars="200"/>
              <w:textAlignment w:val="center"/>
              <w:rPr>
                <w:rFonts w:ascii="Times New Roman" w:hAnsi="Times New Roman" w:eastAsia="宋体"/>
                <w:b/>
                <w:color w:val="auto"/>
                <w:kern w:val="2"/>
                <w:sz w:val="24"/>
                <w:highlight w:val="none"/>
              </w:rPr>
            </w:pPr>
            <w:r>
              <w:rPr>
                <w:rFonts w:hint="eastAsia" w:ascii="Times New Roman" w:hAnsi="Times New Roman" w:eastAsia="宋体"/>
                <w:b/>
                <w:color w:val="auto"/>
                <w:kern w:val="2"/>
                <w:sz w:val="24"/>
                <w:highlight w:val="none"/>
              </w:rPr>
              <w:t>4、施工期固体废物产生及治理措施</w:t>
            </w:r>
          </w:p>
          <w:p>
            <w:pPr>
              <w:keepNext w:val="0"/>
              <w:keepLines w:val="0"/>
              <w:pageBreakBefore w:val="0"/>
              <w:widowControl w:val="0"/>
              <w:kinsoku/>
              <w:wordWrap/>
              <w:overflowPunct/>
              <w:topLinePunct w:val="0"/>
              <w:autoSpaceDE/>
              <w:autoSpaceDN/>
              <w:bidi w:val="0"/>
              <w:spacing w:after="0" w:line="360" w:lineRule="auto"/>
              <w:ind w:firstLine="482" w:firstLineChars="200"/>
              <w:rPr>
                <w:rFonts w:ascii="Times New Roman" w:hAnsi="Times New Roman" w:eastAsia="宋体"/>
                <w:b/>
                <w:color w:val="auto"/>
                <w:kern w:val="2"/>
                <w:sz w:val="24"/>
                <w:highlight w:val="none"/>
              </w:rPr>
            </w:pPr>
            <w:r>
              <w:rPr>
                <w:rFonts w:hint="eastAsia" w:ascii="Times New Roman" w:hAnsi="Times New Roman" w:eastAsia="宋体"/>
                <w:b/>
                <w:color w:val="auto"/>
                <w:kern w:val="2"/>
                <w:sz w:val="24"/>
                <w:highlight w:val="none"/>
              </w:rPr>
              <w:t>（1）弃土</w:t>
            </w:r>
          </w:p>
          <w:p>
            <w:pPr>
              <w:keepNext w:val="0"/>
              <w:keepLines w:val="0"/>
              <w:pageBreakBefore w:val="0"/>
              <w:widowControl w:val="0"/>
              <w:kinsoku/>
              <w:wordWrap/>
              <w:overflowPunct/>
              <w:topLinePunct w:val="0"/>
              <w:autoSpaceDE/>
              <w:autoSpaceDN/>
              <w:bidi w:val="0"/>
              <w:spacing w:after="0" w:line="360" w:lineRule="auto"/>
              <w:ind w:firstLine="480" w:firstLineChars="200"/>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t>根据施工设计及当地情况，本项目</w:t>
            </w:r>
            <w:r>
              <w:rPr>
                <w:rFonts w:hint="eastAsia"/>
                <w:color w:val="auto"/>
                <w:kern w:val="2"/>
                <w:sz w:val="24"/>
                <w:highlight w:val="none"/>
                <w:lang w:val="en-US" w:eastAsia="zh-CN"/>
              </w:rPr>
              <w:t>挖填平衡，</w:t>
            </w:r>
            <w:r>
              <w:rPr>
                <w:rFonts w:hint="eastAsia" w:ascii="Times New Roman" w:hAnsi="Times New Roman" w:eastAsia="宋体"/>
                <w:color w:val="auto"/>
                <w:kern w:val="2"/>
                <w:sz w:val="24"/>
                <w:highlight w:val="none"/>
              </w:rPr>
              <w:t>挖方作为后期绿化用</w:t>
            </w:r>
            <w:r>
              <w:rPr>
                <w:rFonts w:hint="eastAsia" w:ascii="Times New Roman" w:hAnsi="Times New Roman" w:eastAsia="宋体"/>
                <w:color w:val="auto"/>
                <w:kern w:val="2"/>
                <w:sz w:val="24"/>
                <w:highlight w:val="none"/>
                <w:lang w:eastAsia="zh-CN"/>
              </w:rPr>
              <w:t>，</w:t>
            </w:r>
            <w:r>
              <w:rPr>
                <w:rFonts w:hint="eastAsia" w:ascii="Times New Roman" w:hAnsi="Times New Roman" w:eastAsia="宋体"/>
                <w:color w:val="auto"/>
                <w:kern w:val="2"/>
                <w:sz w:val="24"/>
                <w:highlight w:val="none"/>
                <w:lang w:val="en-US" w:eastAsia="zh-CN"/>
              </w:rPr>
              <w:t>严禁乱堆乱放</w:t>
            </w:r>
            <w:r>
              <w:rPr>
                <w:rFonts w:hint="eastAsia" w:ascii="Times New Roman" w:hAnsi="Times New Roman" w:eastAsia="宋体"/>
                <w:color w:val="auto"/>
                <w:kern w:val="2"/>
                <w:sz w:val="24"/>
                <w:highlight w:val="none"/>
              </w:rPr>
              <w:t>。</w:t>
            </w:r>
          </w:p>
          <w:p>
            <w:pPr>
              <w:keepNext w:val="0"/>
              <w:keepLines w:val="0"/>
              <w:pageBreakBefore w:val="0"/>
              <w:widowControl w:val="0"/>
              <w:kinsoku/>
              <w:wordWrap/>
              <w:overflowPunct/>
              <w:topLinePunct w:val="0"/>
              <w:autoSpaceDE/>
              <w:autoSpaceDN/>
              <w:bidi w:val="0"/>
              <w:spacing w:after="0" w:line="360" w:lineRule="auto"/>
              <w:ind w:firstLine="482" w:firstLineChars="200"/>
              <w:rPr>
                <w:rFonts w:ascii="Times New Roman" w:hAnsi="Times New Roman" w:eastAsia="宋体"/>
                <w:b/>
                <w:color w:val="auto"/>
                <w:kern w:val="2"/>
                <w:sz w:val="24"/>
                <w:highlight w:val="none"/>
              </w:rPr>
            </w:pPr>
            <w:r>
              <w:rPr>
                <w:rFonts w:hint="eastAsia" w:ascii="Times New Roman" w:hAnsi="Times New Roman" w:eastAsia="宋体"/>
                <w:b/>
                <w:color w:val="auto"/>
                <w:kern w:val="2"/>
                <w:sz w:val="24"/>
                <w:highlight w:val="none"/>
              </w:rPr>
              <w:t>（2）建筑垃圾</w:t>
            </w:r>
          </w:p>
          <w:p>
            <w:pPr>
              <w:keepNext w:val="0"/>
              <w:keepLines w:val="0"/>
              <w:pageBreakBefore w:val="0"/>
              <w:widowControl w:val="0"/>
              <w:kinsoku/>
              <w:wordWrap/>
              <w:overflowPunct/>
              <w:topLinePunct w:val="0"/>
              <w:autoSpaceDE/>
              <w:autoSpaceDN/>
              <w:bidi w:val="0"/>
              <w:spacing w:after="0" w:line="360" w:lineRule="auto"/>
              <w:ind w:firstLine="480" w:firstLineChars="200"/>
              <w:rPr>
                <w:rFonts w:ascii="Times New Roman" w:hAnsi="Times New Roman" w:eastAsia="宋体"/>
                <w:color w:val="auto"/>
                <w:kern w:val="2"/>
                <w:sz w:val="24"/>
                <w:highlight w:val="none"/>
              </w:rPr>
            </w:pPr>
            <w:r>
              <w:rPr>
                <w:rFonts w:hint="eastAsia" w:ascii="Times New Roman" w:hAnsi="Times New Roman" w:eastAsia="宋体"/>
                <w:bCs/>
                <w:color w:val="auto"/>
                <w:kern w:val="2"/>
                <w:sz w:val="24"/>
                <w:highlight w:val="none"/>
              </w:rPr>
              <w:t>建筑垃圾主要来自于施工作业，包括碎石、石块、碎砖瓦、废木料、废金属、废钢筋等，产生量约为</w:t>
            </w:r>
            <w:r>
              <w:rPr>
                <w:rFonts w:hint="eastAsia" w:ascii="Times New Roman" w:hAnsi="Times New Roman" w:eastAsia="宋体"/>
                <w:bCs/>
                <w:color w:val="auto"/>
                <w:kern w:val="2"/>
                <w:sz w:val="24"/>
                <w:highlight w:val="none"/>
                <w:lang w:val="en-US" w:eastAsia="zh-CN"/>
              </w:rPr>
              <w:t>20</w:t>
            </w:r>
            <w:r>
              <w:rPr>
                <w:rFonts w:hint="eastAsia" w:ascii="Times New Roman" w:hAnsi="Times New Roman" w:eastAsia="宋体"/>
                <w:bCs/>
                <w:color w:val="auto"/>
                <w:kern w:val="2"/>
                <w:sz w:val="24"/>
                <w:highlight w:val="none"/>
              </w:rPr>
              <w:t>t。</w:t>
            </w:r>
            <w:r>
              <w:rPr>
                <w:rFonts w:hint="eastAsia" w:ascii="Times New Roman" w:hAnsi="Times New Roman" w:eastAsia="宋体"/>
                <w:color w:val="auto"/>
                <w:kern w:val="2"/>
                <w:sz w:val="24"/>
                <w:highlight w:val="none"/>
              </w:rPr>
              <w:t>按照施工方案，项目方在施工现场设置建筑废弃物临时堆场（树立标示牌）并进行防雨、防泄漏处理。施工产生的废料首先应考虑废料的回收利用，对钢筋、钢板、木材等下角料可分类回收，交废物收购站处理；对不能回收的建筑垃圾，如混凝土废料、含砖、石、砂的杂土等应集中堆放，定时清运到政府部门指定的建筑垃圾堆放场，严禁随意倾倒、填埋，从而可以避免工程废料造成二次污染。</w:t>
            </w:r>
          </w:p>
          <w:p>
            <w:pPr>
              <w:keepNext w:val="0"/>
              <w:keepLines w:val="0"/>
              <w:pageBreakBefore w:val="0"/>
              <w:widowControl w:val="0"/>
              <w:kinsoku/>
              <w:wordWrap/>
              <w:overflowPunct/>
              <w:topLinePunct w:val="0"/>
              <w:autoSpaceDE/>
              <w:autoSpaceDN/>
              <w:bidi w:val="0"/>
              <w:spacing w:after="0" w:line="360" w:lineRule="auto"/>
              <w:ind w:firstLine="482" w:firstLineChars="200"/>
              <w:rPr>
                <w:rFonts w:ascii="Times New Roman" w:hAnsi="Times New Roman" w:eastAsia="宋体"/>
                <w:b/>
                <w:color w:val="auto"/>
                <w:kern w:val="2"/>
                <w:sz w:val="24"/>
                <w:highlight w:val="none"/>
              </w:rPr>
            </w:pPr>
            <w:r>
              <w:rPr>
                <w:rFonts w:hint="eastAsia" w:ascii="Times New Roman" w:hAnsi="Times New Roman" w:eastAsia="宋体"/>
                <w:b/>
                <w:color w:val="auto"/>
                <w:kern w:val="2"/>
                <w:sz w:val="24"/>
                <w:highlight w:val="none"/>
              </w:rPr>
              <w:t>（3）生活垃圾</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t>按高峰期施工人员</w:t>
            </w:r>
            <w:r>
              <w:rPr>
                <w:rFonts w:hint="eastAsia" w:ascii="Times New Roman" w:hAnsi="Times New Roman" w:eastAsia="宋体"/>
                <w:color w:val="auto"/>
                <w:kern w:val="2"/>
                <w:sz w:val="24"/>
                <w:highlight w:val="none"/>
                <w:lang w:val="en-US" w:eastAsia="zh-CN"/>
              </w:rPr>
              <w:t>50</w:t>
            </w:r>
            <w:r>
              <w:rPr>
                <w:rFonts w:hint="eastAsia" w:ascii="Times New Roman" w:hAnsi="Times New Roman" w:eastAsia="宋体"/>
                <w:color w:val="auto"/>
                <w:kern w:val="2"/>
                <w:sz w:val="24"/>
                <w:highlight w:val="none"/>
              </w:rPr>
              <w:t>人，产生的生活垃圾按0.</w:t>
            </w:r>
            <w:r>
              <w:rPr>
                <w:rFonts w:hint="eastAsia" w:ascii="Times New Roman" w:hAnsi="Times New Roman" w:eastAsia="宋体"/>
                <w:color w:val="auto"/>
                <w:kern w:val="2"/>
                <w:sz w:val="24"/>
                <w:highlight w:val="none"/>
                <w:lang w:val="en-US" w:eastAsia="zh-CN"/>
              </w:rPr>
              <w:t>3</w:t>
            </w:r>
            <w:r>
              <w:rPr>
                <w:rFonts w:hint="eastAsia" w:ascii="Times New Roman" w:hAnsi="Times New Roman" w:eastAsia="宋体"/>
                <w:color w:val="auto"/>
                <w:kern w:val="2"/>
                <w:sz w:val="24"/>
                <w:highlight w:val="none"/>
              </w:rPr>
              <w:t>kg/人·d计算，垃圾产生量为</w:t>
            </w:r>
            <w:r>
              <w:rPr>
                <w:rFonts w:hint="eastAsia" w:ascii="Times New Roman" w:hAnsi="Times New Roman" w:eastAsia="宋体"/>
                <w:color w:val="auto"/>
                <w:kern w:val="2"/>
                <w:sz w:val="24"/>
                <w:highlight w:val="none"/>
                <w:lang w:val="en-US" w:eastAsia="zh-CN"/>
              </w:rPr>
              <w:t>15</w:t>
            </w:r>
            <w:r>
              <w:rPr>
                <w:rFonts w:hint="eastAsia" w:ascii="Times New Roman" w:hAnsi="Times New Roman" w:eastAsia="宋体"/>
                <w:color w:val="auto"/>
                <w:kern w:val="2"/>
                <w:sz w:val="24"/>
                <w:highlight w:val="none"/>
              </w:rPr>
              <w:t>kg/d，对此，评价要求期施工期间产生的生活垃圾利用垃圾桶收集后定期交园区环卫部门统一清运处理，禁止将其随意抛洒和就地填埋，以避免对区域环境空气和地下水环境质量构成影响。</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ascii="Times New Roman" w:hAnsi="Times New Roman" w:eastAsia="宋体" w:cs="Times New Roman"/>
                <w:b/>
                <w:bCs/>
                <w:color w:val="auto"/>
                <w:kern w:val="2"/>
                <w:sz w:val="24"/>
                <w:highlight w:val="none"/>
                <w:lang w:val="en-US" w:eastAsia="zh-CN"/>
              </w:rPr>
            </w:pPr>
            <w:r>
              <w:rPr>
                <w:rFonts w:hint="eastAsia" w:ascii="Times New Roman" w:hAnsi="Times New Roman" w:eastAsia="宋体" w:cs="Times New Roman"/>
                <w:b/>
                <w:color w:val="auto"/>
                <w:kern w:val="2"/>
                <w:sz w:val="24"/>
                <w:highlight w:val="none"/>
                <w:lang w:eastAsia="zh-CN"/>
              </w:rPr>
              <w:t>（</w:t>
            </w:r>
            <w:r>
              <w:rPr>
                <w:rFonts w:hint="eastAsia" w:ascii="Times New Roman" w:hAnsi="Times New Roman" w:eastAsia="宋体" w:cs="Times New Roman"/>
                <w:b/>
                <w:color w:val="auto"/>
                <w:kern w:val="2"/>
                <w:sz w:val="24"/>
                <w:highlight w:val="none"/>
                <w:lang w:val="en-US" w:eastAsia="zh-CN"/>
              </w:rPr>
              <w:t>4</w:t>
            </w:r>
            <w:r>
              <w:rPr>
                <w:rFonts w:hint="eastAsia" w:ascii="Times New Roman" w:hAnsi="Times New Roman" w:eastAsia="宋体" w:cs="Times New Roman"/>
                <w:b/>
                <w:color w:val="auto"/>
                <w:kern w:val="2"/>
                <w:sz w:val="24"/>
                <w:highlight w:val="none"/>
                <w:lang w:eastAsia="zh-CN"/>
              </w:rPr>
              <w:t>）</w:t>
            </w:r>
            <w:r>
              <w:rPr>
                <w:rFonts w:hint="eastAsia" w:ascii="Times New Roman" w:hAnsi="Times New Roman" w:eastAsia="宋体"/>
                <w:b/>
                <w:bCs/>
                <w:color w:val="auto"/>
                <w:kern w:val="2"/>
                <w:sz w:val="24"/>
                <w:highlight w:val="none"/>
                <w:lang w:val="en-US" w:eastAsia="zh-CN"/>
              </w:rPr>
              <w:t>沉淀</w:t>
            </w:r>
            <w:r>
              <w:rPr>
                <w:rFonts w:hint="eastAsia" w:ascii="Times New Roman" w:hAnsi="Times New Roman" w:eastAsia="宋体"/>
                <w:b/>
                <w:bCs/>
                <w:color w:val="auto"/>
                <w:kern w:val="2"/>
                <w:sz w:val="24"/>
                <w:highlight w:val="none"/>
              </w:rPr>
              <w:t>池泥沙</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kern w:val="2"/>
                <w:sz w:val="24"/>
                <w:highlight w:val="none"/>
              </w:rPr>
            </w:pPr>
            <w:r>
              <w:rPr>
                <w:rFonts w:hint="eastAsia" w:ascii="宋体" w:hAnsi="宋体" w:eastAsia="宋体" w:cs="宋体"/>
                <w:color w:val="auto"/>
                <w:kern w:val="0"/>
                <w:sz w:val="24"/>
                <w:highlight w:val="none"/>
                <w:lang w:val="en-US" w:eastAsia="zh-CN"/>
              </w:rPr>
              <w:t>本项目使用</w:t>
            </w:r>
            <w:r>
              <w:rPr>
                <w:rFonts w:hint="eastAsia" w:ascii="Times New Roman" w:hAnsi="Times New Roman" w:eastAsia="宋体"/>
                <w:color w:val="auto"/>
                <w:kern w:val="2"/>
                <w:sz w:val="24"/>
                <w:highlight w:val="none"/>
                <w:lang w:val="en-US" w:eastAsia="zh-CN"/>
              </w:rPr>
              <w:t>沉淀</w:t>
            </w:r>
            <w:r>
              <w:rPr>
                <w:rFonts w:hint="eastAsia" w:ascii="Times New Roman" w:hAnsi="Times New Roman" w:eastAsia="宋体"/>
                <w:color w:val="auto"/>
                <w:kern w:val="2"/>
                <w:sz w:val="24"/>
                <w:highlight w:val="none"/>
              </w:rPr>
              <w:t>池</w:t>
            </w:r>
            <w:r>
              <w:rPr>
                <w:rFonts w:hint="eastAsia" w:ascii="宋体" w:hAnsi="宋体" w:eastAsia="宋体" w:cs="宋体"/>
                <w:color w:val="auto"/>
                <w:kern w:val="0"/>
                <w:sz w:val="24"/>
                <w:highlight w:val="none"/>
                <w:lang w:val="en-US" w:eastAsia="zh-CN"/>
              </w:rPr>
              <w:t>处理施工废水，会产生沉淀池泥沙。</w:t>
            </w:r>
            <w:r>
              <w:rPr>
                <w:rFonts w:hint="eastAsia" w:ascii="Times New Roman" w:hAnsi="Times New Roman" w:eastAsia="宋体"/>
                <w:color w:val="auto"/>
                <w:kern w:val="2"/>
                <w:sz w:val="24"/>
                <w:highlight w:val="none"/>
                <w:lang w:val="en-US" w:eastAsia="zh-CN"/>
              </w:rPr>
              <w:t>沉淀</w:t>
            </w:r>
            <w:r>
              <w:rPr>
                <w:rFonts w:hint="eastAsia" w:ascii="Times New Roman" w:hAnsi="Times New Roman" w:eastAsia="宋体"/>
                <w:color w:val="auto"/>
                <w:kern w:val="2"/>
                <w:sz w:val="24"/>
                <w:highlight w:val="none"/>
              </w:rPr>
              <w:t>池</w:t>
            </w:r>
            <w:r>
              <w:rPr>
                <w:rFonts w:hint="eastAsia" w:ascii="Times New Roman" w:hAnsi="Times New Roman" w:eastAsia="宋体" w:cs="Times New Roman"/>
                <w:color w:val="auto"/>
                <w:kern w:val="2"/>
                <w:sz w:val="24"/>
                <w:highlight w:val="none"/>
              </w:rPr>
              <w:t>底泥沙作为固废运往建筑垃圾堆放场。</w:t>
            </w:r>
          </w:p>
          <w:p>
            <w:pPr>
              <w:keepNext w:val="0"/>
              <w:keepLines w:val="0"/>
              <w:pageBreakBefore w:val="0"/>
              <w:widowControl w:val="0"/>
              <w:kinsoku/>
              <w:wordWrap/>
              <w:overflowPunct/>
              <w:topLinePunct w:val="0"/>
              <w:autoSpaceDE/>
              <w:autoSpaceDN/>
              <w:bidi w:val="0"/>
              <w:spacing w:after="0" w:line="360" w:lineRule="auto"/>
              <w:ind w:firstLine="482" w:firstLineChars="200"/>
              <w:rPr>
                <w:b/>
                <w:bCs/>
                <w:color w:val="auto"/>
                <w:highlight w:val="none"/>
              </w:rPr>
            </w:pPr>
            <w:r>
              <w:rPr>
                <w:b/>
                <w:bCs/>
                <w:color w:val="auto"/>
                <w:sz w:val="24"/>
                <w:highlight w:val="none"/>
              </w:rPr>
              <w:t>施工期间固废做到定点堆放、合理收集处置，</w:t>
            </w:r>
            <w:r>
              <w:rPr>
                <w:rFonts w:hint="eastAsia"/>
                <w:b/>
                <w:bCs/>
                <w:color w:val="auto"/>
                <w:sz w:val="24"/>
                <w:highlight w:val="none"/>
                <w:lang w:val="en-US" w:eastAsia="zh-CN"/>
              </w:rPr>
              <w:t>不会</w:t>
            </w:r>
            <w:r>
              <w:rPr>
                <w:b/>
                <w:bCs/>
                <w:color w:val="auto"/>
                <w:sz w:val="24"/>
                <w:highlight w:val="none"/>
              </w:rPr>
              <w:t>对环境造成二次污染。</w:t>
            </w:r>
          </w:p>
          <w:p>
            <w:pPr>
              <w:keepNext w:val="0"/>
              <w:keepLines w:val="0"/>
              <w:pageBreakBefore w:val="0"/>
              <w:widowControl w:val="0"/>
              <w:kinsoku/>
              <w:wordWrap/>
              <w:overflowPunct/>
              <w:topLinePunct w:val="0"/>
              <w:autoSpaceDE/>
              <w:autoSpaceDN/>
              <w:bidi w:val="0"/>
              <w:spacing w:after="0" w:line="360" w:lineRule="auto"/>
              <w:ind w:firstLine="482" w:firstLineChars="200"/>
              <w:textAlignment w:val="center"/>
              <w:rPr>
                <w:rFonts w:ascii="Times New Roman" w:hAnsi="Times New Roman" w:eastAsia="宋体"/>
                <w:b/>
                <w:color w:val="auto"/>
                <w:kern w:val="2"/>
                <w:sz w:val="24"/>
                <w:highlight w:val="none"/>
              </w:rPr>
            </w:pPr>
            <w:r>
              <w:rPr>
                <w:rFonts w:hint="eastAsia" w:ascii="Times New Roman" w:hAnsi="Times New Roman" w:eastAsia="宋体"/>
                <w:b/>
                <w:color w:val="auto"/>
                <w:kern w:val="2"/>
                <w:sz w:val="24"/>
                <w:highlight w:val="none"/>
              </w:rPr>
              <w:t>5、施工期生态环境影响及防</w:t>
            </w:r>
            <w:r>
              <w:rPr>
                <w:rFonts w:hint="eastAsia" w:ascii="Times New Roman" w:hAnsi="Times New Roman" w:eastAsia="宋体"/>
                <w:b/>
                <w:color w:val="auto"/>
                <w:kern w:val="2"/>
                <w:sz w:val="24"/>
                <w:highlight w:val="none"/>
                <w:lang w:val="en-US" w:eastAsia="zh-CN"/>
              </w:rPr>
              <w:t>治</w:t>
            </w:r>
            <w:r>
              <w:rPr>
                <w:rFonts w:hint="eastAsia" w:ascii="Times New Roman" w:hAnsi="Times New Roman" w:eastAsia="宋体"/>
                <w:b/>
                <w:color w:val="auto"/>
                <w:kern w:val="2"/>
                <w:sz w:val="24"/>
                <w:highlight w:val="none"/>
              </w:rPr>
              <w:t>措施</w:t>
            </w:r>
          </w:p>
          <w:p>
            <w:pPr>
              <w:keepNext w:val="0"/>
              <w:keepLines w:val="0"/>
              <w:pageBreakBefore w:val="0"/>
              <w:widowControl w:val="0"/>
              <w:kinsoku/>
              <w:wordWrap/>
              <w:overflowPunct/>
              <w:topLinePunct w:val="0"/>
              <w:autoSpaceDE/>
              <w:autoSpaceDN/>
              <w:bidi w:val="0"/>
              <w:spacing w:after="0" w:line="360" w:lineRule="auto"/>
              <w:ind w:firstLine="480" w:firstLineChars="200"/>
              <w:textAlignment w:val="center"/>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t>项目区目前为已经平整的待建空地。项目施工期对生态环境的影响主要是产生水土流失，项目在施工期通过合理安排施工进度，尽量避免雨季进行水土流失严重的施工工程，同时在施工过程中对施工现场的地面按照实际情况进行部分硬化，有利于消除水土流失的不利影响。</w:t>
            </w:r>
          </w:p>
          <w:p>
            <w:pPr>
              <w:keepNext w:val="0"/>
              <w:keepLines w:val="0"/>
              <w:pageBreakBefore w:val="0"/>
              <w:widowControl w:val="0"/>
              <w:kinsoku/>
              <w:wordWrap/>
              <w:overflowPunct/>
              <w:topLinePunct w:val="0"/>
              <w:autoSpaceDE/>
              <w:autoSpaceDN/>
              <w:bidi w:val="0"/>
              <w:spacing w:after="0" w:line="360" w:lineRule="auto"/>
              <w:ind w:firstLine="480" w:firstLineChars="200"/>
              <w:textAlignment w:val="center"/>
              <w:rPr>
                <w:rFonts w:ascii="Times New Roman" w:hAnsi="Times New Roman" w:eastAsia="宋体"/>
                <w:color w:val="auto"/>
                <w:kern w:val="2"/>
                <w:sz w:val="24"/>
                <w:highlight w:val="none"/>
              </w:rPr>
            </w:pPr>
            <w:r>
              <w:rPr>
                <w:rFonts w:hint="eastAsia" w:ascii="Times New Roman" w:hAnsi="Times New Roman" w:eastAsia="宋体"/>
                <w:color w:val="auto"/>
                <w:kern w:val="2"/>
                <w:sz w:val="24"/>
                <w:highlight w:val="none"/>
              </w:rPr>
              <w:t>环评要求施工单位在施工过程中应采取以下措施防止水土流失：尽量避开雨季施工；严格按照施工方案进行施工，尽量减少施工对地表面积的扰动或直接影响区域面积；做好排水设施和防护工程，减少降水对建设区域内的裸露地表的冲刷，降低水土流失的风险；构建筑物基础和排水系统沟槽开挖时，在周边用装土袋拦挡防护，顶部以彩条布遮盖防护，下方修建简易土沟作为临时排水；施工期后期，需要对主体工程区的绿化措施区域进行土地整理，将把集中堆放的覆土料回铺到绿化区中；加强管理，坚持文明施工，科学规划施工场地布置，尽量减少破坏植被。施工期按设计采取了绿化景观措施后，营运期项目场地内生态水平将比建设前有所提升。</w:t>
            </w:r>
          </w:p>
          <w:p>
            <w:pPr>
              <w:pStyle w:val="50"/>
              <w:keepNext w:val="0"/>
              <w:keepLines w:val="0"/>
              <w:pageBreakBefore w:val="0"/>
              <w:widowControl w:val="0"/>
              <w:kinsoku/>
              <w:wordWrap/>
              <w:overflowPunct/>
              <w:topLinePunct w:val="0"/>
              <w:autoSpaceDE/>
              <w:autoSpaceDN/>
              <w:bidi w:val="0"/>
              <w:spacing w:line="360" w:lineRule="auto"/>
              <w:ind w:firstLine="482" w:firstLineChars="200"/>
              <w:rPr>
                <w:rFonts w:ascii="宋体" w:hAnsi="宋体" w:cs="宋体"/>
                <w:bCs/>
                <w:color w:val="auto"/>
                <w:spacing w:val="-10"/>
                <w:szCs w:val="21"/>
                <w:highlight w:val="none"/>
              </w:rPr>
            </w:pPr>
            <w:r>
              <w:rPr>
                <w:rFonts w:hint="eastAsia"/>
                <w:b/>
                <w:bCs/>
                <w:color w:val="auto"/>
                <w:highlight w:val="none"/>
              </w:rPr>
              <w:t>综上所述，项目施工期在严格落实本环评提出的上述措施后，其施工期的产生的各种污染和水土流失可以得到大大降低。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6" w:type="pct"/>
            <w:noWrap w:val="0"/>
            <w:tcMar>
              <w:left w:w="28" w:type="dxa"/>
              <w:right w:w="28" w:type="dxa"/>
            </w:tcMar>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运营期环境影响和保护措施</w:t>
            </w:r>
          </w:p>
        </w:tc>
        <w:tc>
          <w:tcPr>
            <w:tcW w:w="4713" w:type="pct"/>
            <w:noWrap w:val="0"/>
            <w:vAlign w:val="center"/>
          </w:tcPr>
          <w:p>
            <w:pPr>
              <w:keepNext w:val="0"/>
              <w:keepLines w:val="0"/>
              <w:pageBreakBefore w:val="0"/>
              <w:widowControl w:val="0"/>
              <w:kinsoku/>
              <w:wordWrap/>
              <w:overflowPunct/>
              <w:topLinePunct w:val="0"/>
              <w:autoSpaceDE/>
              <w:autoSpaceDN/>
              <w:bidi w:val="0"/>
              <w:spacing w:after="0" w:line="360" w:lineRule="auto"/>
              <w:rPr>
                <w:rFonts w:hint="eastAsia" w:ascii="Times New Roman" w:hAnsi="Times New Roman" w:eastAsia="宋体" w:cs="Times New Roman"/>
                <w:b/>
                <w:bCs/>
                <w:color w:val="auto"/>
                <w:kern w:val="2"/>
                <w:sz w:val="24"/>
                <w:highlight w:val="none"/>
              </w:rPr>
            </w:pPr>
            <w:r>
              <w:rPr>
                <w:rFonts w:hint="eastAsia" w:ascii="Times New Roman" w:hAnsi="Times New Roman" w:eastAsia="宋体" w:cs="Times New Roman"/>
                <w:b/>
                <w:bCs/>
                <w:color w:val="auto"/>
                <w:kern w:val="2"/>
                <w:sz w:val="24"/>
                <w:highlight w:val="none"/>
              </w:rPr>
              <w:t>一、废气环境影响和保护措施</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ascii="Times New Roman" w:hAnsi="Times New Roman" w:eastAsia="宋体" w:cs="Times New Roman"/>
                <w:b/>
                <w:bCs/>
                <w:color w:val="auto"/>
                <w:kern w:val="2"/>
                <w:sz w:val="24"/>
                <w:highlight w:val="none"/>
                <w:lang w:val="en-US" w:eastAsia="zh-CN"/>
              </w:rPr>
            </w:pPr>
            <w:r>
              <w:rPr>
                <w:rFonts w:hint="eastAsia" w:ascii="Times New Roman" w:hAnsi="Times New Roman" w:eastAsia="宋体" w:cs="Times New Roman"/>
                <w:b/>
                <w:bCs/>
                <w:color w:val="auto"/>
                <w:kern w:val="2"/>
                <w:sz w:val="24"/>
                <w:highlight w:val="none"/>
                <w:lang w:val="en-US" w:eastAsia="zh-CN"/>
              </w:rPr>
              <w:t>1、废气产排污情况</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rPr>
              <w:t>项目营运期间产生的大气污染物主要为</w:t>
            </w:r>
            <w:r>
              <w:rPr>
                <w:rFonts w:hint="eastAsia" w:ascii="Times New Roman" w:hAnsi="Times New Roman" w:eastAsia="宋体" w:cs="Times New Roman"/>
                <w:color w:val="auto"/>
                <w:kern w:val="2"/>
                <w:sz w:val="24"/>
                <w:highlight w:val="none"/>
                <w:lang w:val="en-US" w:eastAsia="zh-CN"/>
              </w:rPr>
              <w:t>锅炉产生的天然气燃烧废气、油炸产生的油炸油烟、配料粉尘、斩拌粉尘、拌料粉尘、卤制、烘烤和灭菌产生的水蒸气、卤制和烘烤产生的异味、喷码废气、热封废气、酒精擦拭时挥发的废气、</w:t>
            </w:r>
            <w:r>
              <w:rPr>
                <w:rFonts w:hint="eastAsia" w:cs="Times New Roman"/>
                <w:color w:val="auto"/>
                <w:kern w:val="2"/>
                <w:sz w:val="24"/>
                <w:highlight w:val="none"/>
                <w:lang w:val="en-US" w:eastAsia="zh-CN"/>
              </w:rPr>
              <w:t>臭氧消毒产生的废气、</w:t>
            </w:r>
            <w:r>
              <w:rPr>
                <w:rFonts w:hint="eastAsia" w:ascii="Times New Roman" w:hAnsi="Times New Roman" w:eastAsia="宋体" w:cs="Times New Roman"/>
                <w:color w:val="auto"/>
                <w:kern w:val="2"/>
                <w:sz w:val="24"/>
                <w:highlight w:val="none"/>
                <w:lang w:val="en-US" w:eastAsia="zh-CN"/>
              </w:rPr>
              <w:t>污水处理站恶臭、食堂油烟、化验室废气。</w:t>
            </w:r>
          </w:p>
          <w:p>
            <w:pPr>
              <w:pStyle w:val="41"/>
              <w:bidi w:val="0"/>
              <w:rPr>
                <w:rFonts w:hint="eastAsia"/>
                <w:color w:val="auto"/>
                <w:highlight w:val="none"/>
              </w:rPr>
            </w:pPr>
            <w:r>
              <w:rPr>
                <w:rFonts w:hint="eastAsia"/>
                <w:color w:val="auto"/>
                <w:highlight w:val="none"/>
              </w:rPr>
              <w:t>表</w:t>
            </w:r>
            <w:r>
              <w:rPr>
                <w:color w:val="auto"/>
                <w:highlight w:val="none"/>
              </w:rPr>
              <w:t>4-</w:t>
            </w:r>
            <w:r>
              <w:rPr>
                <w:rFonts w:hint="eastAsia"/>
                <w:color w:val="auto"/>
                <w:highlight w:val="none"/>
              </w:rPr>
              <w:t xml:space="preserve">2 </w:t>
            </w:r>
            <w:r>
              <w:rPr>
                <w:color w:val="auto"/>
                <w:highlight w:val="none"/>
              </w:rPr>
              <w:t xml:space="preserve"> </w:t>
            </w:r>
            <w:r>
              <w:rPr>
                <w:rFonts w:hint="eastAsia"/>
                <w:color w:val="auto"/>
                <w:highlight w:val="none"/>
              </w:rPr>
              <w:t>废气污染物产排情况一览表</w:t>
            </w:r>
          </w:p>
          <w:tbl>
            <w:tblPr>
              <w:tblStyle w:val="2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671"/>
              <w:gridCol w:w="819"/>
              <w:gridCol w:w="1256"/>
              <w:gridCol w:w="1041"/>
              <w:gridCol w:w="600"/>
              <w:gridCol w:w="494"/>
              <w:gridCol w:w="511"/>
              <w:gridCol w:w="2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restart"/>
                  <w:noWrap w:val="0"/>
                  <w:vAlign w:val="center"/>
                </w:tcPr>
                <w:p>
                  <w:pPr>
                    <w:adjustRightInd w:val="0"/>
                    <w:snapToGrid w:val="0"/>
                    <w:jc w:val="center"/>
                    <w:rPr>
                      <w:rFonts w:hint="eastAsia"/>
                      <w:b/>
                      <w:bCs/>
                      <w:color w:val="auto"/>
                      <w:highlight w:val="none"/>
                    </w:rPr>
                  </w:pPr>
                  <w:r>
                    <w:rPr>
                      <w:rFonts w:hint="eastAsia"/>
                      <w:b/>
                      <w:bCs/>
                      <w:color w:val="auto"/>
                      <w:highlight w:val="none"/>
                    </w:rPr>
                    <w:t>序号</w:t>
                  </w:r>
                </w:p>
              </w:tc>
              <w:tc>
                <w:tcPr>
                  <w:tcW w:w="407" w:type="pct"/>
                  <w:vMerge w:val="restart"/>
                  <w:noWrap w:val="0"/>
                  <w:vAlign w:val="center"/>
                </w:tcPr>
                <w:p>
                  <w:pPr>
                    <w:adjustRightInd w:val="0"/>
                    <w:snapToGrid w:val="0"/>
                    <w:jc w:val="center"/>
                    <w:rPr>
                      <w:rFonts w:hint="eastAsia"/>
                      <w:b/>
                      <w:bCs/>
                      <w:color w:val="auto"/>
                      <w:highlight w:val="none"/>
                    </w:rPr>
                  </w:pPr>
                  <w:r>
                    <w:rPr>
                      <w:rFonts w:hint="eastAsia"/>
                      <w:b/>
                      <w:bCs/>
                      <w:color w:val="auto"/>
                      <w:highlight w:val="none"/>
                    </w:rPr>
                    <w:t>产污环节</w:t>
                  </w:r>
                </w:p>
              </w:tc>
              <w:tc>
                <w:tcPr>
                  <w:tcW w:w="497" w:type="pct"/>
                  <w:vMerge w:val="restart"/>
                  <w:noWrap w:val="0"/>
                  <w:vAlign w:val="center"/>
                </w:tcPr>
                <w:p>
                  <w:pPr>
                    <w:adjustRightInd w:val="0"/>
                    <w:snapToGrid w:val="0"/>
                    <w:jc w:val="center"/>
                    <w:rPr>
                      <w:rFonts w:hint="eastAsia"/>
                      <w:b/>
                      <w:bCs/>
                      <w:color w:val="auto"/>
                      <w:highlight w:val="none"/>
                    </w:rPr>
                  </w:pPr>
                  <w:r>
                    <w:rPr>
                      <w:rFonts w:hint="eastAsia"/>
                      <w:b/>
                      <w:bCs/>
                      <w:color w:val="auto"/>
                      <w:highlight w:val="none"/>
                    </w:rPr>
                    <w:t>污染物种类</w:t>
                  </w:r>
                </w:p>
              </w:tc>
              <w:tc>
                <w:tcPr>
                  <w:tcW w:w="762" w:type="pct"/>
                  <w:vMerge w:val="restart"/>
                  <w:noWrap w:val="0"/>
                  <w:vAlign w:val="center"/>
                </w:tcPr>
                <w:p>
                  <w:pPr>
                    <w:adjustRightInd w:val="0"/>
                    <w:snapToGrid w:val="0"/>
                    <w:jc w:val="center"/>
                    <w:rPr>
                      <w:rFonts w:hint="eastAsia"/>
                      <w:b/>
                      <w:bCs/>
                      <w:color w:val="auto"/>
                      <w:highlight w:val="none"/>
                    </w:rPr>
                  </w:pPr>
                  <w:r>
                    <w:rPr>
                      <w:rFonts w:hint="eastAsia"/>
                      <w:b/>
                      <w:bCs/>
                      <w:color w:val="auto"/>
                      <w:highlight w:val="none"/>
                    </w:rPr>
                    <w:t>产生情况</w:t>
                  </w:r>
                </w:p>
              </w:tc>
              <w:tc>
                <w:tcPr>
                  <w:tcW w:w="1607" w:type="pct"/>
                  <w:gridSpan w:val="4"/>
                  <w:noWrap w:val="0"/>
                  <w:vAlign w:val="center"/>
                </w:tcPr>
                <w:p>
                  <w:pPr>
                    <w:adjustRightInd w:val="0"/>
                    <w:snapToGrid w:val="0"/>
                    <w:jc w:val="center"/>
                    <w:rPr>
                      <w:rFonts w:hint="eastAsia"/>
                      <w:b/>
                      <w:bCs/>
                      <w:color w:val="auto"/>
                      <w:highlight w:val="none"/>
                    </w:rPr>
                  </w:pPr>
                  <w:r>
                    <w:rPr>
                      <w:rFonts w:hint="eastAsia"/>
                      <w:b/>
                      <w:bCs/>
                      <w:color w:val="auto"/>
                      <w:highlight w:val="none"/>
                    </w:rPr>
                    <w:t>废气治理设施</w:t>
                  </w:r>
                </w:p>
              </w:tc>
              <w:tc>
                <w:tcPr>
                  <w:tcW w:w="1454" w:type="pct"/>
                  <w:vMerge w:val="restart"/>
                  <w:noWrap w:val="0"/>
                  <w:vAlign w:val="center"/>
                </w:tcPr>
                <w:p>
                  <w:pPr>
                    <w:adjustRightInd w:val="0"/>
                    <w:snapToGrid w:val="0"/>
                    <w:jc w:val="center"/>
                    <w:rPr>
                      <w:rFonts w:hint="eastAsia"/>
                      <w:b/>
                      <w:bCs/>
                      <w:color w:val="auto"/>
                      <w:highlight w:val="none"/>
                    </w:rPr>
                  </w:pPr>
                  <w:r>
                    <w:rPr>
                      <w:rFonts w:hint="eastAsia"/>
                      <w:b/>
                      <w:bCs/>
                      <w:color w:val="auto"/>
                      <w:highlight w:val="none"/>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noWrap w:val="0"/>
                  <w:vAlign w:val="center"/>
                </w:tcPr>
                <w:p>
                  <w:pPr>
                    <w:adjustRightInd w:val="0"/>
                    <w:snapToGrid w:val="0"/>
                    <w:jc w:val="center"/>
                    <w:rPr>
                      <w:rFonts w:hint="eastAsia"/>
                      <w:b/>
                      <w:bCs/>
                      <w:color w:val="auto"/>
                      <w:highlight w:val="none"/>
                    </w:rPr>
                  </w:pPr>
                </w:p>
              </w:tc>
              <w:tc>
                <w:tcPr>
                  <w:tcW w:w="407" w:type="pct"/>
                  <w:vMerge w:val="continue"/>
                  <w:noWrap w:val="0"/>
                  <w:vAlign w:val="center"/>
                </w:tcPr>
                <w:p>
                  <w:pPr>
                    <w:adjustRightInd w:val="0"/>
                    <w:snapToGrid w:val="0"/>
                    <w:jc w:val="center"/>
                    <w:rPr>
                      <w:rFonts w:hint="eastAsia"/>
                      <w:b/>
                      <w:bCs/>
                      <w:color w:val="auto"/>
                      <w:highlight w:val="none"/>
                    </w:rPr>
                  </w:pPr>
                </w:p>
              </w:tc>
              <w:tc>
                <w:tcPr>
                  <w:tcW w:w="497" w:type="pct"/>
                  <w:vMerge w:val="continue"/>
                  <w:noWrap w:val="0"/>
                  <w:vAlign w:val="center"/>
                </w:tcPr>
                <w:p>
                  <w:pPr>
                    <w:adjustRightInd w:val="0"/>
                    <w:snapToGrid w:val="0"/>
                    <w:jc w:val="center"/>
                    <w:rPr>
                      <w:rFonts w:hint="eastAsia"/>
                      <w:b/>
                      <w:bCs/>
                      <w:color w:val="auto"/>
                      <w:highlight w:val="none"/>
                    </w:rPr>
                  </w:pPr>
                </w:p>
              </w:tc>
              <w:tc>
                <w:tcPr>
                  <w:tcW w:w="762" w:type="pct"/>
                  <w:vMerge w:val="continue"/>
                  <w:noWrap w:val="0"/>
                  <w:vAlign w:val="center"/>
                </w:tcPr>
                <w:p>
                  <w:pPr>
                    <w:adjustRightInd w:val="0"/>
                    <w:snapToGrid w:val="0"/>
                    <w:jc w:val="center"/>
                    <w:rPr>
                      <w:rFonts w:hint="eastAsia"/>
                      <w:b/>
                      <w:bCs/>
                      <w:color w:val="auto"/>
                      <w:highlight w:val="none"/>
                    </w:rPr>
                  </w:pPr>
                </w:p>
              </w:tc>
              <w:tc>
                <w:tcPr>
                  <w:tcW w:w="632" w:type="pct"/>
                  <w:noWrap w:val="0"/>
                  <w:vAlign w:val="center"/>
                </w:tcPr>
                <w:p>
                  <w:pPr>
                    <w:adjustRightInd w:val="0"/>
                    <w:snapToGrid w:val="0"/>
                    <w:jc w:val="center"/>
                    <w:rPr>
                      <w:rFonts w:hint="eastAsia"/>
                      <w:b/>
                      <w:bCs/>
                      <w:color w:val="auto"/>
                      <w:highlight w:val="none"/>
                    </w:rPr>
                  </w:pPr>
                  <w:r>
                    <w:rPr>
                      <w:rFonts w:hint="eastAsia"/>
                      <w:b/>
                      <w:bCs/>
                      <w:color w:val="auto"/>
                      <w:highlight w:val="none"/>
                    </w:rPr>
                    <w:t>治理工艺</w:t>
                  </w:r>
                </w:p>
              </w:tc>
              <w:tc>
                <w:tcPr>
                  <w:tcW w:w="364" w:type="pct"/>
                  <w:noWrap w:val="0"/>
                  <w:vAlign w:val="center"/>
                </w:tcPr>
                <w:p>
                  <w:pPr>
                    <w:adjustRightInd w:val="0"/>
                    <w:snapToGrid w:val="0"/>
                    <w:jc w:val="center"/>
                    <w:rPr>
                      <w:rFonts w:hint="eastAsia"/>
                      <w:b/>
                      <w:bCs/>
                      <w:color w:val="auto"/>
                      <w:highlight w:val="none"/>
                    </w:rPr>
                  </w:pPr>
                  <w:r>
                    <w:rPr>
                      <w:rFonts w:hint="eastAsia"/>
                      <w:b/>
                      <w:bCs/>
                      <w:color w:val="auto"/>
                      <w:highlight w:val="none"/>
                    </w:rPr>
                    <w:t>收集效率</w:t>
                  </w:r>
                </w:p>
              </w:tc>
              <w:tc>
                <w:tcPr>
                  <w:tcW w:w="300" w:type="pct"/>
                  <w:noWrap w:val="0"/>
                  <w:vAlign w:val="center"/>
                </w:tcPr>
                <w:p>
                  <w:pPr>
                    <w:adjustRightInd w:val="0"/>
                    <w:snapToGrid w:val="0"/>
                    <w:jc w:val="center"/>
                    <w:rPr>
                      <w:rFonts w:hint="eastAsia"/>
                      <w:b/>
                      <w:bCs/>
                      <w:color w:val="auto"/>
                      <w:highlight w:val="none"/>
                    </w:rPr>
                  </w:pPr>
                  <w:r>
                    <w:rPr>
                      <w:rFonts w:hint="eastAsia"/>
                      <w:b/>
                      <w:bCs/>
                      <w:color w:val="auto"/>
                      <w:highlight w:val="none"/>
                    </w:rPr>
                    <w:t>处理效率</w:t>
                  </w:r>
                </w:p>
              </w:tc>
              <w:tc>
                <w:tcPr>
                  <w:tcW w:w="310" w:type="pct"/>
                  <w:noWrap w:val="0"/>
                  <w:vAlign w:val="center"/>
                </w:tcPr>
                <w:p>
                  <w:pPr>
                    <w:adjustRightInd w:val="0"/>
                    <w:snapToGrid w:val="0"/>
                    <w:jc w:val="center"/>
                    <w:rPr>
                      <w:rFonts w:hint="eastAsia"/>
                      <w:b/>
                      <w:bCs/>
                      <w:color w:val="auto"/>
                      <w:highlight w:val="none"/>
                    </w:rPr>
                  </w:pPr>
                  <w:r>
                    <w:rPr>
                      <w:rFonts w:hint="eastAsia"/>
                      <w:b/>
                      <w:bCs/>
                      <w:color w:val="auto"/>
                      <w:highlight w:val="none"/>
                    </w:rPr>
                    <w:t>是否可行</w:t>
                  </w:r>
                </w:p>
              </w:tc>
              <w:tc>
                <w:tcPr>
                  <w:tcW w:w="1454" w:type="pct"/>
                  <w:vMerge w:val="continue"/>
                  <w:noWrap w:val="0"/>
                  <w:vAlign w:val="center"/>
                </w:tcPr>
                <w:p>
                  <w:pPr>
                    <w:adjustRightInd w:val="0"/>
                    <w:snapToGrid w:val="0"/>
                    <w:jc w:val="center"/>
                    <w:rPr>
                      <w:rFonts w:hint="eastAsia"/>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0" w:type="pct"/>
                  <w:vMerge w:val="restart"/>
                  <w:noWrap w:val="0"/>
                  <w:vAlign w:val="center"/>
                </w:tcPr>
                <w:p>
                  <w:pPr>
                    <w:adjustRightInd w:val="0"/>
                    <w:snapToGrid w:val="0"/>
                    <w:jc w:val="center"/>
                    <w:rPr>
                      <w:rFonts w:hint="eastAsia"/>
                      <w:color w:val="auto"/>
                      <w:highlight w:val="none"/>
                    </w:rPr>
                  </w:pPr>
                  <w:r>
                    <w:rPr>
                      <w:rFonts w:hint="eastAsia"/>
                      <w:color w:val="auto"/>
                      <w:highlight w:val="none"/>
                    </w:rPr>
                    <w:t>1</w:t>
                  </w:r>
                </w:p>
              </w:tc>
              <w:tc>
                <w:tcPr>
                  <w:tcW w:w="407" w:type="pct"/>
                  <w:vMerge w:val="restart"/>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天然气燃烧废气</w:t>
                  </w:r>
                </w:p>
              </w:tc>
              <w:tc>
                <w:tcPr>
                  <w:tcW w:w="497" w:type="pct"/>
                  <w:noWrap w:val="0"/>
                  <w:vAlign w:val="center"/>
                </w:tcPr>
                <w:p>
                  <w:pPr>
                    <w:adjustRightInd w:val="0"/>
                    <w:snapToGrid w:val="0"/>
                    <w:jc w:val="center"/>
                    <w:rPr>
                      <w:rFonts w:hint="eastAsia"/>
                      <w:color w:val="auto"/>
                      <w:highlight w:val="none"/>
                    </w:rPr>
                  </w:pPr>
                  <w:r>
                    <w:rPr>
                      <w:rFonts w:hint="eastAsia"/>
                      <w:color w:val="auto"/>
                      <w:highlight w:val="none"/>
                    </w:rPr>
                    <w:t>颗粒物</w:t>
                  </w:r>
                </w:p>
              </w:tc>
              <w:tc>
                <w:tcPr>
                  <w:tcW w:w="762" w:type="pct"/>
                  <w:noWrap w:val="0"/>
                  <w:vAlign w:val="center"/>
                </w:tcPr>
                <w:p>
                  <w:pPr>
                    <w:adjustRightInd w:val="0"/>
                    <w:snapToGrid w:val="0"/>
                    <w:jc w:val="both"/>
                    <w:rPr>
                      <w:rFonts w:hint="eastAsia" w:eastAsia="宋体"/>
                      <w:color w:val="auto"/>
                      <w:highlight w:val="none"/>
                      <w:lang w:val="en-US" w:eastAsia="zh-CN"/>
                    </w:rPr>
                  </w:pPr>
                  <w:r>
                    <w:rPr>
                      <w:rFonts w:hint="eastAsia" w:eastAsia="宋体"/>
                      <w:color w:val="auto"/>
                      <w:highlight w:val="none"/>
                      <w:lang w:val="en-US" w:eastAsia="zh-CN"/>
                    </w:rPr>
                    <w:t>产生量：0.</w:t>
                  </w:r>
                  <w:r>
                    <w:rPr>
                      <w:rFonts w:hint="eastAsia"/>
                      <w:color w:val="auto"/>
                      <w:highlight w:val="none"/>
                      <w:lang w:val="en-US" w:eastAsia="zh-CN"/>
                    </w:rPr>
                    <w:t>0414</w:t>
                  </w:r>
                  <w:r>
                    <w:rPr>
                      <w:rFonts w:hint="eastAsia" w:eastAsia="宋体"/>
                      <w:color w:val="auto"/>
                      <w:highlight w:val="none"/>
                      <w:lang w:val="en-US" w:eastAsia="zh-CN"/>
                    </w:rPr>
                    <w:t>t/a</w:t>
                  </w:r>
                  <w:r>
                    <w:rPr>
                      <w:rFonts w:hint="eastAsia"/>
                      <w:color w:val="auto"/>
                      <w:highlight w:val="none"/>
                      <w:lang w:val="en-US" w:eastAsia="zh-CN"/>
                    </w:rPr>
                    <w:t>，</w:t>
                  </w:r>
                </w:p>
                <w:p>
                  <w:pPr>
                    <w:adjustRightInd w:val="0"/>
                    <w:snapToGrid w:val="0"/>
                    <w:jc w:val="both"/>
                    <w:rPr>
                      <w:rFonts w:hint="default" w:eastAsia="宋体"/>
                      <w:color w:val="auto"/>
                      <w:highlight w:val="none"/>
                      <w:lang w:val="en-US" w:eastAsia="zh-CN"/>
                    </w:rPr>
                  </w:pPr>
                  <w:r>
                    <w:rPr>
                      <w:rFonts w:hint="eastAsia" w:eastAsia="宋体"/>
                      <w:color w:val="auto"/>
                      <w:highlight w:val="none"/>
                      <w:lang w:val="en-US" w:eastAsia="zh-CN"/>
                    </w:rPr>
                    <w:t>产生速率：0.01</w:t>
                  </w:r>
                  <w:r>
                    <w:rPr>
                      <w:rFonts w:hint="eastAsia"/>
                      <w:color w:val="auto"/>
                      <w:highlight w:val="none"/>
                      <w:lang w:val="en-US" w:eastAsia="zh-CN"/>
                    </w:rPr>
                    <w:t>15</w:t>
                  </w:r>
                  <w:r>
                    <w:rPr>
                      <w:rFonts w:hint="eastAsia" w:eastAsia="宋体"/>
                      <w:color w:val="auto"/>
                      <w:highlight w:val="none"/>
                      <w:lang w:val="en-US" w:eastAsia="zh-CN"/>
                    </w:rPr>
                    <w:t>kg/h</w:t>
                  </w:r>
                </w:p>
              </w:tc>
              <w:tc>
                <w:tcPr>
                  <w:tcW w:w="632" w:type="pct"/>
                  <w:vMerge w:val="restart"/>
                  <w:noWrap w:val="0"/>
                  <w:vAlign w:val="center"/>
                </w:tcPr>
                <w:p>
                  <w:pPr>
                    <w:adjustRightInd w:val="0"/>
                    <w:snapToGrid w:val="0"/>
                    <w:jc w:val="center"/>
                    <w:rPr>
                      <w:rFonts w:hint="default" w:eastAsia="宋体"/>
                      <w:color w:val="auto"/>
                      <w:highlight w:val="none"/>
                      <w:lang w:val="en-US" w:eastAsia="zh-CN"/>
                    </w:rPr>
                  </w:pPr>
                  <w:r>
                    <w:rPr>
                      <w:rFonts w:hint="eastAsia" w:eastAsia="宋体"/>
                      <w:color w:val="auto"/>
                      <w:highlight w:val="none"/>
                      <w:lang w:eastAsia="zh-CN"/>
                    </w:rPr>
                    <w:t>通过</w:t>
                  </w:r>
                  <w:r>
                    <w:rPr>
                      <w:rFonts w:hint="eastAsia"/>
                      <w:color w:val="auto"/>
                      <w:highlight w:val="none"/>
                      <w:lang w:val="en-US" w:eastAsia="zh-CN"/>
                    </w:rPr>
                    <w:t>10</w:t>
                  </w:r>
                  <w:r>
                    <w:rPr>
                      <w:rFonts w:hint="eastAsia" w:eastAsia="宋体"/>
                      <w:color w:val="auto"/>
                      <w:highlight w:val="none"/>
                      <w:lang w:eastAsia="zh-CN"/>
                    </w:rPr>
                    <w:t>m的排气筒</w:t>
                  </w:r>
                  <w:r>
                    <w:rPr>
                      <w:rFonts w:hint="eastAsia" w:eastAsia="宋体"/>
                      <w:color w:val="auto"/>
                      <w:highlight w:val="none"/>
                      <w:lang w:val="en-US" w:eastAsia="zh-CN"/>
                    </w:rPr>
                    <w:t>排放</w:t>
                  </w:r>
                </w:p>
              </w:tc>
              <w:tc>
                <w:tcPr>
                  <w:tcW w:w="364" w:type="pct"/>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w:t>
                  </w:r>
                </w:p>
              </w:tc>
              <w:tc>
                <w:tcPr>
                  <w:tcW w:w="300" w:type="pct"/>
                  <w:noWrap w:val="0"/>
                  <w:vAlign w:val="center"/>
                </w:tcPr>
                <w:p>
                  <w:pPr>
                    <w:adjustRightInd w:val="0"/>
                    <w:snapToGrid w:val="0"/>
                    <w:jc w:val="center"/>
                    <w:rPr>
                      <w:rFonts w:hint="eastAsia" w:eastAsia="宋体"/>
                      <w:color w:val="auto"/>
                      <w:highlight w:val="none"/>
                      <w:lang w:val="en-US" w:eastAsia="zh-CN"/>
                    </w:rPr>
                  </w:pPr>
                  <w:r>
                    <w:rPr>
                      <w:rFonts w:hint="eastAsia"/>
                      <w:color w:val="auto"/>
                      <w:highlight w:val="none"/>
                      <w:lang w:val="en-US" w:eastAsia="zh-CN"/>
                    </w:rPr>
                    <w:t>/</w:t>
                  </w:r>
                </w:p>
              </w:tc>
              <w:tc>
                <w:tcPr>
                  <w:tcW w:w="310" w:type="pct"/>
                  <w:noWrap w:val="0"/>
                  <w:vAlign w:val="center"/>
                </w:tcPr>
                <w:p>
                  <w:pPr>
                    <w:adjustRightInd w:val="0"/>
                    <w:snapToGrid w:val="0"/>
                    <w:jc w:val="center"/>
                    <w:rPr>
                      <w:rFonts w:hint="eastAsia" w:eastAsia="宋体"/>
                      <w:color w:val="auto"/>
                      <w:highlight w:val="none"/>
                      <w:lang w:val="en-US" w:eastAsia="zh-CN"/>
                    </w:rPr>
                  </w:pPr>
                  <w:r>
                    <w:rPr>
                      <w:rFonts w:hint="eastAsia"/>
                      <w:color w:val="auto"/>
                      <w:highlight w:val="none"/>
                      <w:lang w:val="en-US" w:eastAsia="zh-CN"/>
                    </w:rPr>
                    <w:t>可行</w:t>
                  </w:r>
                </w:p>
              </w:tc>
              <w:tc>
                <w:tcPr>
                  <w:tcW w:w="1454" w:type="pct"/>
                  <w:noWrap w:val="0"/>
                  <w:vAlign w:val="center"/>
                </w:tcPr>
                <w:p>
                  <w:pPr>
                    <w:adjustRightInd w:val="0"/>
                    <w:snapToGrid w:val="0"/>
                    <w:jc w:val="both"/>
                    <w:rPr>
                      <w:rFonts w:hint="eastAsia"/>
                      <w:color w:val="auto"/>
                      <w:highlight w:val="none"/>
                      <w:lang w:val="en-US" w:eastAsia="zh-CN"/>
                    </w:rPr>
                  </w:pPr>
                  <w:r>
                    <w:rPr>
                      <w:rFonts w:hint="eastAsia"/>
                      <w:color w:val="auto"/>
                      <w:highlight w:val="none"/>
                      <w:lang w:val="en-US" w:eastAsia="zh-CN"/>
                    </w:rPr>
                    <w:t>有组织：</w:t>
                  </w:r>
                </w:p>
                <w:p>
                  <w:pPr>
                    <w:adjustRightInd w:val="0"/>
                    <w:snapToGrid w:val="0"/>
                    <w:jc w:val="both"/>
                    <w:rPr>
                      <w:rFonts w:hint="default"/>
                      <w:color w:val="auto"/>
                      <w:highlight w:val="none"/>
                      <w:lang w:val="en-US" w:eastAsia="zh-CN"/>
                    </w:rPr>
                  </w:pPr>
                  <w:r>
                    <w:rPr>
                      <w:rFonts w:hint="eastAsia"/>
                      <w:color w:val="auto"/>
                      <w:highlight w:val="none"/>
                      <w:lang w:val="en-US" w:eastAsia="zh-CN"/>
                    </w:rPr>
                    <w:t>排放量：0.0414t/a，</w:t>
                  </w:r>
                </w:p>
                <w:p>
                  <w:pPr>
                    <w:adjustRightInd w:val="0"/>
                    <w:snapToGrid w:val="0"/>
                    <w:jc w:val="both"/>
                    <w:rPr>
                      <w:rFonts w:hint="default"/>
                      <w:color w:val="auto"/>
                      <w:highlight w:val="none"/>
                      <w:lang w:val="en-US" w:eastAsia="zh-CN"/>
                    </w:rPr>
                  </w:pPr>
                  <w:r>
                    <w:rPr>
                      <w:rFonts w:hint="eastAsia"/>
                      <w:color w:val="auto"/>
                      <w:highlight w:val="none"/>
                      <w:lang w:val="en-US" w:eastAsia="zh-CN"/>
                    </w:rPr>
                    <w:t>排放速率：0.0115kg/h</w:t>
                  </w:r>
                </w:p>
                <w:p>
                  <w:pPr>
                    <w:adjustRightInd w:val="0"/>
                    <w:snapToGrid w:val="0"/>
                    <w:jc w:val="both"/>
                    <w:rPr>
                      <w:rFonts w:hint="default" w:eastAsia="宋体"/>
                      <w:color w:val="auto"/>
                      <w:highlight w:val="none"/>
                      <w:lang w:val="en-US" w:eastAsia="zh-CN"/>
                    </w:rPr>
                  </w:pPr>
                  <w:r>
                    <w:rPr>
                      <w:rFonts w:hint="eastAsia"/>
                      <w:color w:val="auto"/>
                      <w:highlight w:val="none"/>
                      <w:lang w:val="en-US" w:eastAsia="zh-CN"/>
                    </w:rPr>
                    <w:t>排放浓度：7.8128</w:t>
                  </w:r>
                  <w:r>
                    <w:rPr>
                      <w:rFonts w:hint="eastAsia"/>
                      <w:b w:val="0"/>
                      <w:bCs w:val="0"/>
                      <w:color w:val="auto"/>
                      <w:highlight w:val="none"/>
                    </w:rPr>
                    <w:t>mg/m</w:t>
                  </w:r>
                  <w:r>
                    <w:rPr>
                      <w:rFonts w:hint="eastAsia"/>
                      <w:b w:val="0"/>
                      <w:bCs w:val="0"/>
                      <w:color w:val="auto"/>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70" w:type="pct"/>
                  <w:vMerge w:val="continue"/>
                  <w:noWrap w:val="0"/>
                  <w:vAlign w:val="center"/>
                </w:tcPr>
                <w:p>
                  <w:pPr>
                    <w:adjustRightInd w:val="0"/>
                    <w:snapToGrid w:val="0"/>
                    <w:jc w:val="center"/>
                    <w:rPr>
                      <w:rFonts w:hint="eastAsia"/>
                      <w:color w:val="auto"/>
                      <w:highlight w:val="none"/>
                    </w:rPr>
                  </w:pPr>
                </w:p>
              </w:tc>
              <w:tc>
                <w:tcPr>
                  <w:tcW w:w="407" w:type="pct"/>
                  <w:vMerge w:val="continue"/>
                  <w:noWrap w:val="0"/>
                  <w:vAlign w:val="center"/>
                </w:tcPr>
                <w:p>
                  <w:pPr>
                    <w:adjustRightInd w:val="0"/>
                    <w:snapToGrid w:val="0"/>
                    <w:jc w:val="center"/>
                    <w:rPr>
                      <w:rFonts w:hint="eastAsia"/>
                      <w:color w:val="auto"/>
                      <w:highlight w:val="none"/>
                      <w:lang w:val="en-US" w:eastAsia="zh-CN"/>
                    </w:rPr>
                  </w:pPr>
                </w:p>
              </w:tc>
              <w:tc>
                <w:tcPr>
                  <w:tcW w:w="497" w:type="pct"/>
                  <w:noWrap w:val="0"/>
                  <w:vAlign w:val="center"/>
                </w:tcPr>
                <w:p>
                  <w:pPr>
                    <w:adjustRightInd w:val="0"/>
                    <w:snapToGrid w:val="0"/>
                    <w:jc w:val="center"/>
                    <w:rPr>
                      <w:rFonts w:hint="eastAsia"/>
                      <w:color w:val="auto"/>
                      <w:highlight w:val="none"/>
                    </w:rPr>
                  </w:pPr>
                  <w:r>
                    <w:rPr>
                      <w:color w:val="auto"/>
                      <w:highlight w:val="none"/>
                    </w:rPr>
                    <w:t>SO</w:t>
                  </w:r>
                  <w:r>
                    <w:rPr>
                      <w:color w:val="auto"/>
                      <w:highlight w:val="none"/>
                      <w:vertAlign w:val="subscript"/>
                    </w:rPr>
                    <w:t>2</w:t>
                  </w:r>
                </w:p>
              </w:tc>
              <w:tc>
                <w:tcPr>
                  <w:tcW w:w="762" w:type="pct"/>
                  <w:noWrap w:val="0"/>
                  <w:vAlign w:val="center"/>
                </w:tcPr>
                <w:p>
                  <w:pPr>
                    <w:adjustRightInd w:val="0"/>
                    <w:snapToGrid w:val="0"/>
                    <w:jc w:val="both"/>
                    <w:rPr>
                      <w:rFonts w:hint="eastAsia" w:eastAsia="宋体"/>
                      <w:color w:val="auto"/>
                      <w:highlight w:val="none"/>
                      <w:lang w:val="en-US" w:eastAsia="zh-CN"/>
                    </w:rPr>
                  </w:pPr>
                  <w:r>
                    <w:rPr>
                      <w:rFonts w:hint="eastAsia" w:eastAsia="宋体"/>
                      <w:color w:val="auto"/>
                      <w:highlight w:val="none"/>
                      <w:lang w:val="en-US" w:eastAsia="zh-CN"/>
                    </w:rPr>
                    <w:t>产生量：0.</w:t>
                  </w:r>
                  <w:r>
                    <w:rPr>
                      <w:rFonts w:hint="eastAsia"/>
                      <w:color w:val="auto"/>
                      <w:highlight w:val="none"/>
                      <w:lang w:val="en-US" w:eastAsia="zh-CN"/>
                    </w:rPr>
                    <w:t>2</w:t>
                  </w:r>
                  <w:r>
                    <w:rPr>
                      <w:rFonts w:hint="eastAsia" w:eastAsia="宋体"/>
                      <w:color w:val="auto"/>
                      <w:highlight w:val="none"/>
                      <w:lang w:val="en-US" w:eastAsia="zh-CN"/>
                    </w:rPr>
                    <w:t>t/a</w:t>
                  </w:r>
                  <w:r>
                    <w:rPr>
                      <w:rFonts w:hint="eastAsia"/>
                      <w:color w:val="auto"/>
                      <w:highlight w:val="none"/>
                      <w:lang w:val="en-US" w:eastAsia="zh-CN"/>
                    </w:rPr>
                    <w:t>，</w:t>
                  </w:r>
                </w:p>
                <w:p>
                  <w:pPr>
                    <w:adjustRightInd w:val="0"/>
                    <w:snapToGrid w:val="0"/>
                    <w:jc w:val="both"/>
                    <w:rPr>
                      <w:rFonts w:hint="eastAsia" w:eastAsia="宋体"/>
                      <w:color w:val="auto"/>
                      <w:highlight w:val="none"/>
                      <w:lang w:val="en-US" w:eastAsia="zh-CN"/>
                    </w:rPr>
                  </w:pPr>
                  <w:r>
                    <w:rPr>
                      <w:rFonts w:hint="eastAsia" w:eastAsia="宋体"/>
                      <w:color w:val="auto"/>
                      <w:highlight w:val="none"/>
                      <w:lang w:val="en-US" w:eastAsia="zh-CN"/>
                    </w:rPr>
                    <w:t>产生速率：0.</w:t>
                  </w:r>
                  <w:r>
                    <w:rPr>
                      <w:rFonts w:hint="eastAsia"/>
                      <w:color w:val="auto"/>
                      <w:highlight w:val="none"/>
                      <w:lang w:val="en-US" w:eastAsia="zh-CN"/>
                    </w:rPr>
                    <w:t>0556</w:t>
                  </w:r>
                  <w:r>
                    <w:rPr>
                      <w:rFonts w:hint="eastAsia" w:eastAsia="宋体"/>
                      <w:color w:val="auto"/>
                      <w:highlight w:val="none"/>
                      <w:lang w:val="en-US" w:eastAsia="zh-CN"/>
                    </w:rPr>
                    <w:t>kg/h</w:t>
                  </w:r>
                </w:p>
              </w:tc>
              <w:tc>
                <w:tcPr>
                  <w:tcW w:w="632" w:type="pct"/>
                  <w:vMerge w:val="continue"/>
                  <w:noWrap w:val="0"/>
                  <w:vAlign w:val="center"/>
                </w:tcPr>
                <w:p>
                  <w:pPr>
                    <w:adjustRightInd w:val="0"/>
                    <w:snapToGrid w:val="0"/>
                    <w:jc w:val="center"/>
                    <w:rPr>
                      <w:rFonts w:hint="eastAsia" w:eastAsia="宋体"/>
                      <w:color w:val="auto"/>
                      <w:highlight w:val="none"/>
                      <w:lang w:eastAsia="zh-CN"/>
                    </w:rPr>
                  </w:pPr>
                </w:p>
              </w:tc>
              <w:tc>
                <w:tcPr>
                  <w:tcW w:w="364" w:type="pct"/>
                  <w:noWrap w:val="0"/>
                  <w:vAlign w:val="center"/>
                </w:tcPr>
                <w:p>
                  <w:pPr>
                    <w:adjustRightInd w:val="0"/>
                    <w:snapToGrid w:val="0"/>
                    <w:jc w:val="center"/>
                    <w:rPr>
                      <w:rFonts w:hint="eastAsia"/>
                      <w:color w:val="auto"/>
                      <w:highlight w:val="none"/>
                      <w:lang w:val="en-US" w:eastAsia="zh-CN"/>
                    </w:rPr>
                  </w:pPr>
                </w:p>
              </w:tc>
              <w:tc>
                <w:tcPr>
                  <w:tcW w:w="300" w:type="pct"/>
                  <w:noWrap w:val="0"/>
                  <w:vAlign w:val="center"/>
                </w:tcPr>
                <w:p>
                  <w:pPr>
                    <w:adjustRightInd w:val="0"/>
                    <w:snapToGrid w:val="0"/>
                    <w:jc w:val="center"/>
                    <w:rPr>
                      <w:rFonts w:hint="eastAsia"/>
                      <w:color w:val="auto"/>
                      <w:highlight w:val="none"/>
                      <w:lang w:val="en-US" w:eastAsia="zh-CN"/>
                    </w:rPr>
                  </w:pPr>
                </w:p>
              </w:tc>
              <w:tc>
                <w:tcPr>
                  <w:tcW w:w="310"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可行</w:t>
                  </w:r>
                </w:p>
              </w:tc>
              <w:tc>
                <w:tcPr>
                  <w:tcW w:w="1454" w:type="pct"/>
                  <w:noWrap w:val="0"/>
                  <w:vAlign w:val="center"/>
                </w:tcPr>
                <w:p>
                  <w:pPr>
                    <w:adjustRightInd w:val="0"/>
                    <w:snapToGrid w:val="0"/>
                    <w:jc w:val="both"/>
                    <w:rPr>
                      <w:rFonts w:hint="eastAsia"/>
                      <w:color w:val="auto"/>
                      <w:highlight w:val="none"/>
                      <w:lang w:val="en-US" w:eastAsia="zh-CN"/>
                    </w:rPr>
                  </w:pPr>
                  <w:r>
                    <w:rPr>
                      <w:rFonts w:hint="eastAsia"/>
                      <w:color w:val="auto"/>
                      <w:highlight w:val="none"/>
                      <w:lang w:val="en-US" w:eastAsia="zh-CN"/>
                    </w:rPr>
                    <w:t>有组织：</w:t>
                  </w:r>
                </w:p>
                <w:p>
                  <w:pPr>
                    <w:adjustRightInd w:val="0"/>
                    <w:snapToGrid w:val="0"/>
                    <w:jc w:val="both"/>
                    <w:rPr>
                      <w:rFonts w:hint="default"/>
                      <w:color w:val="auto"/>
                      <w:highlight w:val="none"/>
                      <w:lang w:val="en-US" w:eastAsia="zh-CN"/>
                    </w:rPr>
                  </w:pPr>
                  <w:r>
                    <w:rPr>
                      <w:rFonts w:hint="eastAsia"/>
                      <w:color w:val="auto"/>
                      <w:highlight w:val="none"/>
                      <w:lang w:val="en-US" w:eastAsia="zh-CN"/>
                    </w:rPr>
                    <w:t>排放量：0.2t/a，</w:t>
                  </w:r>
                </w:p>
                <w:p>
                  <w:pPr>
                    <w:adjustRightInd w:val="0"/>
                    <w:snapToGrid w:val="0"/>
                    <w:jc w:val="both"/>
                    <w:rPr>
                      <w:rFonts w:hint="default"/>
                      <w:color w:val="auto"/>
                      <w:highlight w:val="none"/>
                      <w:lang w:val="en-US" w:eastAsia="zh-CN"/>
                    </w:rPr>
                  </w:pPr>
                  <w:r>
                    <w:rPr>
                      <w:rFonts w:hint="eastAsia"/>
                      <w:color w:val="auto"/>
                      <w:highlight w:val="none"/>
                      <w:lang w:val="en-US" w:eastAsia="zh-CN"/>
                    </w:rPr>
                    <w:t>排放速率：0.0556kg/h</w:t>
                  </w:r>
                </w:p>
                <w:p>
                  <w:pPr>
                    <w:adjustRightInd w:val="0"/>
                    <w:snapToGrid w:val="0"/>
                    <w:jc w:val="both"/>
                    <w:rPr>
                      <w:rFonts w:hint="default"/>
                      <w:color w:val="auto"/>
                      <w:highlight w:val="none"/>
                      <w:lang w:val="en-US" w:eastAsia="zh-CN"/>
                    </w:rPr>
                  </w:pPr>
                  <w:r>
                    <w:rPr>
                      <w:rFonts w:hint="eastAsia"/>
                      <w:color w:val="auto"/>
                      <w:highlight w:val="none"/>
                      <w:lang w:val="en-US" w:eastAsia="zh-CN"/>
                    </w:rPr>
                    <w:t>排放浓度：37.743</w:t>
                  </w:r>
                  <w:r>
                    <w:rPr>
                      <w:rFonts w:hint="eastAsia"/>
                      <w:b w:val="0"/>
                      <w:bCs w:val="0"/>
                      <w:color w:val="auto"/>
                      <w:highlight w:val="none"/>
                    </w:rPr>
                    <w:t>mg/m</w:t>
                  </w:r>
                  <w:r>
                    <w:rPr>
                      <w:rFonts w:hint="eastAsia"/>
                      <w:b w:val="0"/>
                      <w:bCs w:val="0"/>
                      <w:color w:val="auto"/>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noWrap w:val="0"/>
                  <w:vAlign w:val="center"/>
                </w:tcPr>
                <w:p>
                  <w:pPr>
                    <w:adjustRightInd w:val="0"/>
                    <w:snapToGrid w:val="0"/>
                    <w:jc w:val="center"/>
                    <w:rPr>
                      <w:color w:val="auto"/>
                      <w:highlight w:val="none"/>
                    </w:rPr>
                  </w:pPr>
                </w:p>
              </w:tc>
              <w:tc>
                <w:tcPr>
                  <w:tcW w:w="407" w:type="pct"/>
                  <w:vMerge w:val="continue"/>
                  <w:noWrap w:val="0"/>
                  <w:vAlign w:val="center"/>
                </w:tcPr>
                <w:p>
                  <w:pPr>
                    <w:adjustRightInd w:val="0"/>
                    <w:snapToGrid w:val="0"/>
                    <w:jc w:val="center"/>
                    <w:rPr>
                      <w:rFonts w:hint="eastAsia"/>
                      <w:color w:val="auto"/>
                      <w:highlight w:val="none"/>
                    </w:rPr>
                  </w:pPr>
                </w:p>
              </w:tc>
              <w:tc>
                <w:tcPr>
                  <w:tcW w:w="497"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NO</w:t>
                  </w:r>
                  <w:r>
                    <w:rPr>
                      <w:rFonts w:hint="eastAsia"/>
                      <w:color w:val="auto"/>
                      <w:highlight w:val="none"/>
                    </w:rPr>
                    <w:t>x</w:t>
                  </w:r>
                </w:p>
              </w:tc>
              <w:tc>
                <w:tcPr>
                  <w:tcW w:w="762" w:type="pct"/>
                  <w:noWrap w:val="0"/>
                  <w:vAlign w:val="center"/>
                </w:tcPr>
                <w:p>
                  <w:pPr>
                    <w:adjustRightInd w:val="0"/>
                    <w:snapToGrid w:val="0"/>
                    <w:jc w:val="both"/>
                    <w:rPr>
                      <w:rFonts w:hint="eastAsia" w:eastAsia="宋体"/>
                      <w:color w:val="auto"/>
                      <w:highlight w:val="none"/>
                      <w:lang w:val="en-US" w:eastAsia="zh-CN"/>
                    </w:rPr>
                  </w:pPr>
                  <w:r>
                    <w:rPr>
                      <w:rFonts w:hint="eastAsia" w:eastAsia="宋体"/>
                      <w:color w:val="auto"/>
                      <w:highlight w:val="none"/>
                      <w:lang w:val="en-US" w:eastAsia="zh-CN"/>
                    </w:rPr>
                    <w:t>产生量：</w:t>
                  </w:r>
                  <w:r>
                    <w:rPr>
                      <w:rFonts w:hint="eastAsia"/>
                      <w:color w:val="auto"/>
                      <w:highlight w:val="none"/>
                      <w:lang w:val="en-US" w:eastAsia="zh-CN"/>
                    </w:rPr>
                    <w:t>0.7949</w:t>
                  </w:r>
                  <w:r>
                    <w:rPr>
                      <w:rFonts w:hint="eastAsia" w:eastAsia="宋体"/>
                      <w:color w:val="auto"/>
                      <w:highlight w:val="none"/>
                      <w:lang w:val="en-US" w:eastAsia="zh-CN"/>
                    </w:rPr>
                    <w:t>t/a</w:t>
                  </w:r>
                  <w:r>
                    <w:rPr>
                      <w:rFonts w:hint="eastAsia"/>
                      <w:color w:val="auto"/>
                      <w:highlight w:val="none"/>
                      <w:lang w:val="en-US" w:eastAsia="zh-CN"/>
                    </w:rPr>
                    <w:t>，</w:t>
                  </w:r>
                </w:p>
                <w:p>
                  <w:pPr>
                    <w:adjustRightInd w:val="0"/>
                    <w:snapToGrid w:val="0"/>
                    <w:jc w:val="both"/>
                    <w:rPr>
                      <w:rFonts w:hint="default" w:ascii="Times New Roman" w:hAnsi="Times New Roman" w:eastAsia="宋体" w:cs="Times New Roman"/>
                      <w:color w:val="auto"/>
                      <w:kern w:val="2"/>
                      <w:sz w:val="21"/>
                      <w:szCs w:val="24"/>
                      <w:highlight w:val="none"/>
                      <w:lang w:val="en-US" w:eastAsia="zh-CN" w:bidi="ar-SA"/>
                    </w:rPr>
                  </w:pPr>
                  <w:r>
                    <w:rPr>
                      <w:rFonts w:hint="eastAsia" w:eastAsia="宋体"/>
                      <w:color w:val="auto"/>
                      <w:highlight w:val="none"/>
                      <w:lang w:val="en-US" w:eastAsia="zh-CN"/>
                    </w:rPr>
                    <w:t>产生速率：</w:t>
                  </w:r>
                  <w:r>
                    <w:rPr>
                      <w:rFonts w:hint="eastAsia"/>
                      <w:color w:val="auto"/>
                      <w:highlight w:val="none"/>
                      <w:lang w:val="en-US" w:eastAsia="zh-CN"/>
                    </w:rPr>
                    <w:t>0.2208k</w:t>
                  </w:r>
                  <w:r>
                    <w:rPr>
                      <w:rFonts w:hint="eastAsia" w:eastAsia="宋体"/>
                      <w:color w:val="auto"/>
                      <w:highlight w:val="none"/>
                      <w:lang w:val="en-US" w:eastAsia="zh-CN"/>
                    </w:rPr>
                    <w:t>g/h</w:t>
                  </w:r>
                </w:p>
              </w:tc>
              <w:tc>
                <w:tcPr>
                  <w:tcW w:w="632" w:type="pct"/>
                  <w:vMerge w:val="continue"/>
                  <w:noWrap w:val="0"/>
                  <w:vAlign w:val="center"/>
                </w:tcPr>
                <w:p>
                  <w:pPr>
                    <w:adjustRightInd w:val="0"/>
                    <w:snapToGrid w:val="0"/>
                    <w:jc w:val="center"/>
                    <w:rPr>
                      <w:rFonts w:hint="eastAsia" w:eastAsia="宋体"/>
                      <w:color w:val="auto"/>
                      <w:kern w:val="2"/>
                      <w:sz w:val="21"/>
                      <w:szCs w:val="24"/>
                      <w:highlight w:val="none"/>
                      <w:lang w:val="en-US" w:eastAsia="zh-CN" w:bidi="ar-SA"/>
                    </w:rPr>
                  </w:pPr>
                </w:p>
              </w:tc>
              <w:tc>
                <w:tcPr>
                  <w:tcW w:w="364" w:type="pct"/>
                  <w:noWrap w:val="0"/>
                  <w:vAlign w:val="center"/>
                </w:tcPr>
                <w:p>
                  <w:pPr>
                    <w:adjustRightInd w:val="0"/>
                    <w:snapToGrid w:val="0"/>
                    <w:jc w:val="center"/>
                    <w:rPr>
                      <w:rFonts w:hint="default"/>
                      <w:color w:val="auto"/>
                      <w:kern w:val="2"/>
                      <w:sz w:val="21"/>
                      <w:szCs w:val="24"/>
                      <w:highlight w:val="none"/>
                      <w:lang w:val="en-US" w:eastAsia="zh-CN" w:bidi="ar-SA"/>
                    </w:rPr>
                  </w:pPr>
                  <w:r>
                    <w:rPr>
                      <w:rFonts w:hint="eastAsia"/>
                      <w:color w:val="auto"/>
                      <w:kern w:val="2"/>
                      <w:sz w:val="21"/>
                      <w:szCs w:val="24"/>
                      <w:highlight w:val="none"/>
                      <w:lang w:val="en-US" w:eastAsia="zh-CN" w:bidi="ar-SA"/>
                    </w:rPr>
                    <w:t>/</w:t>
                  </w:r>
                </w:p>
              </w:tc>
              <w:tc>
                <w:tcPr>
                  <w:tcW w:w="300" w:type="pct"/>
                  <w:noWrap w:val="0"/>
                  <w:vAlign w:val="center"/>
                </w:tcPr>
                <w:p>
                  <w:pPr>
                    <w:adjustRightInd w:val="0"/>
                    <w:snapToGrid w:val="0"/>
                    <w:jc w:val="center"/>
                    <w:rPr>
                      <w:rFonts w:hint="default"/>
                      <w:color w:val="auto"/>
                      <w:kern w:val="2"/>
                      <w:sz w:val="21"/>
                      <w:szCs w:val="24"/>
                      <w:highlight w:val="none"/>
                      <w:lang w:val="en-US" w:eastAsia="zh-CN" w:bidi="ar-SA"/>
                    </w:rPr>
                  </w:pPr>
                  <w:r>
                    <w:rPr>
                      <w:rFonts w:hint="eastAsia"/>
                      <w:color w:val="auto"/>
                      <w:kern w:val="2"/>
                      <w:sz w:val="21"/>
                      <w:szCs w:val="24"/>
                      <w:highlight w:val="none"/>
                      <w:lang w:val="en-US" w:eastAsia="zh-CN" w:bidi="ar-SA"/>
                    </w:rPr>
                    <w:t>/</w:t>
                  </w:r>
                </w:p>
              </w:tc>
              <w:tc>
                <w:tcPr>
                  <w:tcW w:w="310" w:type="pct"/>
                  <w:noWrap w:val="0"/>
                  <w:vAlign w:val="center"/>
                </w:tcPr>
                <w:p>
                  <w:pPr>
                    <w:adjustRightInd w:val="0"/>
                    <w:snapToGrid w:val="0"/>
                    <w:jc w:val="center"/>
                    <w:rPr>
                      <w:rFonts w:hint="eastAsia" w:eastAsia="宋体"/>
                      <w:color w:val="auto"/>
                      <w:highlight w:val="none"/>
                      <w:lang w:val="en-US" w:eastAsia="zh-CN"/>
                    </w:rPr>
                  </w:pPr>
                  <w:r>
                    <w:rPr>
                      <w:rFonts w:hint="eastAsia"/>
                      <w:color w:val="auto"/>
                      <w:highlight w:val="none"/>
                      <w:lang w:val="en-US" w:eastAsia="zh-CN"/>
                    </w:rPr>
                    <w:t>可行</w:t>
                  </w:r>
                </w:p>
              </w:tc>
              <w:tc>
                <w:tcPr>
                  <w:tcW w:w="1454" w:type="pct"/>
                  <w:noWrap w:val="0"/>
                  <w:vAlign w:val="center"/>
                </w:tcPr>
                <w:p>
                  <w:pPr>
                    <w:adjustRightInd w:val="0"/>
                    <w:snapToGrid w:val="0"/>
                    <w:jc w:val="both"/>
                    <w:rPr>
                      <w:rFonts w:hint="eastAsia"/>
                      <w:color w:val="auto"/>
                      <w:highlight w:val="none"/>
                      <w:lang w:val="en-US" w:eastAsia="zh-CN"/>
                    </w:rPr>
                  </w:pPr>
                  <w:r>
                    <w:rPr>
                      <w:rFonts w:hint="eastAsia"/>
                      <w:color w:val="auto"/>
                      <w:highlight w:val="none"/>
                      <w:lang w:val="en-US" w:eastAsia="zh-CN"/>
                    </w:rPr>
                    <w:t>有组织：</w:t>
                  </w:r>
                </w:p>
                <w:p>
                  <w:pPr>
                    <w:adjustRightInd w:val="0"/>
                    <w:snapToGrid w:val="0"/>
                    <w:jc w:val="both"/>
                    <w:rPr>
                      <w:rFonts w:hint="default"/>
                      <w:color w:val="auto"/>
                      <w:highlight w:val="none"/>
                      <w:lang w:val="en-US" w:eastAsia="zh-CN"/>
                    </w:rPr>
                  </w:pPr>
                  <w:r>
                    <w:rPr>
                      <w:rFonts w:hint="eastAsia"/>
                      <w:color w:val="auto"/>
                      <w:highlight w:val="none"/>
                      <w:lang w:val="en-US" w:eastAsia="zh-CN"/>
                    </w:rPr>
                    <w:t>排放量：0.7949t/a，</w:t>
                  </w:r>
                </w:p>
                <w:p>
                  <w:pPr>
                    <w:adjustRightInd w:val="0"/>
                    <w:snapToGrid w:val="0"/>
                    <w:jc w:val="both"/>
                    <w:rPr>
                      <w:rFonts w:hint="default"/>
                      <w:color w:val="auto"/>
                      <w:highlight w:val="none"/>
                      <w:lang w:val="en-US" w:eastAsia="zh-CN"/>
                    </w:rPr>
                  </w:pPr>
                  <w:r>
                    <w:rPr>
                      <w:rFonts w:hint="eastAsia"/>
                      <w:color w:val="auto"/>
                      <w:highlight w:val="none"/>
                      <w:lang w:val="en-US" w:eastAsia="zh-CN"/>
                    </w:rPr>
                    <w:t>排放速率：0.2208kg/h</w:t>
                  </w:r>
                </w:p>
                <w:p>
                  <w:pPr>
                    <w:adjustRightInd w:val="0"/>
                    <w:snapToGrid w:val="0"/>
                    <w:jc w:val="both"/>
                    <w:rPr>
                      <w:rFonts w:hint="default" w:eastAsia="宋体"/>
                      <w:color w:val="auto"/>
                      <w:highlight w:val="none"/>
                      <w:lang w:val="en-US" w:eastAsia="zh-CN"/>
                    </w:rPr>
                  </w:pPr>
                  <w:r>
                    <w:rPr>
                      <w:rFonts w:hint="eastAsia"/>
                      <w:color w:val="auto"/>
                      <w:highlight w:val="none"/>
                      <w:lang w:val="en-US" w:eastAsia="zh-CN"/>
                    </w:rPr>
                    <w:t>排放浓度：150</w:t>
                  </w:r>
                  <w:r>
                    <w:rPr>
                      <w:rFonts w:hint="eastAsia"/>
                      <w:b w:val="0"/>
                      <w:bCs w:val="0"/>
                      <w:color w:val="auto"/>
                      <w:highlight w:val="none"/>
                    </w:rPr>
                    <w:t>mg/m</w:t>
                  </w:r>
                  <w:r>
                    <w:rPr>
                      <w:rFonts w:hint="eastAsia"/>
                      <w:b w:val="0"/>
                      <w:bCs w:val="0"/>
                      <w:color w:val="auto"/>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trPr>
              <w:tc>
                <w:tcPr>
                  <w:tcW w:w="270" w:type="pct"/>
                  <w:vMerge w:val="restar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2</w:t>
                  </w:r>
                </w:p>
              </w:tc>
              <w:tc>
                <w:tcPr>
                  <w:tcW w:w="407" w:type="pct"/>
                  <w:vMerge w:val="restar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油炸油烟</w:t>
                  </w:r>
                </w:p>
              </w:tc>
              <w:tc>
                <w:tcPr>
                  <w:tcW w:w="497" w:type="pct"/>
                  <w:vMerge w:val="restar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油烟</w:t>
                  </w:r>
                </w:p>
              </w:tc>
              <w:tc>
                <w:tcPr>
                  <w:tcW w:w="762" w:type="pct"/>
                  <w:vMerge w:val="restart"/>
                  <w:noWrap w:val="0"/>
                  <w:vAlign w:val="center"/>
                </w:tcPr>
                <w:p>
                  <w:pPr>
                    <w:adjustRightInd w:val="0"/>
                    <w:snapToGrid w:val="0"/>
                    <w:jc w:val="both"/>
                    <w:rPr>
                      <w:rFonts w:hint="eastAsia" w:eastAsia="宋体"/>
                      <w:color w:val="auto"/>
                      <w:highlight w:val="none"/>
                      <w:lang w:val="en-US" w:eastAsia="zh-CN"/>
                    </w:rPr>
                  </w:pPr>
                  <w:r>
                    <w:rPr>
                      <w:rFonts w:hint="eastAsia" w:eastAsia="宋体"/>
                      <w:color w:val="auto"/>
                      <w:highlight w:val="none"/>
                      <w:lang w:val="en-US" w:eastAsia="zh-CN"/>
                    </w:rPr>
                    <w:t>产生量：0.00</w:t>
                  </w:r>
                  <w:r>
                    <w:rPr>
                      <w:rFonts w:hint="eastAsia"/>
                      <w:color w:val="auto"/>
                      <w:highlight w:val="none"/>
                      <w:lang w:val="en-US" w:eastAsia="zh-CN"/>
                    </w:rPr>
                    <w:t>6</w:t>
                  </w:r>
                  <w:r>
                    <w:rPr>
                      <w:rFonts w:hint="eastAsia" w:eastAsia="宋体"/>
                      <w:color w:val="auto"/>
                      <w:highlight w:val="none"/>
                      <w:lang w:val="en-US" w:eastAsia="zh-CN"/>
                    </w:rPr>
                    <w:t>5t/a</w:t>
                  </w:r>
                  <w:r>
                    <w:rPr>
                      <w:rFonts w:hint="eastAsia"/>
                      <w:color w:val="auto"/>
                      <w:highlight w:val="none"/>
                      <w:lang w:val="en-US" w:eastAsia="zh-CN"/>
                    </w:rPr>
                    <w:t>，</w:t>
                  </w:r>
                </w:p>
                <w:p>
                  <w:pPr>
                    <w:adjustRightInd w:val="0"/>
                    <w:snapToGrid w:val="0"/>
                    <w:jc w:val="both"/>
                    <w:rPr>
                      <w:rFonts w:hint="eastAsia" w:ascii="Times New Roman" w:hAnsi="Times New Roman" w:eastAsia="宋体" w:cs="Times New Roman"/>
                      <w:color w:val="auto"/>
                      <w:kern w:val="2"/>
                      <w:sz w:val="21"/>
                      <w:szCs w:val="24"/>
                      <w:highlight w:val="none"/>
                      <w:lang w:val="en-US" w:eastAsia="zh-CN" w:bidi="ar-SA"/>
                    </w:rPr>
                  </w:pPr>
                  <w:r>
                    <w:rPr>
                      <w:rFonts w:hint="eastAsia" w:eastAsia="宋体"/>
                      <w:color w:val="auto"/>
                      <w:highlight w:val="none"/>
                      <w:lang w:val="en-US" w:eastAsia="zh-CN"/>
                    </w:rPr>
                    <w:t>产生速率：0.00</w:t>
                  </w:r>
                  <w:r>
                    <w:rPr>
                      <w:rFonts w:hint="eastAsia"/>
                      <w:color w:val="auto"/>
                      <w:highlight w:val="none"/>
                      <w:lang w:val="en-US" w:eastAsia="zh-CN"/>
                    </w:rPr>
                    <w:t>18k</w:t>
                  </w:r>
                  <w:r>
                    <w:rPr>
                      <w:rFonts w:hint="eastAsia" w:eastAsia="宋体"/>
                      <w:color w:val="auto"/>
                      <w:highlight w:val="none"/>
                      <w:lang w:val="en-US" w:eastAsia="zh-CN"/>
                    </w:rPr>
                    <w:t>g/h</w:t>
                  </w:r>
                </w:p>
              </w:tc>
              <w:tc>
                <w:tcPr>
                  <w:tcW w:w="632" w:type="pct"/>
                  <w:vMerge w:val="restart"/>
                  <w:noWrap w:val="0"/>
                  <w:vAlign w:val="center"/>
                </w:tcPr>
                <w:p>
                  <w:pPr>
                    <w:adjustRightInd w:val="0"/>
                    <w:snapToGrid w:val="0"/>
                    <w:jc w:val="center"/>
                    <w:rPr>
                      <w:rFonts w:hint="eastAsia"/>
                      <w:color w:val="auto"/>
                      <w:highlight w:val="none"/>
                    </w:rPr>
                  </w:pPr>
                  <w:r>
                    <w:rPr>
                      <w:rFonts w:hint="eastAsia"/>
                      <w:color w:val="auto"/>
                      <w:highlight w:val="none"/>
                    </w:rPr>
                    <w:t>油烟净化装置处理后，通过15m的排气筒</w:t>
                  </w:r>
                  <w:r>
                    <w:rPr>
                      <w:rFonts w:hint="eastAsia"/>
                      <w:color w:val="auto"/>
                      <w:highlight w:val="none"/>
                      <w:lang w:val="en-US" w:eastAsia="zh-CN"/>
                    </w:rPr>
                    <w:t>排放</w:t>
                  </w:r>
                </w:p>
              </w:tc>
              <w:tc>
                <w:tcPr>
                  <w:tcW w:w="364" w:type="pct"/>
                  <w:vMerge w:val="restart"/>
                  <w:noWrap w:val="0"/>
                  <w:vAlign w:val="center"/>
                </w:tcPr>
                <w:p>
                  <w:pPr>
                    <w:adjustRightInd w:val="0"/>
                    <w:snapToGrid w:val="0"/>
                    <w:jc w:val="center"/>
                    <w:rPr>
                      <w:rFonts w:hint="eastAsia"/>
                      <w:color w:val="auto"/>
                      <w:highlight w:val="none"/>
                      <w:lang w:val="en-US" w:eastAsia="zh-CN"/>
                    </w:rPr>
                  </w:pPr>
                  <w:r>
                    <w:rPr>
                      <w:rFonts w:hint="eastAsia"/>
                      <w:color w:val="auto"/>
                      <w:highlight w:val="none"/>
                      <w:lang w:val="en-US" w:eastAsia="zh-CN"/>
                    </w:rPr>
                    <w:t>90%</w:t>
                  </w:r>
                </w:p>
              </w:tc>
              <w:tc>
                <w:tcPr>
                  <w:tcW w:w="300" w:type="pct"/>
                  <w:vMerge w:val="restart"/>
                  <w:noWrap w:val="0"/>
                  <w:vAlign w:val="center"/>
                </w:tcPr>
                <w:p>
                  <w:pPr>
                    <w:adjustRightInd w:val="0"/>
                    <w:snapToGrid w:val="0"/>
                    <w:jc w:val="center"/>
                    <w:rPr>
                      <w:rFonts w:hint="eastAsia"/>
                      <w:color w:val="auto"/>
                      <w:highlight w:val="none"/>
                      <w:lang w:val="en-US" w:eastAsia="zh-CN"/>
                    </w:rPr>
                  </w:pPr>
                  <w:r>
                    <w:rPr>
                      <w:rFonts w:hint="eastAsia"/>
                      <w:color w:val="auto"/>
                      <w:highlight w:val="none"/>
                      <w:lang w:val="en-US" w:eastAsia="zh-CN"/>
                    </w:rPr>
                    <w:t>60%</w:t>
                  </w:r>
                </w:p>
              </w:tc>
              <w:tc>
                <w:tcPr>
                  <w:tcW w:w="310" w:type="pct"/>
                  <w:vMerge w:val="restart"/>
                  <w:noWrap w:val="0"/>
                  <w:vAlign w:val="center"/>
                </w:tcPr>
                <w:p>
                  <w:pPr>
                    <w:adjustRightInd w:val="0"/>
                    <w:snapToGrid w:val="0"/>
                    <w:jc w:val="center"/>
                    <w:rPr>
                      <w:rFonts w:hint="eastAsia"/>
                      <w:color w:val="auto"/>
                      <w:highlight w:val="none"/>
                      <w:lang w:val="en-US" w:eastAsia="zh-CN"/>
                    </w:rPr>
                  </w:pPr>
                  <w:r>
                    <w:rPr>
                      <w:rFonts w:hint="eastAsia"/>
                      <w:color w:val="auto"/>
                      <w:highlight w:val="none"/>
                      <w:lang w:val="en-US" w:eastAsia="zh-CN"/>
                    </w:rPr>
                    <w:t>可行</w:t>
                  </w:r>
                </w:p>
              </w:tc>
              <w:tc>
                <w:tcPr>
                  <w:tcW w:w="1454" w:type="pct"/>
                  <w:noWrap w:val="0"/>
                  <w:vAlign w:val="center"/>
                </w:tcPr>
                <w:p>
                  <w:pPr>
                    <w:adjustRightInd w:val="0"/>
                    <w:snapToGrid w:val="0"/>
                    <w:jc w:val="both"/>
                    <w:rPr>
                      <w:rFonts w:hint="eastAsia"/>
                      <w:color w:val="auto"/>
                      <w:highlight w:val="none"/>
                      <w:lang w:val="en-US" w:eastAsia="zh-CN"/>
                    </w:rPr>
                  </w:pPr>
                  <w:r>
                    <w:rPr>
                      <w:rFonts w:hint="eastAsia"/>
                      <w:color w:val="auto"/>
                      <w:highlight w:val="none"/>
                      <w:lang w:val="en-US" w:eastAsia="zh-CN"/>
                    </w:rPr>
                    <w:t>有组织：</w:t>
                  </w:r>
                </w:p>
                <w:p>
                  <w:pPr>
                    <w:adjustRightInd w:val="0"/>
                    <w:snapToGrid w:val="0"/>
                    <w:jc w:val="both"/>
                    <w:rPr>
                      <w:rFonts w:hint="default"/>
                      <w:color w:val="auto"/>
                      <w:highlight w:val="none"/>
                      <w:lang w:val="en-US" w:eastAsia="zh-CN"/>
                    </w:rPr>
                  </w:pPr>
                  <w:r>
                    <w:rPr>
                      <w:rFonts w:hint="eastAsia"/>
                      <w:color w:val="auto"/>
                      <w:highlight w:val="none"/>
                      <w:lang w:val="en-US" w:eastAsia="zh-CN"/>
                    </w:rPr>
                    <w:t>排放量：0.0023t/a，</w:t>
                  </w:r>
                </w:p>
                <w:p>
                  <w:pPr>
                    <w:adjustRightInd w:val="0"/>
                    <w:snapToGrid w:val="0"/>
                    <w:jc w:val="both"/>
                    <w:rPr>
                      <w:rFonts w:hint="default"/>
                      <w:color w:val="auto"/>
                      <w:highlight w:val="none"/>
                      <w:lang w:val="en-US" w:eastAsia="zh-CN"/>
                    </w:rPr>
                  </w:pPr>
                  <w:r>
                    <w:rPr>
                      <w:rFonts w:hint="eastAsia"/>
                      <w:color w:val="auto"/>
                      <w:highlight w:val="none"/>
                      <w:lang w:val="en-US" w:eastAsia="zh-CN"/>
                    </w:rPr>
                    <w:t>排放速率：0.0007kg/h</w:t>
                  </w:r>
                </w:p>
                <w:p>
                  <w:pPr>
                    <w:adjustRightInd w:val="0"/>
                    <w:snapToGrid w:val="0"/>
                    <w:jc w:val="both"/>
                    <w:rPr>
                      <w:rFonts w:hint="eastAsia" w:eastAsia="宋体"/>
                      <w:color w:val="auto"/>
                      <w:highlight w:val="none"/>
                      <w:lang w:val="en-US" w:eastAsia="zh-CN"/>
                    </w:rPr>
                  </w:pPr>
                  <w:r>
                    <w:rPr>
                      <w:rFonts w:hint="eastAsia"/>
                      <w:color w:val="auto"/>
                      <w:highlight w:val="none"/>
                      <w:lang w:val="en-US" w:eastAsia="zh-CN"/>
                    </w:rPr>
                    <w:t>排放浓度：0.12</w:t>
                  </w:r>
                  <w:r>
                    <w:rPr>
                      <w:rFonts w:hint="eastAsia"/>
                      <w:b w:val="0"/>
                      <w:bCs w:val="0"/>
                      <w:color w:val="auto"/>
                      <w:highlight w:val="none"/>
                    </w:rPr>
                    <w:t>mg/m</w:t>
                  </w:r>
                  <w:r>
                    <w:rPr>
                      <w:rFonts w:hint="eastAsia"/>
                      <w:b w:val="0"/>
                      <w:bCs w:val="0"/>
                      <w:color w:val="auto"/>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trPr>
              <w:tc>
                <w:tcPr>
                  <w:tcW w:w="270" w:type="pct"/>
                  <w:vMerge w:val="continue"/>
                  <w:noWrap w:val="0"/>
                  <w:vAlign w:val="center"/>
                </w:tcPr>
                <w:p>
                  <w:pPr>
                    <w:adjustRightInd w:val="0"/>
                    <w:snapToGrid w:val="0"/>
                    <w:jc w:val="center"/>
                    <w:rPr>
                      <w:rFonts w:hint="eastAsia"/>
                      <w:color w:val="auto"/>
                      <w:highlight w:val="none"/>
                      <w:lang w:val="en-US" w:eastAsia="zh-CN"/>
                    </w:rPr>
                  </w:pPr>
                </w:p>
              </w:tc>
              <w:tc>
                <w:tcPr>
                  <w:tcW w:w="407" w:type="pct"/>
                  <w:vMerge w:val="continue"/>
                  <w:noWrap w:val="0"/>
                  <w:vAlign w:val="center"/>
                </w:tcPr>
                <w:p>
                  <w:pPr>
                    <w:adjustRightInd w:val="0"/>
                    <w:snapToGrid w:val="0"/>
                    <w:jc w:val="center"/>
                    <w:rPr>
                      <w:rFonts w:hint="eastAsia"/>
                      <w:color w:val="auto"/>
                      <w:highlight w:val="none"/>
                      <w:lang w:val="en-US" w:eastAsia="zh-CN"/>
                    </w:rPr>
                  </w:pPr>
                </w:p>
              </w:tc>
              <w:tc>
                <w:tcPr>
                  <w:tcW w:w="497" w:type="pct"/>
                  <w:vMerge w:val="continue"/>
                  <w:noWrap w:val="0"/>
                  <w:vAlign w:val="center"/>
                </w:tcPr>
                <w:p>
                  <w:pPr>
                    <w:adjustRightInd w:val="0"/>
                    <w:snapToGrid w:val="0"/>
                    <w:jc w:val="center"/>
                    <w:rPr>
                      <w:rFonts w:hint="eastAsia"/>
                      <w:color w:val="auto"/>
                      <w:highlight w:val="none"/>
                      <w:lang w:val="en-US" w:eastAsia="zh-CN"/>
                    </w:rPr>
                  </w:pPr>
                </w:p>
              </w:tc>
              <w:tc>
                <w:tcPr>
                  <w:tcW w:w="762" w:type="pct"/>
                  <w:vMerge w:val="continue"/>
                  <w:noWrap w:val="0"/>
                  <w:vAlign w:val="center"/>
                </w:tcPr>
                <w:p>
                  <w:pPr>
                    <w:adjustRightInd w:val="0"/>
                    <w:snapToGrid w:val="0"/>
                    <w:jc w:val="both"/>
                    <w:rPr>
                      <w:rFonts w:hint="eastAsia" w:eastAsia="宋体"/>
                      <w:color w:val="auto"/>
                      <w:highlight w:val="none"/>
                      <w:lang w:val="en-US" w:eastAsia="zh-CN"/>
                    </w:rPr>
                  </w:pPr>
                </w:p>
              </w:tc>
              <w:tc>
                <w:tcPr>
                  <w:tcW w:w="632" w:type="pct"/>
                  <w:vMerge w:val="continue"/>
                  <w:noWrap w:val="0"/>
                  <w:vAlign w:val="center"/>
                </w:tcPr>
                <w:p>
                  <w:pPr>
                    <w:adjustRightInd w:val="0"/>
                    <w:snapToGrid w:val="0"/>
                    <w:jc w:val="center"/>
                    <w:rPr>
                      <w:rFonts w:hint="eastAsia"/>
                      <w:color w:val="auto"/>
                      <w:highlight w:val="none"/>
                    </w:rPr>
                  </w:pPr>
                </w:p>
              </w:tc>
              <w:tc>
                <w:tcPr>
                  <w:tcW w:w="364" w:type="pct"/>
                  <w:vMerge w:val="continue"/>
                  <w:noWrap w:val="0"/>
                  <w:vAlign w:val="center"/>
                </w:tcPr>
                <w:p>
                  <w:pPr>
                    <w:adjustRightInd w:val="0"/>
                    <w:snapToGrid w:val="0"/>
                    <w:jc w:val="center"/>
                    <w:rPr>
                      <w:rFonts w:hint="eastAsia"/>
                      <w:color w:val="auto"/>
                      <w:highlight w:val="none"/>
                      <w:lang w:val="en-US" w:eastAsia="zh-CN"/>
                    </w:rPr>
                  </w:pPr>
                </w:p>
              </w:tc>
              <w:tc>
                <w:tcPr>
                  <w:tcW w:w="300" w:type="pct"/>
                  <w:vMerge w:val="continue"/>
                  <w:noWrap w:val="0"/>
                  <w:vAlign w:val="center"/>
                </w:tcPr>
                <w:p>
                  <w:pPr>
                    <w:adjustRightInd w:val="0"/>
                    <w:snapToGrid w:val="0"/>
                    <w:jc w:val="center"/>
                    <w:rPr>
                      <w:rFonts w:hint="eastAsia"/>
                      <w:color w:val="auto"/>
                      <w:highlight w:val="none"/>
                      <w:lang w:val="en-US" w:eastAsia="zh-CN"/>
                    </w:rPr>
                  </w:pPr>
                </w:p>
              </w:tc>
              <w:tc>
                <w:tcPr>
                  <w:tcW w:w="310" w:type="pct"/>
                  <w:vMerge w:val="continue"/>
                  <w:noWrap w:val="0"/>
                  <w:vAlign w:val="center"/>
                </w:tcPr>
                <w:p>
                  <w:pPr>
                    <w:adjustRightInd w:val="0"/>
                    <w:snapToGrid w:val="0"/>
                    <w:jc w:val="center"/>
                    <w:rPr>
                      <w:rFonts w:hint="eastAsia"/>
                      <w:color w:val="auto"/>
                      <w:highlight w:val="none"/>
                      <w:lang w:val="en-US" w:eastAsia="zh-CN"/>
                    </w:rPr>
                  </w:pPr>
                </w:p>
              </w:tc>
              <w:tc>
                <w:tcPr>
                  <w:tcW w:w="1454" w:type="pct"/>
                  <w:noWrap w:val="0"/>
                  <w:vAlign w:val="center"/>
                </w:tcPr>
                <w:p>
                  <w:pPr>
                    <w:adjustRightInd w:val="0"/>
                    <w:snapToGrid w:val="0"/>
                    <w:jc w:val="both"/>
                    <w:rPr>
                      <w:rFonts w:hint="eastAsia"/>
                      <w:color w:val="auto"/>
                      <w:highlight w:val="none"/>
                      <w:lang w:val="en-US" w:eastAsia="zh-CN"/>
                    </w:rPr>
                  </w:pPr>
                  <w:r>
                    <w:rPr>
                      <w:rFonts w:hint="eastAsia"/>
                      <w:color w:val="auto"/>
                      <w:highlight w:val="none"/>
                      <w:lang w:val="en-US" w:eastAsia="zh-CN"/>
                    </w:rPr>
                    <w:t>无组织：</w:t>
                  </w:r>
                </w:p>
                <w:p>
                  <w:pPr>
                    <w:adjustRightInd w:val="0"/>
                    <w:snapToGrid w:val="0"/>
                    <w:jc w:val="both"/>
                    <w:rPr>
                      <w:rFonts w:hint="default"/>
                      <w:color w:val="auto"/>
                      <w:highlight w:val="none"/>
                      <w:lang w:val="en-US" w:eastAsia="zh-CN"/>
                    </w:rPr>
                  </w:pPr>
                  <w:r>
                    <w:rPr>
                      <w:rFonts w:hint="eastAsia"/>
                      <w:color w:val="auto"/>
                      <w:highlight w:val="none"/>
                      <w:lang w:val="en-US" w:eastAsia="zh-CN"/>
                    </w:rPr>
                    <w:t>排放量：0.0007t/a，</w:t>
                  </w:r>
                </w:p>
                <w:p>
                  <w:pPr>
                    <w:adjustRightInd w:val="0"/>
                    <w:snapToGrid w:val="0"/>
                    <w:jc w:val="both"/>
                    <w:rPr>
                      <w:rFonts w:hint="eastAsia" w:eastAsia="宋体"/>
                      <w:color w:val="auto"/>
                      <w:highlight w:val="none"/>
                      <w:lang w:val="en-US" w:eastAsia="zh-CN"/>
                    </w:rPr>
                  </w:pPr>
                  <w:r>
                    <w:rPr>
                      <w:rFonts w:hint="eastAsia"/>
                      <w:color w:val="auto"/>
                      <w:highlight w:val="none"/>
                      <w:lang w:val="en-US" w:eastAsia="zh-CN"/>
                    </w:rPr>
                    <w:t>排放速率：0.0002kg/h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70"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3</w:t>
                  </w:r>
                </w:p>
              </w:tc>
              <w:tc>
                <w:tcPr>
                  <w:tcW w:w="407"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配料、斩拌、拌料粉尘</w:t>
                  </w:r>
                </w:p>
              </w:tc>
              <w:tc>
                <w:tcPr>
                  <w:tcW w:w="497"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颗粒物</w:t>
                  </w:r>
                </w:p>
              </w:tc>
              <w:tc>
                <w:tcPr>
                  <w:tcW w:w="762" w:type="pct"/>
                  <w:noWrap w:val="0"/>
                  <w:vAlign w:val="center"/>
                </w:tcPr>
                <w:p>
                  <w:pPr>
                    <w:adjustRightInd w:val="0"/>
                    <w:snapToGrid w:val="0"/>
                    <w:jc w:val="both"/>
                    <w:rPr>
                      <w:rFonts w:hint="eastAsia" w:eastAsia="宋体"/>
                      <w:color w:val="auto"/>
                      <w:highlight w:val="none"/>
                      <w:lang w:val="en-US" w:eastAsia="zh-CN"/>
                    </w:rPr>
                  </w:pPr>
                  <w:r>
                    <w:rPr>
                      <w:rFonts w:hint="eastAsia" w:eastAsia="宋体"/>
                      <w:color w:val="auto"/>
                      <w:highlight w:val="none"/>
                      <w:lang w:val="en-US" w:eastAsia="zh-CN"/>
                    </w:rPr>
                    <w:t>产生量：</w:t>
                  </w:r>
                  <w:r>
                    <w:rPr>
                      <w:rFonts w:hint="eastAsia" w:ascii="Times New Roman" w:hAnsi="Times New Roman" w:eastAsia="宋体" w:cs="Times New Roman"/>
                      <w:color w:val="auto"/>
                      <w:highlight w:val="none"/>
                      <w:lang w:val="en-US" w:eastAsia="zh-CN"/>
                    </w:rPr>
                    <w:t>0.004</w:t>
                  </w:r>
                  <w:r>
                    <w:rPr>
                      <w:rFonts w:hint="eastAsia" w:cs="Times New Roman"/>
                      <w:color w:val="auto"/>
                      <w:highlight w:val="none"/>
                      <w:lang w:val="en-US" w:eastAsia="zh-CN"/>
                    </w:rPr>
                    <w:t>2</w:t>
                  </w:r>
                  <w:r>
                    <w:rPr>
                      <w:rFonts w:hint="eastAsia" w:eastAsia="宋体"/>
                      <w:color w:val="auto"/>
                      <w:highlight w:val="none"/>
                      <w:lang w:val="en-US" w:eastAsia="zh-CN"/>
                    </w:rPr>
                    <w:t>t/a</w:t>
                  </w:r>
                  <w:r>
                    <w:rPr>
                      <w:rFonts w:hint="eastAsia"/>
                      <w:color w:val="auto"/>
                      <w:highlight w:val="none"/>
                      <w:lang w:val="en-US" w:eastAsia="zh-CN"/>
                    </w:rPr>
                    <w:t>，</w:t>
                  </w:r>
                </w:p>
                <w:p>
                  <w:pPr>
                    <w:adjustRightInd w:val="0"/>
                    <w:snapToGrid w:val="0"/>
                    <w:jc w:val="both"/>
                    <w:rPr>
                      <w:rFonts w:hint="eastAsia" w:ascii="Times New Roman" w:hAnsi="Times New Roman" w:eastAsia="宋体" w:cs="Times New Roman"/>
                      <w:color w:val="auto"/>
                      <w:kern w:val="2"/>
                      <w:sz w:val="21"/>
                      <w:szCs w:val="24"/>
                      <w:highlight w:val="none"/>
                      <w:lang w:val="en-US" w:eastAsia="zh-CN" w:bidi="ar-SA"/>
                    </w:rPr>
                  </w:pPr>
                  <w:r>
                    <w:rPr>
                      <w:rFonts w:hint="eastAsia" w:eastAsia="宋体"/>
                      <w:color w:val="auto"/>
                      <w:highlight w:val="none"/>
                      <w:lang w:val="en-US" w:eastAsia="zh-CN"/>
                    </w:rPr>
                    <w:t>产生速率：</w:t>
                  </w:r>
                  <w:r>
                    <w:rPr>
                      <w:rFonts w:hint="eastAsia" w:ascii="Times New Roman" w:hAnsi="Times New Roman" w:eastAsia="宋体" w:cs="Times New Roman"/>
                      <w:color w:val="auto"/>
                      <w:highlight w:val="none"/>
                      <w:lang w:val="en-US" w:eastAsia="zh-CN"/>
                    </w:rPr>
                    <w:t>0.0012</w:t>
                  </w:r>
                  <w:r>
                    <w:rPr>
                      <w:rFonts w:hint="eastAsia"/>
                      <w:color w:val="auto"/>
                      <w:highlight w:val="none"/>
                      <w:lang w:val="en-US" w:eastAsia="zh-CN"/>
                    </w:rPr>
                    <w:t>k</w:t>
                  </w:r>
                  <w:r>
                    <w:rPr>
                      <w:rFonts w:hint="eastAsia" w:eastAsia="宋体"/>
                      <w:color w:val="auto"/>
                      <w:highlight w:val="none"/>
                      <w:lang w:val="en-US" w:eastAsia="zh-CN"/>
                    </w:rPr>
                    <w:t>g/h</w:t>
                  </w:r>
                </w:p>
              </w:tc>
              <w:tc>
                <w:tcPr>
                  <w:tcW w:w="632"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无组织排放</w:t>
                  </w:r>
                </w:p>
              </w:tc>
              <w:tc>
                <w:tcPr>
                  <w:tcW w:w="364"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w:t>
                  </w:r>
                </w:p>
              </w:tc>
              <w:tc>
                <w:tcPr>
                  <w:tcW w:w="300"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w:t>
                  </w:r>
                </w:p>
              </w:tc>
              <w:tc>
                <w:tcPr>
                  <w:tcW w:w="310"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可行</w:t>
                  </w:r>
                </w:p>
              </w:tc>
              <w:tc>
                <w:tcPr>
                  <w:tcW w:w="1454" w:type="pct"/>
                  <w:noWrap w:val="0"/>
                  <w:vAlign w:val="center"/>
                </w:tcPr>
                <w:p>
                  <w:pPr>
                    <w:adjustRightInd w:val="0"/>
                    <w:snapToGrid w:val="0"/>
                    <w:jc w:val="both"/>
                    <w:rPr>
                      <w:rFonts w:hint="eastAsia"/>
                      <w:color w:val="auto"/>
                      <w:highlight w:val="none"/>
                      <w:lang w:val="en-US" w:eastAsia="zh-CN"/>
                    </w:rPr>
                  </w:pPr>
                  <w:r>
                    <w:rPr>
                      <w:rFonts w:hint="eastAsia"/>
                      <w:color w:val="auto"/>
                      <w:highlight w:val="none"/>
                      <w:lang w:val="en-US" w:eastAsia="zh-CN"/>
                    </w:rPr>
                    <w:t>无组织：</w:t>
                  </w:r>
                </w:p>
                <w:p>
                  <w:pPr>
                    <w:adjustRightInd w:val="0"/>
                    <w:snapToGrid w:val="0"/>
                    <w:jc w:val="both"/>
                    <w:rPr>
                      <w:rFonts w:hint="default"/>
                      <w:color w:val="auto"/>
                      <w:highlight w:val="none"/>
                      <w:lang w:val="en-US" w:eastAsia="zh-CN"/>
                    </w:rPr>
                  </w:pPr>
                  <w:r>
                    <w:rPr>
                      <w:rFonts w:hint="eastAsia"/>
                      <w:color w:val="auto"/>
                      <w:highlight w:val="none"/>
                      <w:lang w:val="en-US" w:eastAsia="zh-CN"/>
                    </w:rPr>
                    <w:t>排放量：0.0042t/a，</w:t>
                  </w:r>
                </w:p>
                <w:p>
                  <w:pPr>
                    <w:adjustRightInd w:val="0"/>
                    <w:snapToGrid w:val="0"/>
                    <w:jc w:val="both"/>
                    <w:rPr>
                      <w:rFonts w:hint="eastAsia" w:eastAsia="宋体"/>
                      <w:color w:val="auto"/>
                      <w:highlight w:val="none"/>
                      <w:lang w:val="en-US" w:eastAsia="zh-CN"/>
                    </w:rPr>
                  </w:pPr>
                  <w:r>
                    <w:rPr>
                      <w:rFonts w:hint="eastAsia"/>
                      <w:color w:val="auto"/>
                      <w:highlight w:val="none"/>
                      <w:lang w:val="en-US" w:eastAsia="zh-CN"/>
                    </w:rPr>
                    <w:t>排放速率：0.0012kg/h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70"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4</w:t>
                  </w:r>
                </w:p>
              </w:tc>
              <w:tc>
                <w:tcPr>
                  <w:tcW w:w="407"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水蒸气</w:t>
                  </w:r>
                </w:p>
              </w:tc>
              <w:tc>
                <w:tcPr>
                  <w:tcW w:w="497"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H</w:t>
                  </w:r>
                  <w:r>
                    <w:rPr>
                      <w:rFonts w:hint="eastAsia"/>
                      <w:color w:val="auto"/>
                      <w:highlight w:val="none"/>
                      <w:vertAlign w:val="subscript"/>
                      <w:lang w:val="en-US" w:eastAsia="zh-CN"/>
                    </w:rPr>
                    <w:t>2</w:t>
                  </w:r>
                  <w:r>
                    <w:rPr>
                      <w:rFonts w:hint="eastAsia"/>
                      <w:color w:val="auto"/>
                      <w:highlight w:val="none"/>
                      <w:lang w:val="en-US" w:eastAsia="zh-CN"/>
                    </w:rPr>
                    <w:t>O</w:t>
                  </w:r>
                </w:p>
              </w:tc>
              <w:tc>
                <w:tcPr>
                  <w:tcW w:w="762" w:type="pct"/>
                  <w:noWrap w:val="0"/>
                  <w:vAlign w:val="center"/>
                </w:tcPr>
                <w:p>
                  <w:pPr>
                    <w:adjustRightInd w:val="0"/>
                    <w:snapToGrid w:val="0"/>
                    <w:jc w:val="both"/>
                    <w:rPr>
                      <w:rFonts w:hint="default" w:ascii="Times New Roman" w:hAnsi="Times New Roman" w:eastAsia="宋体" w:cs="Times New Roman"/>
                      <w:color w:val="auto"/>
                      <w:kern w:val="2"/>
                      <w:sz w:val="21"/>
                      <w:szCs w:val="24"/>
                      <w:highlight w:val="none"/>
                      <w:lang w:val="en-US" w:eastAsia="zh-CN" w:bidi="ar-SA"/>
                    </w:rPr>
                  </w:pPr>
                  <w:r>
                    <w:rPr>
                      <w:rFonts w:hint="eastAsia" w:eastAsia="宋体"/>
                      <w:color w:val="auto"/>
                      <w:highlight w:val="none"/>
                      <w:lang w:val="en-US" w:eastAsia="zh-CN"/>
                    </w:rPr>
                    <w:t>/</w:t>
                  </w:r>
                </w:p>
              </w:tc>
              <w:tc>
                <w:tcPr>
                  <w:tcW w:w="632"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冷凝</w:t>
                  </w:r>
                </w:p>
              </w:tc>
              <w:tc>
                <w:tcPr>
                  <w:tcW w:w="364"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w:t>
                  </w:r>
                </w:p>
              </w:tc>
              <w:tc>
                <w:tcPr>
                  <w:tcW w:w="300"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w:t>
                  </w:r>
                </w:p>
              </w:tc>
              <w:tc>
                <w:tcPr>
                  <w:tcW w:w="310"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可行</w:t>
                  </w:r>
                </w:p>
              </w:tc>
              <w:tc>
                <w:tcPr>
                  <w:tcW w:w="1454" w:type="pct"/>
                  <w:noWrap w:val="0"/>
                  <w:vAlign w:val="center"/>
                </w:tcPr>
                <w:p>
                  <w:pPr>
                    <w:adjustRightInd w:val="0"/>
                    <w:snapToGrid w:val="0"/>
                    <w:jc w:val="both"/>
                    <w:rPr>
                      <w:rFonts w:hint="default" w:eastAsia="宋体"/>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70"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5</w:t>
                  </w:r>
                </w:p>
              </w:tc>
              <w:tc>
                <w:tcPr>
                  <w:tcW w:w="407"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异味</w:t>
                  </w:r>
                </w:p>
              </w:tc>
              <w:tc>
                <w:tcPr>
                  <w:tcW w:w="497"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w:t>
                  </w:r>
                </w:p>
              </w:tc>
              <w:tc>
                <w:tcPr>
                  <w:tcW w:w="762" w:type="pct"/>
                  <w:noWrap w:val="0"/>
                  <w:vAlign w:val="center"/>
                </w:tcPr>
                <w:p>
                  <w:pPr>
                    <w:adjustRightInd w:val="0"/>
                    <w:snapToGrid w:val="0"/>
                    <w:jc w:val="both"/>
                    <w:rPr>
                      <w:rFonts w:hint="default" w:ascii="Times New Roman" w:hAnsi="Times New Roman" w:eastAsia="宋体" w:cs="Times New Roman"/>
                      <w:color w:val="auto"/>
                      <w:kern w:val="2"/>
                      <w:sz w:val="21"/>
                      <w:szCs w:val="24"/>
                      <w:highlight w:val="none"/>
                      <w:lang w:val="en-US" w:eastAsia="zh-CN" w:bidi="ar-SA"/>
                    </w:rPr>
                  </w:pPr>
                  <w:r>
                    <w:rPr>
                      <w:rFonts w:hint="eastAsia" w:eastAsia="宋体"/>
                      <w:color w:val="auto"/>
                      <w:highlight w:val="none"/>
                      <w:lang w:val="en-US" w:eastAsia="zh-CN"/>
                    </w:rPr>
                    <w:t>较少</w:t>
                  </w:r>
                </w:p>
              </w:tc>
              <w:tc>
                <w:tcPr>
                  <w:tcW w:w="632"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加强车间通风</w:t>
                  </w:r>
                </w:p>
              </w:tc>
              <w:tc>
                <w:tcPr>
                  <w:tcW w:w="364"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w:t>
                  </w:r>
                </w:p>
              </w:tc>
              <w:tc>
                <w:tcPr>
                  <w:tcW w:w="300"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w:t>
                  </w:r>
                </w:p>
              </w:tc>
              <w:tc>
                <w:tcPr>
                  <w:tcW w:w="310"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可行</w:t>
                  </w:r>
                </w:p>
              </w:tc>
              <w:tc>
                <w:tcPr>
                  <w:tcW w:w="1454" w:type="pct"/>
                  <w:noWrap w:val="0"/>
                  <w:vAlign w:val="center"/>
                </w:tcPr>
                <w:p>
                  <w:pPr>
                    <w:adjustRightInd w:val="0"/>
                    <w:snapToGrid w:val="0"/>
                    <w:jc w:val="both"/>
                    <w:rPr>
                      <w:rFonts w:hint="eastAsia"/>
                      <w:color w:val="auto"/>
                      <w:highlight w:val="none"/>
                      <w:lang w:val="en-US" w:eastAsia="zh-CN"/>
                    </w:rPr>
                  </w:pPr>
                  <w:r>
                    <w:rPr>
                      <w:rFonts w:hint="eastAsia"/>
                      <w:color w:val="auto"/>
                      <w:highlight w:val="none"/>
                      <w:lang w:val="en-US" w:eastAsia="zh-CN"/>
                    </w:rPr>
                    <w:t>无组织：</w:t>
                  </w:r>
                </w:p>
                <w:p>
                  <w:pPr>
                    <w:adjustRightInd w:val="0"/>
                    <w:snapToGrid w:val="0"/>
                    <w:jc w:val="both"/>
                    <w:rPr>
                      <w:rFonts w:hint="default" w:eastAsia="宋体"/>
                      <w:color w:val="auto"/>
                      <w:highlight w:val="none"/>
                      <w:lang w:val="en-US" w:eastAsia="zh-CN"/>
                    </w:rPr>
                  </w:pPr>
                  <w:r>
                    <w:rPr>
                      <w:rFonts w:hint="eastAsia"/>
                      <w:color w:val="auto"/>
                      <w:highlight w:val="none"/>
                      <w:lang w:val="en-US" w:eastAsia="zh-CN"/>
                    </w:rPr>
                    <w:t>排放量：较少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70"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6</w:t>
                  </w:r>
                </w:p>
              </w:tc>
              <w:tc>
                <w:tcPr>
                  <w:tcW w:w="407"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喷码废气</w:t>
                  </w:r>
                </w:p>
              </w:tc>
              <w:tc>
                <w:tcPr>
                  <w:tcW w:w="497"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VOCs</w:t>
                  </w:r>
                </w:p>
              </w:tc>
              <w:tc>
                <w:tcPr>
                  <w:tcW w:w="762" w:type="pct"/>
                  <w:noWrap w:val="0"/>
                  <w:vAlign w:val="center"/>
                </w:tcPr>
                <w:p>
                  <w:pPr>
                    <w:adjustRightInd w:val="0"/>
                    <w:snapToGrid w:val="0"/>
                    <w:jc w:val="both"/>
                    <w:rPr>
                      <w:rFonts w:hint="eastAsia" w:eastAsia="宋体"/>
                      <w:color w:val="auto"/>
                      <w:highlight w:val="none"/>
                      <w:lang w:val="en-US" w:eastAsia="zh-CN"/>
                    </w:rPr>
                  </w:pPr>
                  <w:r>
                    <w:rPr>
                      <w:rFonts w:hint="eastAsia" w:eastAsia="宋体"/>
                      <w:color w:val="auto"/>
                      <w:highlight w:val="none"/>
                      <w:lang w:val="en-US" w:eastAsia="zh-CN"/>
                    </w:rPr>
                    <w:t>产生量：</w:t>
                  </w:r>
                  <w:r>
                    <w:rPr>
                      <w:rFonts w:hint="eastAsia" w:ascii="Times New Roman" w:hAnsi="Times New Roman" w:eastAsia="宋体" w:cs="Times New Roman"/>
                      <w:color w:val="auto"/>
                      <w:highlight w:val="none"/>
                      <w:lang w:val="en-US" w:eastAsia="zh-CN"/>
                    </w:rPr>
                    <w:t>0.0</w:t>
                  </w:r>
                  <w:r>
                    <w:rPr>
                      <w:rFonts w:hint="eastAsia" w:cs="Times New Roman"/>
                      <w:color w:val="auto"/>
                      <w:highlight w:val="none"/>
                      <w:lang w:val="en-US" w:eastAsia="zh-CN"/>
                    </w:rPr>
                    <w:t>112</w:t>
                  </w:r>
                  <w:r>
                    <w:rPr>
                      <w:rFonts w:hint="eastAsia" w:eastAsia="宋体"/>
                      <w:color w:val="auto"/>
                      <w:highlight w:val="none"/>
                      <w:lang w:val="en-US" w:eastAsia="zh-CN"/>
                    </w:rPr>
                    <w:t>t/a</w:t>
                  </w:r>
                  <w:r>
                    <w:rPr>
                      <w:rFonts w:hint="eastAsia"/>
                      <w:color w:val="auto"/>
                      <w:highlight w:val="none"/>
                      <w:lang w:val="en-US" w:eastAsia="zh-CN"/>
                    </w:rPr>
                    <w:t>，</w:t>
                  </w:r>
                </w:p>
                <w:p>
                  <w:pPr>
                    <w:adjustRightInd w:val="0"/>
                    <w:snapToGrid w:val="0"/>
                    <w:jc w:val="both"/>
                    <w:rPr>
                      <w:rFonts w:hint="default" w:ascii="Times New Roman" w:hAnsi="Times New Roman" w:eastAsia="宋体" w:cs="Times New Roman"/>
                      <w:color w:val="auto"/>
                      <w:kern w:val="2"/>
                      <w:sz w:val="21"/>
                      <w:szCs w:val="24"/>
                      <w:highlight w:val="none"/>
                      <w:lang w:val="en-US" w:eastAsia="zh-CN" w:bidi="ar-SA"/>
                    </w:rPr>
                  </w:pPr>
                  <w:r>
                    <w:rPr>
                      <w:rFonts w:hint="eastAsia" w:eastAsia="宋体"/>
                      <w:color w:val="auto"/>
                      <w:highlight w:val="none"/>
                      <w:lang w:val="en-US" w:eastAsia="zh-CN"/>
                    </w:rPr>
                    <w:t>产生速率：</w:t>
                  </w:r>
                  <w:r>
                    <w:rPr>
                      <w:rFonts w:hint="eastAsia" w:ascii="Times New Roman" w:hAnsi="Times New Roman" w:eastAsia="宋体" w:cs="Times New Roman"/>
                      <w:color w:val="auto"/>
                      <w:highlight w:val="none"/>
                      <w:lang w:val="en-US" w:eastAsia="zh-CN"/>
                    </w:rPr>
                    <w:t>0.00</w:t>
                  </w:r>
                  <w:r>
                    <w:rPr>
                      <w:rFonts w:hint="eastAsia" w:cs="Times New Roman"/>
                      <w:color w:val="auto"/>
                      <w:highlight w:val="none"/>
                      <w:lang w:val="en-US" w:eastAsia="zh-CN"/>
                    </w:rPr>
                    <w:t>6</w:t>
                  </w:r>
                  <w:r>
                    <w:rPr>
                      <w:rFonts w:hint="eastAsia" w:ascii="Times New Roman" w:hAnsi="Times New Roman" w:eastAsia="宋体" w:cs="Times New Roman"/>
                      <w:color w:val="auto"/>
                      <w:highlight w:val="none"/>
                      <w:lang w:val="en-US" w:eastAsia="zh-CN"/>
                    </w:rPr>
                    <w:t>2</w:t>
                  </w:r>
                  <w:r>
                    <w:rPr>
                      <w:rFonts w:hint="eastAsia"/>
                      <w:color w:val="auto"/>
                      <w:highlight w:val="none"/>
                      <w:lang w:val="en-US" w:eastAsia="zh-CN"/>
                    </w:rPr>
                    <w:t>k</w:t>
                  </w:r>
                  <w:r>
                    <w:rPr>
                      <w:rFonts w:hint="eastAsia" w:eastAsia="宋体"/>
                      <w:color w:val="auto"/>
                      <w:highlight w:val="none"/>
                      <w:lang w:val="en-US" w:eastAsia="zh-CN"/>
                    </w:rPr>
                    <w:t>g/h</w:t>
                  </w:r>
                </w:p>
              </w:tc>
              <w:tc>
                <w:tcPr>
                  <w:tcW w:w="632"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加强车间通风</w:t>
                  </w:r>
                </w:p>
              </w:tc>
              <w:tc>
                <w:tcPr>
                  <w:tcW w:w="364"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w:t>
                  </w:r>
                </w:p>
              </w:tc>
              <w:tc>
                <w:tcPr>
                  <w:tcW w:w="300"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w:t>
                  </w:r>
                </w:p>
              </w:tc>
              <w:tc>
                <w:tcPr>
                  <w:tcW w:w="310" w:type="pct"/>
                  <w:noWrap w:val="0"/>
                  <w:vAlign w:val="center"/>
                </w:tcPr>
                <w:p>
                  <w:pPr>
                    <w:adjustRightInd w:val="0"/>
                    <w:snapToGrid w:val="0"/>
                    <w:jc w:val="center"/>
                    <w:rPr>
                      <w:rFonts w:hint="eastAsia" w:eastAsia="宋体"/>
                      <w:color w:val="auto"/>
                      <w:highlight w:val="none"/>
                      <w:lang w:val="en-US" w:eastAsia="zh-CN"/>
                    </w:rPr>
                  </w:pPr>
                  <w:r>
                    <w:rPr>
                      <w:rFonts w:hint="eastAsia"/>
                      <w:color w:val="auto"/>
                      <w:highlight w:val="none"/>
                      <w:lang w:val="en-US" w:eastAsia="zh-CN"/>
                    </w:rPr>
                    <w:t>可行</w:t>
                  </w:r>
                </w:p>
              </w:tc>
              <w:tc>
                <w:tcPr>
                  <w:tcW w:w="1454" w:type="pct"/>
                  <w:noWrap w:val="0"/>
                  <w:vAlign w:val="center"/>
                </w:tcPr>
                <w:p>
                  <w:pPr>
                    <w:adjustRightInd w:val="0"/>
                    <w:snapToGrid w:val="0"/>
                    <w:jc w:val="both"/>
                    <w:rPr>
                      <w:rFonts w:hint="eastAsia"/>
                      <w:color w:val="auto"/>
                      <w:highlight w:val="none"/>
                      <w:lang w:val="en-US" w:eastAsia="zh-CN"/>
                    </w:rPr>
                  </w:pPr>
                  <w:r>
                    <w:rPr>
                      <w:rFonts w:hint="eastAsia"/>
                      <w:color w:val="auto"/>
                      <w:highlight w:val="none"/>
                      <w:lang w:val="en-US" w:eastAsia="zh-CN"/>
                    </w:rPr>
                    <w:t>无组织：</w:t>
                  </w:r>
                </w:p>
                <w:p>
                  <w:pPr>
                    <w:adjustRightInd w:val="0"/>
                    <w:snapToGrid w:val="0"/>
                    <w:jc w:val="both"/>
                    <w:rPr>
                      <w:rFonts w:hint="default"/>
                      <w:color w:val="auto"/>
                      <w:highlight w:val="none"/>
                      <w:lang w:val="en-US" w:eastAsia="zh-CN"/>
                    </w:rPr>
                  </w:pPr>
                  <w:r>
                    <w:rPr>
                      <w:rFonts w:hint="eastAsia"/>
                      <w:color w:val="auto"/>
                      <w:highlight w:val="none"/>
                      <w:lang w:val="en-US" w:eastAsia="zh-CN"/>
                    </w:rPr>
                    <w:t>排放量：0.0112t/a，</w:t>
                  </w:r>
                </w:p>
                <w:p>
                  <w:pPr>
                    <w:adjustRightInd w:val="0"/>
                    <w:snapToGrid w:val="0"/>
                    <w:jc w:val="both"/>
                    <w:rPr>
                      <w:rFonts w:hint="default" w:eastAsia="宋体"/>
                      <w:color w:val="auto"/>
                      <w:highlight w:val="none"/>
                      <w:lang w:val="en-US" w:eastAsia="zh-CN"/>
                    </w:rPr>
                  </w:pPr>
                  <w:r>
                    <w:rPr>
                      <w:rFonts w:hint="eastAsia"/>
                      <w:color w:val="auto"/>
                      <w:highlight w:val="none"/>
                      <w:lang w:val="en-US" w:eastAsia="zh-CN"/>
                    </w:rPr>
                    <w:t>排放速率：0.0062kg/h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7</w:t>
                  </w:r>
                </w:p>
              </w:tc>
              <w:tc>
                <w:tcPr>
                  <w:tcW w:w="407"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热封废气</w:t>
                  </w:r>
                </w:p>
              </w:tc>
              <w:tc>
                <w:tcPr>
                  <w:tcW w:w="497"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非甲烷总烃</w:t>
                  </w:r>
                </w:p>
              </w:tc>
              <w:tc>
                <w:tcPr>
                  <w:tcW w:w="762" w:type="pct"/>
                  <w:noWrap w:val="0"/>
                  <w:vAlign w:val="center"/>
                </w:tcPr>
                <w:p>
                  <w:pPr>
                    <w:adjustRightInd w:val="0"/>
                    <w:snapToGrid w:val="0"/>
                    <w:jc w:val="both"/>
                    <w:rPr>
                      <w:rFonts w:hint="default" w:ascii="Times New Roman" w:hAnsi="Times New Roman" w:eastAsia="宋体" w:cs="Times New Roman"/>
                      <w:color w:val="auto"/>
                      <w:kern w:val="2"/>
                      <w:sz w:val="21"/>
                      <w:szCs w:val="24"/>
                      <w:highlight w:val="none"/>
                      <w:lang w:val="en-US" w:eastAsia="zh-CN" w:bidi="ar-SA"/>
                    </w:rPr>
                  </w:pPr>
                  <w:r>
                    <w:rPr>
                      <w:rFonts w:hint="eastAsia" w:eastAsia="宋体"/>
                      <w:color w:val="auto"/>
                      <w:highlight w:val="none"/>
                      <w:lang w:val="en-US" w:eastAsia="zh-CN"/>
                    </w:rPr>
                    <w:t>较少</w:t>
                  </w:r>
                </w:p>
              </w:tc>
              <w:tc>
                <w:tcPr>
                  <w:tcW w:w="632"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加强车间通风</w:t>
                  </w:r>
                </w:p>
              </w:tc>
              <w:tc>
                <w:tcPr>
                  <w:tcW w:w="364"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w:t>
                  </w:r>
                </w:p>
              </w:tc>
              <w:tc>
                <w:tcPr>
                  <w:tcW w:w="300"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w:t>
                  </w:r>
                </w:p>
              </w:tc>
              <w:tc>
                <w:tcPr>
                  <w:tcW w:w="310"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可行</w:t>
                  </w:r>
                </w:p>
              </w:tc>
              <w:tc>
                <w:tcPr>
                  <w:tcW w:w="1454" w:type="pct"/>
                  <w:noWrap w:val="0"/>
                  <w:vAlign w:val="center"/>
                </w:tcPr>
                <w:p>
                  <w:pPr>
                    <w:adjustRightInd w:val="0"/>
                    <w:snapToGrid w:val="0"/>
                    <w:jc w:val="both"/>
                    <w:rPr>
                      <w:rFonts w:hint="eastAsia"/>
                      <w:color w:val="auto"/>
                      <w:highlight w:val="none"/>
                      <w:lang w:val="en-US" w:eastAsia="zh-CN"/>
                    </w:rPr>
                  </w:pPr>
                  <w:r>
                    <w:rPr>
                      <w:rFonts w:hint="eastAsia"/>
                      <w:color w:val="auto"/>
                      <w:highlight w:val="none"/>
                      <w:lang w:val="en-US" w:eastAsia="zh-CN"/>
                    </w:rPr>
                    <w:t>无组织：</w:t>
                  </w:r>
                </w:p>
                <w:p>
                  <w:pPr>
                    <w:adjustRightInd w:val="0"/>
                    <w:snapToGrid w:val="0"/>
                    <w:jc w:val="both"/>
                    <w:rPr>
                      <w:rFonts w:hint="eastAsia" w:eastAsia="宋体"/>
                      <w:color w:val="auto"/>
                      <w:highlight w:val="none"/>
                      <w:lang w:val="en-US" w:eastAsia="zh-CN"/>
                    </w:rPr>
                  </w:pPr>
                  <w:r>
                    <w:rPr>
                      <w:rFonts w:hint="eastAsia"/>
                      <w:color w:val="auto"/>
                      <w:highlight w:val="none"/>
                      <w:lang w:val="en-US" w:eastAsia="zh-CN"/>
                    </w:rPr>
                    <w:t>排放量：较少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8</w:t>
                  </w:r>
                </w:p>
              </w:tc>
              <w:tc>
                <w:tcPr>
                  <w:tcW w:w="407"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酒精擦拭废气</w:t>
                  </w:r>
                </w:p>
              </w:tc>
              <w:tc>
                <w:tcPr>
                  <w:tcW w:w="497"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VOCs</w:t>
                  </w:r>
                </w:p>
              </w:tc>
              <w:tc>
                <w:tcPr>
                  <w:tcW w:w="762" w:type="pct"/>
                  <w:noWrap w:val="0"/>
                  <w:vAlign w:val="center"/>
                </w:tcPr>
                <w:p>
                  <w:pPr>
                    <w:adjustRightInd w:val="0"/>
                    <w:snapToGrid w:val="0"/>
                    <w:jc w:val="both"/>
                    <w:rPr>
                      <w:rFonts w:hint="default" w:ascii="Times New Roman" w:hAnsi="Times New Roman" w:eastAsia="宋体" w:cs="Times New Roman"/>
                      <w:color w:val="auto"/>
                      <w:kern w:val="2"/>
                      <w:sz w:val="21"/>
                      <w:szCs w:val="24"/>
                      <w:highlight w:val="none"/>
                      <w:lang w:val="en-US" w:eastAsia="zh-CN" w:bidi="ar-SA"/>
                    </w:rPr>
                  </w:pPr>
                  <w:r>
                    <w:rPr>
                      <w:rFonts w:hint="eastAsia" w:eastAsia="宋体"/>
                      <w:color w:val="auto"/>
                      <w:highlight w:val="none"/>
                      <w:lang w:val="en-US" w:eastAsia="zh-CN"/>
                    </w:rPr>
                    <w:t>0.4</w:t>
                  </w:r>
                </w:p>
              </w:tc>
              <w:tc>
                <w:tcPr>
                  <w:tcW w:w="632"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加强车间通风</w:t>
                  </w:r>
                </w:p>
              </w:tc>
              <w:tc>
                <w:tcPr>
                  <w:tcW w:w="364"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w:t>
                  </w:r>
                </w:p>
              </w:tc>
              <w:tc>
                <w:tcPr>
                  <w:tcW w:w="300"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w:t>
                  </w:r>
                </w:p>
              </w:tc>
              <w:tc>
                <w:tcPr>
                  <w:tcW w:w="310"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可行</w:t>
                  </w:r>
                </w:p>
              </w:tc>
              <w:tc>
                <w:tcPr>
                  <w:tcW w:w="1454" w:type="pct"/>
                  <w:noWrap w:val="0"/>
                  <w:vAlign w:val="center"/>
                </w:tcPr>
                <w:p>
                  <w:pPr>
                    <w:adjustRightInd w:val="0"/>
                    <w:snapToGrid w:val="0"/>
                    <w:jc w:val="both"/>
                    <w:rPr>
                      <w:rFonts w:hint="eastAsia"/>
                      <w:color w:val="auto"/>
                      <w:highlight w:val="none"/>
                      <w:lang w:val="en-US" w:eastAsia="zh-CN"/>
                    </w:rPr>
                  </w:pPr>
                  <w:r>
                    <w:rPr>
                      <w:rFonts w:hint="eastAsia"/>
                      <w:color w:val="auto"/>
                      <w:highlight w:val="none"/>
                      <w:lang w:val="en-US" w:eastAsia="zh-CN"/>
                    </w:rPr>
                    <w:t>无组织：</w:t>
                  </w:r>
                </w:p>
                <w:p>
                  <w:pPr>
                    <w:adjustRightInd w:val="0"/>
                    <w:snapToGrid w:val="0"/>
                    <w:jc w:val="both"/>
                    <w:rPr>
                      <w:rFonts w:hint="default"/>
                      <w:color w:val="auto"/>
                      <w:highlight w:val="none"/>
                      <w:lang w:val="en-US" w:eastAsia="zh-CN"/>
                    </w:rPr>
                  </w:pPr>
                  <w:r>
                    <w:rPr>
                      <w:rFonts w:hint="eastAsia"/>
                      <w:color w:val="auto"/>
                      <w:highlight w:val="none"/>
                      <w:lang w:val="en-US" w:eastAsia="zh-CN"/>
                    </w:rPr>
                    <w:t>排放量：0.4t/a，</w:t>
                  </w:r>
                </w:p>
                <w:p>
                  <w:pPr>
                    <w:adjustRightInd w:val="0"/>
                    <w:snapToGrid w:val="0"/>
                    <w:jc w:val="both"/>
                    <w:rPr>
                      <w:rFonts w:hint="eastAsia" w:eastAsia="宋体"/>
                      <w:color w:val="auto"/>
                      <w:highlight w:val="none"/>
                      <w:lang w:val="en-US" w:eastAsia="zh-CN"/>
                    </w:rPr>
                  </w:pPr>
                  <w:r>
                    <w:rPr>
                      <w:rFonts w:hint="eastAsia"/>
                      <w:color w:val="auto"/>
                      <w:highlight w:val="none"/>
                      <w:lang w:val="en-US" w:eastAsia="zh-CN"/>
                    </w:rPr>
                    <w:t>排放速率：0.3333kg/h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9</w:t>
                  </w:r>
                </w:p>
              </w:tc>
              <w:tc>
                <w:tcPr>
                  <w:tcW w:w="407"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臭氧消毒废气</w:t>
                  </w:r>
                </w:p>
              </w:tc>
              <w:tc>
                <w:tcPr>
                  <w:tcW w:w="497"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vertAlign w:val="subscript"/>
                      <w:lang w:val="en-US" w:eastAsia="zh-CN" w:bidi="ar-SA"/>
                    </w:rPr>
                  </w:pPr>
                  <w:r>
                    <w:rPr>
                      <w:rFonts w:hint="eastAsia"/>
                      <w:color w:val="auto"/>
                      <w:highlight w:val="none"/>
                      <w:lang w:val="en-US" w:eastAsia="zh-CN"/>
                    </w:rPr>
                    <w:t>O</w:t>
                  </w:r>
                  <w:r>
                    <w:rPr>
                      <w:rFonts w:hint="eastAsia"/>
                      <w:color w:val="auto"/>
                      <w:highlight w:val="none"/>
                      <w:vertAlign w:val="subscript"/>
                      <w:lang w:val="en-US" w:eastAsia="zh-CN"/>
                    </w:rPr>
                    <w:t>3</w:t>
                  </w:r>
                </w:p>
              </w:tc>
              <w:tc>
                <w:tcPr>
                  <w:tcW w:w="762" w:type="pct"/>
                  <w:noWrap w:val="0"/>
                  <w:vAlign w:val="center"/>
                </w:tcPr>
                <w:p>
                  <w:pPr>
                    <w:adjustRightInd w:val="0"/>
                    <w:snapToGrid w:val="0"/>
                    <w:jc w:val="both"/>
                    <w:rPr>
                      <w:rFonts w:hint="eastAsia" w:ascii="Times New Roman" w:hAnsi="Times New Roman" w:eastAsia="宋体" w:cs="Times New Roman"/>
                      <w:color w:val="auto"/>
                      <w:kern w:val="2"/>
                      <w:sz w:val="21"/>
                      <w:szCs w:val="24"/>
                      <w:highlight w:val="none"/>
                      <w:lang w:val="en-US" w:eastAsia="zh-CN" w:bidi="ar-SA"/>
                    </w:rPr>
                  </w:pPr>
                  <w:r>
                    <w:rPr>
                      <w:rFonts w:hint="eastAsia" w:eastAsia="宋体"/>
                      <w:color w:val="auto"/>
                      <w:highlight w:val="none"/>
                      <w:lang w:val="en-US" w:eastAsia="zh-CN"/>
                    </w:rPr>
                    <w:t>较少</w:t>
                  </w:r>
                </w:p>
              </w:tc>
              <w:tc>
                <w:tcPr>
                  <w:tcW w:w="632"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加强车间通风</w:t>
                  </w:r>
                </w:p>
              </w:tc>
              <w:tc>
                <w:tcPr>
                  <w:tcW w:w="364"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w:t>
                  </w:r>
                </w:p>
              </w:tc>
              <w:tc>
                <w:tcPr>
                  <w:tcW w:w="300"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w:t>
                  </w:r>
                </w:p>
              </w:tc>
              <w:tc>
                <w:tcPr>
                  <w:tcW w:w="310"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可行</w:t>
                  </w:r>
                </w:p>
              </w:tc>
              <w:tc>
                <w:tcPr>
                  <w:tcW w:w="1454" w:type="pct"/>
                  <w:noWrap w:val="0"/>
                  <w:vAlign w:val="center"/>
                </w:tcPr>
                <w:p>
                  <w:pPr>
                    <w:adjustRightInd w:val="0"/>
                    <w:snapToGrid w:val="0"/>
                    <w:jc w:val="both"/>
                    <w:rPr>
                      <w:rFonts w:hint="eastAsia"/>
                      <w:color w:val="auto"/>
                      <w:highlight w:val="none"/>
                      <w:lang w:val="en-US" w:eastAsia="zh-CN"/>
                    </w:rPr>
                  </w:pPr>
                  <w:r>
                    <w:rPr>
                      <w:rFonts w:hint="eastAsia"/>
                      <w:color w:val="auto"/>
                      <w:highlight w:val="none"/>
                      <w:lang w:val="en-US" w:eastAsia="zh-CN"/>
                    </w:rPr>
                    <w:t>无组织：</w:t>
                  </w:r>
                </w:p>
                <w:p>
                  <w:pPr>
                    <w:adjustRightInd w:val="0"/>
                    <w:snapToGrid w:val="0"/>
                    <w:jc w:val="both"/>
                    <w:rPr>
                      <w:rFonts w:hint="eastAsia" w:eastAsia="宋体"/>
                      <w:color w:val="auto"/>
                      <w:highlight w:val="none"/>
                      <w:lang w:val="en-US" w:eastAsia="zh-CN"/>
                    </w:rPr>
                  </w:pPr>
                  <w:r>
                    <w:rPr>
                      <w:rFonts w:hint="eastAsia"/>
                      <w:color w:val="auto"/>
                      <w:highlight w:val="none"/>
                      <w:lang w:val="en-US" w:eastAsia="zh-CN"/>
                    </w:rPr>
                    <w:t>排放量：较少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restar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10</w:t>
                  </w:r>
                </w:p>
              </w:tc>
              <w:tc>
                <w:tcPr>
                  <w:tcW w:w="407" w:type="pct"/>
                  <w:vMerge w:val="restar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污水处理站恶臭</w:t>
                  </w:r>
                </w:p>
              </w:tc>
              <w:tc>
                <w:tcPr>
                  <w:tcW w:w="497"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NH</w:t>
                  </w:r>
                  <w:r>
                    <w:rPr>
                      <w:rFonts w:hint="eastAsia"/>
                      <w:color w:val="auto"/>
                      <w:highlight w:val="none"/>
                      <w:vertAlign w:val="subscript"/>
                      <w:lang w:val="en-US" w:eastAsia="zh-CN"/>
                    </w:rPr>
                    <w:t>3</w:t>
                  </w:r>
                </w:p>
              </w:tc>
              <w:tc>
                <w:tcPr>
                  <w:tcW w:w="762" w:type="pct"/>
                  <w:noWrap w:val="0"/>
                  <w:vAlign w:val="center"/>
                </w:tcPr>
                <w:p>
                  <w:pPr>
                    <w:adjustRightInd w:val="0"/>
                    <w:snapToGrid w:val="0"/>
                    <w:jc w:val="both"/>
                    <w:rPr>
                      <w:rFonts w:hint="default" w:eastAsia="宋体"/>
                      <w:color w:val="auto"/>
                      <w:highlight w:val="none"/>
                      <w:lang w:val="en-US" w:eastAsia="zh-CN"/>
                    </w:rPr>
                  </w:pPr>
                  <w:r>
                    <w:rPr>
                      <w:rFonts w:hint="eastAsia" w:eastAsia="宋体"/>
                      <w:color w:val="auto"/>
                      <w:highlight w:val="none"/>
                      <w:lang w:val="en-US" w:eastAsia="zh-CN"/>
                    </w:rPr>
                    <w:t>产生量：0.1</w:t>
                  </w:r>
                  <w:r>
                    <w:rPr>
                      <w:rFonts w:hint="eastAsia"/>
                      <w:color w:val="auto"/>
                      <w:highlight w:val="none"/>
                      <w:lang w:val="en-US" w:eastAsia="zh-CN"/>
                    </w:rPr>
                    <w:t>031</w:t>
                  </w:r>
                  <w:r>
                    <w:rPr>
                      <w:rFonts w:hint="eastAsia" w:eastAsia="宋体"/>
                      <w:color w:val="auto"/>
                      <w:highlight w:val="none"/>
                      <w:lang w:val="en-US" w:eastAsia="zh-CN"/>
                    </w:rPr>
                    <w:t>t/a</w:t>
                  </w:r>
                  <w:r>
                    <w:rPr>
                      <w:rFonts w:hint="eastAsia"/>
                      <w:color w:val="auto"/>
                      <w:highlight w:val="none"/>
                      <w:lang w:val="en-US" w:eastAsia="zh-CN"/>
                    </w:rPr>
                    <w:t>，</w:t>
                  </w:r>
                </w:p>
                <w:p>
                  <w:pPr>
                    <w:adjustRightInd w:val="0"/>
                    <w:snapToGrid w:val="0"/>
                    <w:jc w:val="both"/>
                    <w:rPr>
                      <w:rFonts w:hint="default" w:eastAsia="宋体"/>
                      <w:color w:val="auto"/>
                      <w:highlight w:val="none"/>
                      <w:lang w:val="en-US" w:eastAsia="zh-CN"/>
                    </w:rPr>
                  </w:pPr>
                  <w:r>
                    <w:rPr>
                      <w:rFonts w:hint="eastAsia" w:eastAsia="宋体"/>
                      <w:color w:val="auto"/>
                      <w:highlight w:val="none"/>
                      <w:lang w:val="en-US" w:eastAsia="zh-CN"/>
                    </w:rPr>
                    <w:t>产生速率：0.01</w:t>
                  </w:r>
                  <w:r>
                    <w:rPr>
                      <w:rFonts w:hint="eastAsia"/>
                      <w:color w:val="auto"/>
                      <w:highlight w:val="none"/>
                      <w:lang w:val="en-US" w:eastAsia="zh-CN"/>
                    </w:rPr>
                    <w:t>18</w:t>
                  </w:r>
                  <w:r>
                    <w:rPr>
                      <w:rFonts w:hint="eastAsia" w:eastAsia="宋体"/>
                      <w:color w:val="auto"/>
                      <w:highlight w:val="none"/>
                      <w:lang w:val="en-US" w:eastAsia="zh-CN"/>
                    </w:rPr>
                    <w:t>kg/h</w:t>
                  </w:r>
                </w:p>
              </w:tc>
              <w:tc>
                <w:tcPr>
                  <w:tcW w:w="632" w:type="pct"/>
                  <w:vMerge w:val="restar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加盖板密闭，周围种植绿化带，并喷洒生物除臭剂</w:t>
                  </w:r>
                </w:p>
              </w:tc>
              <w:tc>
                <w:tcPr>
                  <w:tcW w:w="364"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w:t>
                  </w:r>
                </w:p>
              </w:tc>
              <w:tc>
                <w:tcPr>
                  <w:tcW w:w="300"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w:t>
                  </w:r>
                </w:p>
              </w:tc>
              <w:tc>
                <w:tcPr>
                  <w:tcW w:w="310" w:type="pct"/>
                  <w:noWrap w:val="0"/>
                  <w:vAlign w:val="center"/>
                </w:tcPr>
                <w:p>
                  <w:pPr>
                    <w:adjustRightInd w:val="0"/>
                    <w:snapToGrid w:val="0"/>
                    <w:jc w:val="center"/>
                    <w:rPr>
                      <w:rFonts w:hint="eastAsia" w:ascii="Times New Roman" w:hAnsi="Times New Roman" w:eastAsia="宋体"/>
                      <w:color w:val="auto"/>
                      <w:kern w:val="2"/>
                      <w:sz w:val="21"/>
                      <w:szCs w:val="24"/>
                      <w:highlight w:val="none"/>
                      <w:lang w:val="en-US" w:eastAsia="zh-CN" w:bidi="ar-SA"/>
                    </w:rPr>
                  </w:pPr>
                  <w:r>
                    <w:rPr>
                      <w:rFonts w:hint="eastAsia"/>
                      <w:color w:val="auto"/>
                      <w:highlight w:val="none"/>
                      <w:lang w:val="en-US" w:eastAsia="zh-CN"/>
                    </w:rPr>
                    <w:t>可行</w:t>
                  </w:r>
                </w:p>
              </w:tc>
              <w:tc>
                <w:tcPr>
                  <w:tcW w:w="1454" w:type="pct"/>
                  <w:noWrap w:val="0"/>
                  <w:vAlign w:val="center"/>
                </w:tcPr>
                <w:p>
                  <w:pPr>
                    <w:adjustRightInd w:val="0"/>
                    <w:snapToGrid w:val="0"/>
                    <w:jc w:val="both"/>
                    <w:rPr>
                      <w:rFonts w:hint="eastAsia"/>
                      <w:color w:val="auto"/>
                      <w:highlight w:val="none"/>
                      <w:lang w:val="en-US" w:eastAsia="zh-CN"/>
                    </w:rPr>
                  </w:pPr>
                  <w:r>
                    <w:rPr>
                      <w:rFonts w:hint="eastAsia"/>
                      <w:color w:val="auto"/>
                      <w:highlight w:val="none"/>
                      <w:lang w:val="en-US" w:eastAsia="zh-CN"/>
                    </w:rPr>
                    <w:t>无组织：</w:t>
                  </w:r>
                </w:p>
                <w:p>
                  <w:pPr>
                    <w:adjustRightInd w:val="0"/>
                    <w:snapToGrid w:val="0"/>
                    <w:jc w:val="both"/>
                    <w:rPr>
                      <w:rFonts w:hint="default"/>
                      <w:color w:val="auto"/>
                      <w:highlight w:val="none"/>
                      <w:lang w:val="en-US" w:eastAsia="zh-CN"/>
                    </w:rPr>
                  </w:pPr>
                  <w:r>
                    <w:rPr>
                      <w:rFonts w:hint="eastAsia"/>
                      <w:color w:val="auto"/>
                      <w:highlight w:val="none"/>
                      <w:lang w:val="en-US" w:eastAsia="zh-CN"/>
                    </w:rPr>
                    <w:t>排放量：0.1031t/a，</w:t>
                  </w:r>
                </w:p>
                <w:p>
                  <w:pPr>
                    <w:adjustRightInd w:val="0"/>
                    <w:snapToGrid w:val="0"/>
                    <w:jc w:val="both"/>
                    <w:rPr>
                      <w:rFonts w:hint="default"/>
                      <w:color w:val="auto"/>
                      <w:highlight w:val="none"/>
                      <w:lang w:val="en-US" w:eastAsia="zh-CN"/>
                    </w:rPr>
                  </w:pPr>
                  <w:r>
                    <w:rPr>
                      <w:rFonts w:hint="eastAsia"/>
                      <w:color w:val="auto"/>
                      <w:highlight w:val="none"/>
                      <w:lang w:val="en-US" w:eastAsia="zh-CN"/>
                    </w:rPr>
                    <w:t>排放速率：0.0118kg/h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noWrap w:val="0"/>
                  <w:vAlign w:val="center"/>
                </w:tcPr>
                <w:p>
                  <w:pPr>
                    <w:adjustRightInd w:val="0"/>
                    <w:snapToGrid w:val="0"/>
                    <w:jc w:val="center"/>
                    <w:rPr>
                      <w:rFonts w:hint="eastAsia"/>
                      <w:color w:val="auto"/>
                      <w:highlight w:val="none"/>
                      <w:lang w:val="en-US" w:eastAsia="zh-CN"/>
                    </w:rPr>
                  </w:pPr>
                </w:p>
              </w:tc>
              <w:tc>
                <w:tcPr>
                  <w:tcW w:w="407" w:type="pct"/>
                  <w:vMerge w:val="continue"/>
                  <w:noWrap w:val="0"/>
                  <w:vAlign w:val="center"/>
                </w:tcPr>
                <w:p>
                  <w:pPr>
                    <w:adjustRightInd w:val="0"/>
                    <w:snapToGrid w:val="0"/>
                    <w:jc w:val="center"/>
                    <w:rPr>
                      <w:rFonts w:hint="eastAsia"/>
                      <w:color w:val="auto"/>
                      <w:highlight w:val="none"/>
                      <w:lang w:val="en-US" w:eastAsia="zh-CN"/>
                    </w:rPr>
                  </w:pPr>
                </w:p>
              </w:tc>
              <w:tc>
                <w:tcPr>
                  <w:tcW w:w="497"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H</w:t>
                  </w:r>
                  <w:r>
                    <w:rPr>
                      <w:rFonts w:hint="eastAsia"/>
                      <w:color w:val="auto"/>
                      <w:highlight w:val="none"/>
                      <w:vertAlign w:val="subscript"/>
                      <w:lang w:val="en-US" w:eastAsia="zh-CN"/>
                    </w:rPr>
                    <w:t>2</w:t>
                  </w:r>
                  <w:r>
                    <w:rPr>
                      <w:rFonts w:hint="eastAsia"/>
                      <w:color w:val="auto"/>
                      <w:highlight w:val="none"/>
                      <w:lang w:val="en-US" w:eastAsia="zh-CN"/>
                    </w:rPr>
                    <w:t>S</w:t>
                  </w:r>
                </w:p>
              </w:tc>
              <w:tc>
                <w:tcPr>
                  <w:tcW w:w="762" w:type="pct"/>
                  <w:noWrap w:val="0"/>
                  <w:vAlign w:val="center"/>
                </w:tcPr>
                <w:p>
                  <w:pPr>
                    <w:adjustRightInd w:val="0"/>
                    <w:snapToGrid w:val="0"/>
                    <w:jc w:val="both"/>
                    <w:rPr>
                      <w:rFonts w:hint="default" w:eastAsia="宋体"/>
                      <w:color w:val="auto"/>
                      <w:highlight w:val="none"/>
                      <w:lang w:val="en-US" w:eastAsia="zh-CN"/>
                    </w:rPr>
                  </w:pPr>
                  <w:r>
                    <w:rPr>
                      <w:rFonts w:hint="eastAsia" w:eastAsia="宋体"/>
                      <w:color w:val="auto"/>
                      <w:highlight w:val="none"/>
                      <w:lang w:val="en-US" w:eastAsia="zh-CN"/>
                    </w:rPr>
                    <w:t>产生量：0.004t/a</w:t>
                  </w:r>
                  <w:r>
                    <w:rPr>
                      <w:rFonts w:hint="eastAsia"/>
                      <w:color w:val="auto"/>
                      <w:highlight w:val="none"/>
                      <w:lang w:val="en-US" w:eastAsia="zh-CN"/>
                    </w:rPr>
                    <w:t>，</w:t>
                  </w:r>
                </w:p>
                <w:p>
                  <w:pPr>
                    <w:adjustRightInd w:val="0"/>
                    <w:snapToGrid w:val="0"/>
                    <w:jc w:val="both"/>
                    <w:rPr>
                      <w:rFonts w:hint="eastAsia" w:eastAsia="宋体"/>
                      <w:color w:val="auto"/>
                      <w:highlight w:val="none"/>
                      <w:lang w:val="en-US" w:eastAsia="zh-CN"/>
                    </w:rPr>
                  </w:pPr>
                  <w:r>
                    <w:rPr>
                      <w:rFonts w:hint="eastAsia" w:eastAsia="宋体"/>
                      <w:color w:val="auto"/>
                      <w:highlight w:val="none"/>
                      <w:lang w:val="en-US" w:eastAsia="zh-CN"/>
                    </w:rPr>
                    <w:t>产生速率：0.0005kg/h</w:t>
                  </w:r>
                </w:p>
              </w:tc>
              <w:tc>
                <w:tcPr>
                  <w:tcW w:w="632" w:type="pct"/>
                  <w:vMerge w:val="continue"/>
                  <w:noWrap w:val="0"/>
                  <w:vAlign w:val="center"/>
                </w:tcPr>
                <w:p>
                  <w:pPr>
                    <w:adjustRightInd w:val="0"/>
                    <w:snapToGrid w:val="0"/>
                    <w:jc w:val="center"/>
                    <w:rPr>
                      <w:rFonts w:hint="eastAsia"/>
                      <w:color w:val="auto"/>
                      <w:highlight w:val="none"/>
                      <w:lang w:val="en-US" w:eastAsia="zh-CN"/>
                    </w:rPr>
                  </w:pPr>
                </w:p>
              </w:tc>
              <w:tc>
                <w:tcPr>
                  <w:tcW w:w="364"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w:t>
                  </w:r>
                </w:p>
              </w:tc>
              <w:tc>
                <w:tcPr>
                  <w:tcW w:w="300"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w:t>
                  </w:r>
                </w:p>
              </w:tc>
              <w:tc>
                <w:tcPr>
                  <w:tcW w:w="310" w:type="pct"/>
                  <w:noWrap w:val="0"/>
                  <w:vAlign w:val="center"/>
                </w:tcPr>
                <w:p>
                  <w:pPr>
                    <w:adjustRightInd w:val="0"/>
                    <w:snapToGrid w:val="0"/>
                    <w:jc w:val="center"/>
                    <w:rPr>
                      <w:rFonts w:hint="eastAsia" w:ascii="Times New Roman" w:hAnsi="Times New Roman" w:eastAsia="宋体"/>
                      <w:color w:val="auto"/>
                      <w:kern w:val="2"/>
                      <w:sz w:val="21"/>
                      <w:szCs w:val="24"/>
                      <w:highlight w:val="none"/>
                      <w:lang w:val="en-US" w:eastAsia="zh-CN" w:bidi="ar-SA"/>
                    </w:rPr>
                  </w:pPr>
                  <w:r>
                    <w:rPr>
                      <w:rFonts w:hint="eastAsia"/>
                      <w:color w:val="auto"/>
                      <w:highlight w:val="none"/>
                      <w:lang w:val="en-US" w:eastAsia="zh-CN"/>
                    </w:rPr>
                    <w:t>可行</w:t>
                  </w:r>
                </w:p>
              </w:tc>
              <w:tc>
                <w:tcPr>
                  <w:tcW w:w="1454" w:type="pct"/>
                  <w:noWrap w:val="0"/>
                  <w:vAlign w:val="center"/>
                </w:tcPr>
                <w:p>
                  <w:pPr>
                    <w:adjustRightInd w:val="0"/>
                    <w:snapToGrid w:val="0"/>
                    <w:jc w:val="both"/>
                    <w:rPr>
                      <w:rFonts w:hint="eastAsia"/>
                      <w:color w:val="auto"/>
                      <w:highlight w:val="none"/>
                      <w:lang w:val="en-US" w:eastAsia="zh-CN"/>
                    </w:rPr>
                  </w:pPr>
                  <w:r>
                    <w:rPr>
                      <w:rFonts w:hint="eastAsia"/>
                      <w:color w:val="auto"/>
                      <w:highlight w:val="none"/>
                      <w:lang w:val="en-US" w:eastAsia="zh-CN"/>
                    </w:rPr>
                    <w:t>无组织：</w:t>
                  </w:r>
                </w:p>
                <w:p>
                  <w:pPr>
                    <w:adjustRightInd w:val="0"/>
                    <w:snapToGrid w:val="0"/>
                    <w:jc w:val="both"/>
                    <w:rPr>
                      <w:rFonts w:hint="default"/>
                      <w:color w:val="auto"/>
                      <w:highlight w:val="none"/>
                      <w:lang w:val="en-US" w:eastAsia="zh-CN"/>
                    </w:rPr>
                  </w:pPr>
                  <w:r>
                    <w:rPr>
                      <w:rFonts w:hint="eastAsia"/>
                      <w:color w:val="auto"/>
                      <w:highlight w:val="none"/>
                      <w:lang w:val="en-US" w:eastAsia="zh-CN"/>
                    </w:rPr>
                    <w:t>排放量：0.004t/a，</w:t>
                  </w:r>
                </w:p>
                <w:p>
                  <w:pPr>
                    <w:adjustRightInd w:val="0"/>
                    <w:snapToGrid w:val="0"/>
                    <w:jc w:val="both"/>
                    <w:rPr>
                      <w:rFonts w:hint="default"/>
                      <w:color w:val="auto"/>
                      <w:highlight w:val="none"/>
                      <w:lang w:val="en-US" w:eastAsia="zh-CN"/>
                    </w:rPr>
                  </w:pPr>
                  <w:r>
                    <w:rPr>
                      <w:rFonts w:hint="eastAsia"/>
                      <w:color w:val="auto"/>
                      <w:highlight w:val="none"/>
                      <w:lang w:val="en-US" w:eastAsia="zh-CN"/>
                    </w:rPr>
                    <w:t>排放速率：0.0005kg/h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11</w:t>
                  </w:r>
                </w:p>
              </w:tc>
              <w:tc>
                <w:tcPr>
                  <w:tcW w:w="407"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食堂油烟</w:t>
                  </w:r>
                </w:p>
              </w:tc>
              <w:tc>
                <w:tcPr>
                  <w:tcW w:w="497"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油烟</w:t>
                  </w:r>
                </w:p>
              </w:tc>
              <w:tc>
                <w:tcPr>
                  <w:tcW w:w="762" w:type="pct"/>
                  <w:noWrap w:val="0"/>
                  <w:vAlign w:val="center"/>
                </w:tcPr>
                <w:p>
                  <w:pPr>
                    <w:adjustRightInd w:val="0"/>
                    <w:snapToGrid w:val="0"/>
                    <w:jc w:val="both"/>
                    <w:rPr>
                      <w:rFonts w:hint="default" w:eastAsia="宋体"/>
                      <w:color w:val="auto"/>
                      <w:highlight w:val="none"/>
                      <w:lang w:val="en-US" w:eastAsia="zh-CN"/>
                    </w:rPr>
                  </w:pPr>
                  <w:r>
                    <w:rPr>
                      <w:rFonts w:hint="eastAsia" w:eastAsia="宋体"/>
                      <w:color w:val="auto"/>
                      <w:highlight w:val="none"/>
                      <w:lang w:val="en-US" w:eastAsia="zh-CN"/>
                    </w:rPr>
                    <w:t>产生量：0.005t/a</w:t>
                  </w:r>
                  <w:r>
                    <w:rPr>
                      <w:rFonts w:hint="eastAsia"/>
                      <w:color w:val="auto"/>
                      <w:highlight w:val="none"/>
                      <w:lang w:val="en-US" w:eastAsia="zh-CN"/>
                    </w:rPr>
                    <w:t>，</w:t>
                  </w:r>
                </w:p>
                <w:p>
                  <w:pPr>
                    <w:adjustRightInd w:val="0"/>
                    <w:snapToGrid w:val="0"/>
                    <w:jc w:val="both"/>
                    <w:rPr>
                      <w:rFonts w:hint="eastAsia" w:eastAsia="宋体"/>
                      <w:color w:val="auto"/>
                      <w:highlight w:val="none"/>
                      <w:lang w:val="en-US" w:eastAsia="zh-CN"/>
                    </w:rPr>
                  </w:pPr>
                  <w:r>
                    <w:rPr>
                      <w:rFonts w:hint="eastAsia" w:eastAsia="宋体"/>
                      <w:color w:val="auto"/>
                      <w:highlight w:val="none"/>
                      <w:lang w:val="en-US" w:eastAsia="zh-CN"/>
                    </w:rPr>
                    <w:t>产生速率：0.0044kg/h</w:t>
                  </w:r>
                </w:p>
              </w:tc>
              <w:tc>
                <w:tcPr>
                  <w:tcW w:w="632" w:type="pct"/>
                  <w:noWrap w:val="0"/>
                  <w:vAlign w:val="center"/>
                </w:tcPr>
                <w:p>
                  <w:pPr>
                    <w:adjustRightInd w:val="0"/>
                    <w:snapToGrid w:val="0"/>
                    <w:jc w:val="center"/>
                    <w:rPr>
                      <w:rFonts w:hint="eastAsia"/>
                      <w:color w:val="auto"/>
                      <w:highlight w:val="none"/>
                      <w:lang w:val="en-US" w:eastAsia="zh-CN"/>
                    </w:rPr>
                  </w:pPr>
                  <w:r>
                    <w:rPr>
                      <w:rFonts w:hint="eastAsia"/>
                      <w:color w:val="auto"/>
                      <w:highlight w:val="none"/>
                    </w:rPr>
                    <w:t>油烟净化装置处理后，</w:t>
                  </w:r>
                  <w:r>
                    <w:rPr>
                      <w:rFonts w:hint="eastAsia"/>
                      <w:color w:val="auto"/>
                      <w:highlight w:val="none"/>
                      <w:lang w:val="en-US" w:eastAsia="zh-CN"/>
                    </w:rPr>
                    <w:t>引至楼顶排放</w:t>
                  </w:r>
                </w:p>
              </w:tc>
              <w:tc>
                <w:tcPr>
                  <w:tcW w:w="364"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w:t>
                  </w:r>
                </w:p>
              </w:tc>
              <w:tc>
                <w:tcPr>
                  <w:tcW w:w="300"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75%</w:t>
                  </w:r>
                </w:p>
              </w:tc>
              <w:tc>
                <w:tcPr>
                  <w:tcW w:w="310"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可行</w:t>
                  </w:r>
                </w:p>
              </w:tc>
              <w:tc>
                <w:tcPr>
                  <w:tcW w:w="1454" w:type="pct"/>
                  <w:noWrap w:val="0"/>
                  <w:vAlign w:val="center"/>
                </w:tcPr>
                <w:p>
                  <w:pPr>
                    <w:adjustRightInd w:val="0"/>
                    <w:snapToGrid w:val="0"/>
                    <w:jc w:val="both"/>
                    <w:rPr>
                      <w:rFonts w:hint="eastAsia"/>
                      <w:color w:val="auto"/>
                      <w:highlight w:val="none"/>
                      <w:lang w:val="en-US" w:eastAsia="zh-CN"/>
                    </w:rPr>
                  </w:pPr>
                  <w:r>
                    <w:rPr>
                      <w:rFonts w:hint="eastAsia"/>
                      <w:color w:val="auto"/>
                      <w:highlight w:val="none"/>
                      <w:lang w:val="en-US" w:eastAsia="zh-CN"/>
                    </w:rPr>
                    <w:t>有组织：</w:t>
                  </w:r>
                </w:p>
                <w:p>
                  <w:pPr>
                    <w:adjustRightInd w:val="0"/>
                    <w:snapToGrid w:val="0"/>
                    <w:jc w:val="both"/>
                    <w:rPr>
                      <w:rFonts w:hint="default"/>
                      <w:color w:val="auto"/>
                      <w:highlight w:val="none"/>
                      <w:lang w:val="en-US" w:eastAsia="zh-CN"/>
                    </w:rPr>
                  </w:pPr>
                  <w:r>
                    <w:rPr>
                      <w:rFonts w:hint="eastAsia"/>
                      <w:color w:val="auto"/>
                      <w:highlight w:val="none"/>
                      <w:lang w:val="en-US" w:eastAsia="zh-CN"/>
                    </w:rPr>
                    <w:t>排放量：0.002t/a，</w:t>
                  </w:r>
                </w:p>
                <w:p>
                  <w:pPr>
                    <w:adjustRightInd w:val="0"/>
                    <w:snapToGrid w:val="0"/>
                    <w:jc w:val="both"/>
                    <w:rPr>
                      <w:rFonts w:hint="default"/>
                      <w:color w:val="auto"/>
                      <w:highlight w:val="none"/>
                      <w:lang w:val="en-US" w:eastAsia="zh-CN"/>
                    </w:rPr>
                  </w:pPr>
                  <w:r>
                    <w:rPr>
                      <w:rFonts w:hint="eastAsia"/>
                      <w:color w:val="auto"/>
                      <w:highlight w:val="none"/>
                      <w:lang w:val="en-US" w:eastAsia="zh-CN"/>
                    </w:rPr>
                    <w:t>排放速率：0.0011kg/h</w:t>
                  </w:r>
                </w:p>
                <w:p>
                  <w:pPr>
                    <w:adjustRightInd w:val="0"/>
                    <w:snapToGrid w:val="0"/>
                    <w:jc w:val="both"/>
                    <w:rPr>
                      <w:rFonts w:hint="default"/>
                      <w:color w:val="auto"/>
                      <w:highlight w:val="none"/>
                      <w:lang w:val="en-US" w:eastAsia="zh-CN"/>
                    </w:rPr>
                  </w:pPr>
                  <w:r>
                    <w:rPr>
                      <w:rFonts w:hint="eastAsia"/>
                      <w:color w:val="auto"/>
                      <w:highlight w:val="none"/>
                      <w:lang w:val="en-US" w:eastAsia="zh-CN"/>
                    </w:rPr>
                    <w:t>排放浓度：0.1213</w:t>
                  </w:r>
                  <w:r>
                    <w:rPr>
                      <w:rFonts w:hint="eastAsia"/>
                      <w:b w:val="0"/>
                      <w:bCs w:val="0"/>
                      <w:color w:val="auto"/>
                      <w:highlight w:val="none"/>
                    </w:rPr>
                    <w:t>mg/m</w:t>
                  </w:r>
                  <w:r>
                    <w:rPr>
                      <w:rFonts w:hint="eastAsia"/>
                      <w:b w:val="0"/>
                      <w:bCs w:val="0"/>
                      <w:color w:val="auto"/>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12</w:t>
                  </w:r>
                </w:p>
              </w:tc>
              <w:tc>
                <w:tcPr>
                  <w:tcW w:w="407"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化验室废气</w:t>
                  </w:r>
                </w:p>
              </w:tc>
              <w:tc>
                <w:tcPr>
                  <w:tcW w:w="497"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挥发性酸等</w:t>
                  </w:r>
                </w:p>
              </w:tc>
              <w:tc>
                <w:tcPr>
                  <w:tcW w:w="762" w:type="pct"/>
                  <w:noWrap w:val="0"/>
                  <w:vAlign w:val="center"/>
                </w:tcPr>
                <w:p>
                  <w:pPr>
                    <w:adjustRightInd w:val="0"/>
                    <w:snapToGrid w:val="0"/>
                    <w:jc w:val="both"/>
                    <w:rPr>
                      <w:rFonts w:hint="eastAsia" w:ascii="Times New Roman" w:hAnsi="Times New Roman" w:eastAsia="宋体"/>
                      <w:color w:val="auto"/>
                      <w:kern w:val="2"/>
                      <w:sz w:val="21"/>
                      <w:szCs w:val="24"/>
                      <w:highlight w:val="none"/>
                      <w:lang w:val="en-US" w:eastAsia="zh-CN" w:bidi="ar-SA"/>
                    </w:rPr>
                  </w:pPr>
                  <w:r>
                    <w:rPr>
                      <w:rFonts w:hint="eastAsia" w:eastAsia="宋体"/>
                      <w:color w:val="auto"/>
                      <w:highlight w:val="none"/>
                      <w:lang w:val="en-US" w:eastAsia="zh-CN"/>
                    </w:rPr>
                    <w:t>较少</w:t>
                  </w:r>
                </w:p>
              </w:tc>
              <w:tc>
                <w:tcPr>
                  <w:tcW w:w="632" w:type="pct"/>
                  <w:noWrap w:val="0"/>
                  <w:vAlign w:val="center"/>
                </w:tcPr>
                <w:p>
                  <w:pPr>
                    <w:adjustRightInd w:val="0"/>
                    <w:snapToGrid w:val="0"/>
                    <w:jc w:val="center"/>
                    <w:rPr>
                      <w:rFonts w:hint="default" w:ascii="Times New Roman" w:hAnsi="Times New Roman" w:eastAsia="宋体"/>
                      <w:color w:val="auto"/>
                      <w:kern w:val="2"/>
                      <w:sz w:val="21"/>
                      <w:szCs w:val="24"/>
                      <w:highlight w:val="none"/>
                      <w:lang w:val="en-US" w:eastAsia="zh-CN" w:bidi="ar-SA"/>
                    </w:rPr>
                  </w:pPr>
                  <w:r>
                    <w:rPr>
                      <w:rFonts w:hint="eastAsia"/>
                      <w:color w:val="auto"/>
                      <w:highlight w:val="none"/>
                      <w:lang w:val="en-US" w:eastAsia="zh-CN"/>
                    </w:rPr>
                    <w:t>抽风收集后排出</w:t>
                  </w:r>
                </w:p>
              </w:tc>
              <w:tc>
                <w:tcPr>
                  <w:tcW w:w="364" w:type="pct"/>
                  <w:noWrap w:val="0"/>
                  <w:vAlign w:val="center"/>
                </w:tcPr>
                <w:p>
                  <w:pPr>
                    <w:adjustRightInd w:val="0"/>
                    <w:snapToGrid w:val="0"/>
                    <w:jc w:val="center"/>
                    <w:rPr>
                      <w:rFonts w:hint="eastAsia" w:ascii="Times New Roman" w:hAnsi="Times New Roman" w:eastAsia="宋体"/>
                      <w:color w:val="auto"/>
                      <w:kern w:val="2"/>
                      <w:sz w:val="21"/>
                      <w:szCs w:val="24"/>
                      <w:highlight w:val="none"/>
                      <w:lang w:val="en-US" w:eastAsia="zh-CN" w:bidi="ar-SA"/>
                    </w:rPr>
                  </w:pPr>
                  <w:r>
                    <w:rPr>
                      <w:rFonts w:hint="eastAsia"/>
                      <w:color w:val="auto"/>
                      <w:highlight w:val="none"/>
                      <w:lang w:val="en-US" w:eastAsia="zh-CN"/>
                    </w:rPr>
                    <w:t>/</w:t>
                  </w:r>
                </w:p>
              </w:tc>
              <w:tc>
                <w:tcPr>
                  <w:tcW w:w="300" w:type="pct"/>
                  <w:noWrap w:val="0"/>
                  <w:vAlign w:val="center"/>
                </w:tcPr>
                <w:p>
                  <w:pPr>
                    <w:adjustRightInd w:val="0"/>
                    <w:snapToGrid w:val="0"/>
                    <w:jc w:val="center"/>
                    <w:rPr>
                      <w:rFonts w:hint="eastAsia" w:ascii="Times New Roman" w:hAnsi="Times New Roman" w:eastAsia="宋体"/>
                      <w:color w:val="auto"/>
                      <w:kern w:val="2"/>
                      <w:sz w:val="21"/>
                      <w:szCs w:val="24"/>
                      <w:highlight w:val="none"/>
                      <w:lang w:val="en-US" w:eastAsia="zh-CN" w:bidi="ar-SA"/>
                    </w:rPr>
                  </w:pPr>
                  <w:r>
                    <w:rPr>
                      <w:rFonts w:hint="eastAsia"/>
                      <w:color w:val="auto"/>
                      <w:highlight w:val="none"/>
                      <w:lang w:val="en-US" w:eastAsia="zh-CN"/>
                    </w:rPr>
                    <w:t>/</w:t>
                  </w:r>
                </w:p>
              </w:tc>
              <w:tc>
                <w:tcPr>
                  <w:tcW w:w="310" w:type="pct"/>
                  <w:noWrap w:val="0"/>
                  <w:vAlign w:val="center"/>
                </w:tcPr>
                <w:p>
                  <w:pPr>
                    <w:adjustRightInd w:val="0"/>
                    <w:snapToGrid w:val="0"/>
                    <w:jc w:val="center"/>
                    <w:rPr>
                      <w:rFonts w:hint="eastAsia" w:ascii="Times New Roman" w:hAnsi="Times New Roman" w:eastAsia="宋体"/>
                      <w:color w:val="auto"/>
                      <w:kern w:val="2"/>
                      <w:sz w:val="21"/>
                      <w:szCs w:val="24"/>
                      <w:highlight w:val="none"/>
                      <w:lang w:val="en-US" w:eastAsia="zh-CN" w:bidi="ar-SA"/>
                    </w:rPr>
                  </w:pPr>
                  <w:r>
                    <w:rPr>
                      <w:rFonts w:hint="eastAsia"/>
                      <w:color w:val="auto"/>
                      <w:highlight w:val="none"/>
                      <w:lang w:val="en-US" w:eastAsia="zh-CN"/>
                    </w:rPr>
                    <w:t>可行</w:t>
                  </w:r>
                </w:p>
              </w:tc>
              <w:tc>
                <w:tcPr>
                  <w:tcW w:w="1454" w:type="pct"/>
                  <w:noWrap w:val="0"/>
                  <w:vAlign w:val="center"/>
                </w:tcPr>
                <w:p>
                  <w:pPr>
                    <w:adjustRightInd w:val="0"/>
                    <w:snapToGrid w:val="0"/>
                    <w:jc w:val="both"/>
                    <w:rPr>
                      <w:rFonts w:hint="eastAsia"/>
                      <w:color w:val="auto"/>
                      <w:highlight w:val="none"/>
                      <w:lang w:val="en-US" w:eastAsia="zh-CN"/>
                    </w:rPr>
                  </w:pPr>
                  <w:r>
                    <w:rPr>
                      <w:rFonts w:hint="eastAsia"/>
                      <w:color w:val="auto"/>
                      <w:highlight w:val="none"/>
                      <w:lang w:val="en-US" w:eastAsia="zh-CN"/>
                    </w:rPr>
                    <w:t>无组织：</w:t>
                  </w:r>
                </w:p>
                <w:p>
                  <w:pPr>
                    <w:adjustRightInd w:val="0"/>
                    <w:snapToGrid w:val="0"/>
                    <w:jc w:val="both"/>
                    <w:rPr>
                      <w:rFonts w:hint="eastAsia" w:ascii="Times New Roman" w:hAnsi="Times New Roman" w:eastAsia="宋体"/>
                      <w:color w:val="auto"/>
                      <w:kern w:val="2"/>
                      <w:sz w:val="21"/>
                      <w:szCs w:val="24"/>
                      <w:highlight w:val="none"/>
                      <w:lang w:val="en-US" w:eastAsia="zh-CN" w:bidi="ar-SA"/>
                    </w:rPr>
                  </w:pPr>
                  <w:r>
                    <w:rPr>
                      <w:rFonts w:hint="eastAsia"/>
                      <w:color w:val="auto"/>
                      <w:highlight w:val="none"/>
                      <w:lang w:val="en-US" w:eastAsia="zh-CN"/>
                    </w:rPr>
                    <w:t>排放量：较少</w:t>
                  </w:r>
                </w:p>
              </w:tc>
            </w:tr>
          </w:tbl>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ascii="Times New Roman" w:hAnsi="Times New Roman" w:eastAsia="宋体" w:cs="Times New Roman"/>
                <w:b/>
                <w:bCs/>
                <w:color w:val="auto"/>
                <w:kern w:val="2"/>
                <w:sz w:val="24"/>
                <w:highlight w:val="none"/>
                <w:lang w:val="en-US" w:eastAsia="zh-CN"/>
              </w:rPr>
            </w:pPr>
            <w:r>
              <w:rPr>
                <w:rFonts w:hint="eastAsia" w:ascii="Times New Roman" w:hAnsi="Times New Roman" w:eastAsia="宋体" w:cs="Times New Roman"/>
                <w:b/>
                <w:bCs/>
                <w:color w:val="auto"/>
                <w:kern w:val="2"/>
                <w:sz w:val="24"/>
                <w:highlight w:val="none"/>
                <w:lang w:val="en-US" w:eastAsia="zh-CN"/>
              </w:rPr>
              <w:t>2、废气源强核算</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ascii="Times New Roman" w:hAnsi="Times New Roman" w:eastAsia="宋体" w:cs="Times New Roman"/>
                <w:b/>
                <w:bCs/>
                <w:color w:val="auto"/>
                <w:kern w:val="2"/>
                <w:sz w:val="24"/>
                <w:highlight w:val="none"/>
                <w:lang w:val="en-US" w:eastAsia="zh-CN"/>
              </w:rPr>
            </w:pPr>
            <w:r>
              <w:rPr>
                <w:rFonts w:hint="eastAsia" w:ascii="Times New Roman" w:hAnsi="Times New Roman" w:eastAsia="宋体" w:cs="Times New Roman"/>
                <w:b/>
                <w:bCs/>
                <w:color w:val="auto"/>
                <w:kern w:val="2"/>
                <w:sz w:val="24"/>
                <w:highlight w:val="none"/>
                <w:lang w:val="en-US" w:eastAsia="zh-CN"/>
              </w:rPr>
              <w:t>（1）天然气燃烧废气</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color w:val="auto"/>
                <w:sz w:val="24"/>
                <w:highlight w:val="none"/>
                <w:lang w:val="en-US" w:eastAsia="zh-CN"/>
              </w:rPr>
            </w:pPr>
            <w:r>
              <w:rPr>
                <w:rFonts w:hint="eastAsia" w:ascii="Times New Roman" w:hAnsi="Times New Roman" w:eastAsia="宋体" w:cs="Times New Roman"/>
                <w:color w:val="auto"/>
                <w:kern w:val="2"/>
                <w:sz w:val="24"/>
                <w:highlight w:val="none"/>
                <w:lang w:val="en-US" w:eastAsia="zh-CN"/>
              </w:rPr>
              <w:t>本</w:t>
            </w:r>
            <w:r>
              <w:rPr>
                <w:color w:val="auto"/>
                <w:sz w:val="24"/>
                <w:highlight w:val="none"/>
              </w:rPr>
              <w:t>项目锅炉在运营过程会产生天然气燃烧废气。本项目</w:t>
            </w:r>
            <w:r>
              <w:rPr>
                <w:rFonts w:hint="eastAsia"/>
                <w:color w:val="auto"/>
                <w:sz w:val="24"/>
                <w:highlight w:val="none"/>
                <w:lang w:val="en-US" w:eastAsia="zh-CN"/>
              </w:rPr>
              <w:t>锅炉新增用</w:t>
            </w:r>
            <w:r>
              <w:rPr>
                <w:color w:val="auto"/>
                <w:sz w:val="24"/>
                <w:highlight w:val="none"/>
              </w:rPr>
              <w:t>天然气量约为</w:t>
            </w:r>
            <w:r>
              <w:rPr>
                <w:rFonts w:hint="eastAsia"/>
                <w:color w:val="auto"/>
                <w:sz w:val="24"/>
                <w:highlight w:val="none"/>
                <w:lang w:val="en-US" w:eastAsia="zh-CN"/>
              </w:rPr>
              <w:t>50万</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lang w:eastAsia="zh-CN"/>
              </w:rPr>
              <w:t>。</w:t>
            </w:r>
          </w:p>
          <w:p>
            <w:pPr>
              <w:pStyle w:val="13"/>
              <w:rPr>
                <w:rFonts w:hint="default"/>
                <w:color w:val="auto"/>
                <w:sz w:val="24"/>
                <w:highlight w:val="none"/>
                <w:lang w:val="en-US" w:eastAsia="zh-CN"/>
              </w:rPr>
            </w:pPr>
            <w:r>
              <w:rPr>
                <w:rFonts w:hint="eastAsia"/>
                <w:color w:val="auto"/>
                <w:sz w:val="24"/>
                <w:highlight w:val="none"/>
                <w:lang w:val="en-US" w:eastAsia="zh-CN"/>
              </w:rPr>
              <w:t>①基准烟气量核算</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lang w:val="en-US" w:eastAsia="zh-CN"/>
              </w:rPr>
              <w:t>根据《排污许可证申请与核发技术规范 锅炉》（HJ953-2018），本项目无气体组成成分分析数据，因此根据燃料低位发热量计算基准烟气量，经验公式如下。</w:t>
            </w:r>
          </w:p>
          <w:p>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default" w:ascii="Times New Roman" w:hAnsi="Times New Roman" w:eastAsia="宋体" w:cs="Times New Roman"/>
                <w:color w:val="auto"/>
                <w:kern w:val="2"/>
                <w:sz w:val="24"/>
                <w:highlight w:val="none"/>
                <w:vertAlign w:val="baseline"/>
                <w:lang w:val="en-US" w:eastAsia="zh-CN"/>
              </w:rPr>
            </w:pPr>
            <w:r>
              <w:rPr>
                <w:rFonts w:hint="eastAsia" w:ascii="Times New Roman" w:hAnsi="Times New Roman" w:eastAsia="宋体" w:cs="Times New Roman"/>
                <w:color w:val="auto"/>
                <w:kern w:val="2"/>
                <w:sz w:val="24"/>
                <w:highlight w:val="none"/>
                <w:lang w:val="en-US" w:eastAsia="zh-CN"/>
              </w:rPr>
              <w:t>V</w:t>
            </w:r>
            <w:r>
              <w:rPr>
                <w:rFonts w:hint="eastAsia" w:ascii="Times New Roman" w:hAnsi="Times New Roman" w:eastAsia="宋体" w:cs="Times New Roman"/>
                <w:color w:val="auto"/>
                <w:kern w:val="2"/>
                <w:sz w:val="24"/>
                <w:highlight w:val="none"/>
                <w:vertAlign w:val="subscript"/>
                <w:lang w:val="en-US" w:eastAsia="zh-CN"/>
              </w:rPr>
              <w:t>gy</w:t>
            </w:r>
            <w:r>
              <w:rPr>
                <w:rFonts w:hint="eastAsia" w:ascii="Times New Roman" w:hAnsi="Times New Roman" w:eastAsia="宋体" w:cs="Times New Roman"/>
                <w:color w:val="auto"/>
                <w:kern w:val="2"/>
                <w:sz w:val="24"/>
                <w:highlight w:val="none"/>
                <w:vertAlign w:val="baseline"/>
                <w:lang w:val="en-US" w:eastAsia="zh-CN"/>
              </w:rPr>
              <w:t>=0.285Qnet+0.343</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kern w:val="2"/>
                <w:sz w:val="24"/>
                <w:highlight w:val="none"/>
                <w:vertAlign w:val="baseline"/>
                <w:lang w:val="en-US" w:eastAsia="zh-CN"/>
              </w:rPr>
            </w:pPr>
            <w:r>
              <w:rPr>
                <w:rFonts w:hint="eastAsia" w:ascii="Times New Roman" w:hAnsi="Times New Roman" w:eastAsia="宋体" w:cs="Times New Roman"/>
                <w:color w:val="auto"/>
                <w:kern w:val="2"/>
                <w:sz w:val="24"/>
                <w:highlight w:val="none"/>
                <w:lang w:val="en-US" w:eastAsia="zh-CN"/>
              </w:rPr>
              <w:t>式中：V</w:t>
            </w:r>
            <w:r>
              <w:rPr>
                <w:rFonts w:hint="eastAsia" w:ascii="Times New Roman" w:hAnsi="Times New Roman" w:eastAsia="宋体" w:cs="Times New Roman"/>
                <w:color w:val="auto"/>
                <w:kern w:val="2"/>
                <w:sz w:val="24"/>
                <w:highlight w:val="none"/>
                <w:vertAlign w:val="subscript"/>
                <w:lang w:val="en-US" w:eastAsia="zh-CN"/>
              </w:rPr>
              <w:t>gy</w:t>
            </w:r>
            <w:r>
              <w:rPr>
                <w:rFonts w:hint="eastAsia" w:ascii="Times New Roman" w:hAnsi="Times New Roman" w:eastAsia="宋体" w:cs="Times New Roman"/>
                <w:color w:val="auto"/>
                <w:kern w:val="2"/>
                <w:sz w:val="24"/>
                <w:highlight w:val="none"/>
                <w:vertAlign w:val="baseline"/>
                <w:lang w:val="en-US" w:eastAsia="zh-CN"/>
              </w:rPr>
              <w:t>——基准烟气量，标立方米/立方米；</w:t>
            </w:r>
          </w:p>
          <w:p>
            <w:pPr>
              <w:pStyle w:val="13"/>
              <w:rPr>
                <w:rFonts w:hint="default"/>
                <w:b w:val="0"/>
                <w:bCs w:val="0"/>
                <w:color w:val="auto"/>
                <w:highlight w:val="none"/>
                <w:vertAlign w:val="baseline"/>
                <w:lang w:val="en-US" w:eastAsia="zh-CN"/>
              </w:rPr>
            </w:pPr>
            <w:r>
              <w:rPr>
                <w:rFonts w:hint="eastAsia" w:ascii="Times New Roman" w:hAnsi="Times New Roman" w:eastAsia="宋体" w:cs="Times New Roman"/>
                <w:b w:val="0"/>
                <w:bCs w:val="0"/>
                <w:color w:val="auto"/>
                <w:kern w:val="2"/>
                <w:sz w:val="24"/>
                <w:highlight w:val="none"/>
                <w:vertAlign w:val="baseline"/>
                <w:lang w:val="en-US" w:eastAsia="zh-CN"/>
              </w:rPr>
              <w:t xml:space="preserve">      Qnet——气体燃料低位发热量，MJ/m</w:t>
            </w:r>
            <w:r>
              <w:rPr>
                <w:rFonts w:hint="eastAsia" w:ascii="Times New Roman" w:hAnsi="Times New Roman" w:eastAsia="宋体" w:cs="Times New Roman"/>
                <w:b w:val="0"/>
                <w:bCs w:val="0"/>
                <w:color w:val="auto"/>
                <w:kern w:val="2"/>
                <w:sz w:val="24"/>
                <w:highlight w:val="none"/>
                <w:vertAlign w:val="superscript"/>
                <w:lang w:val="en-US" w:eastAsia="zh-CN"/>
              </w:rPr>
              <w:t>3</w:t>
            </w:r>
            <w:r>
              <w:rPr>
                <w:rFonts w:hint="eastAsia" w:ascii="Times New Roman" w:hAnsi="Times New Roman" w:eastAsia="宋体" w:cs="Times New Roman"/>
                <w:b w:val="0"/>
                <w:bCs w:val="0"/>
                <w:color w:val="auto"/>
                <w:kern w:val="2"/>
                <w:sz w:val="24"/>
                <w:highlight w:val="none"/>
                <w:vertAlign w:val="baseline"/>
                <w:lang w:val="en-US" w:eastAsia="zh-CN"/>
              </w:rPr>
              <w:t>。</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ascii="Times New Roman" w:hAnsi="Times New Roman" w:eastAsia="宋体" w:cs="Times New Roman"/>
                <w:color w:val="auto"/>
                <w:kern w:val="2"/>
                <w:sz w:val="24"/>
                <w:highlight w:val="none"/>
                <w:vertAlign w:val="baseline"/>
                <w:lang w:val="en-US" w:eastAsia="zh-CN"/>
              </w:rPr>
            </w:pPr>
            <w:r>
              <w:rPr>
                <w:rFonts w:hint="eastAsia" w:ascii="Times New Roman" w:hAnsi="Times New Roman" w:eastAsia="宋体" w:cs="Times New Roman"/>
                <w:color w:val="auto"/>
                <w:kern w:val="2"/>
                <w:sz w:val="24"/>
                <w:highlight w:val="none"/>
                <w:lang w:val="en-US" w:eastAsia="zh-CN"/>
              </w:rPr>
              <w:t>本项目锅炉使用天然气为燃料，天然气低位发热量约8600kcal/m</w:t>
            </w:r>
            <w:r>
              <w:rPr>
                <w:rFonts w:hint="eastAsia" w:ascii="Times New Roman" w:hAnsi="Times New Roman" w:eastAsia="宋体" w:cs="Times New Roman"/>
                <w:color w:val="auto"/>
                <w:kern w:val="2"/>
                <w:sz w:val="24"/>
                <w:highlight w:val="none"/>
                <w:vertAlign w:val="superscript"/>
                <w:lang w:val="en-US" w:eastAsia="zh-CN"/>
              </w:rPr>
              <w:t>3</w:t>
            </w:r>
            <w:r>
              <w:rPr>
                <w:rFonts w:hint="eastAsia" w:ascii="Times New Roman" w:hAnsi="Times New Roman" w:eastAsia="宋体" w:cs="Times New Roman"/>
                <w:color w:val="auto"/>
                <w:kern w:val="2"/>
                <w:sz w:val="24"/>
                <w:highlight w:val="none"/>
                <w:vertAlign w:val="baseline"/>
                <w:lang w:val="en-US" w:eastAsia="zh-CN"/>
              </w:rPr>
              <w:t>，即35.9824</w:t>
            </w:r>
            <w:r>
              <w:rPr>
                <w:rFonts w:hint="eastAsia" w:ascii="Times New Roman" w:hAnsi="Times New Roman" w:eastAsia="宋体" w:cs="Times New Roman"/>
                <w:b w:val="0"/>
                <w:bCs w:val="0"/>
                <w:color w:val="auto"/>
                <w:kern w:val="2"/>
                <w:sz w:val="24"/>
                <w:highlight w:val="none"/>
                <w:vertAlign w:val="baseline"/>
                <w:lang w:val="en-US" w:eastAsia="zh-CN"/>
              </w:rPr>
              <w:t>MJ/m</w:t>
            </w:r>
            <w:r>
              <w:rPr>
                <w:rFonts w:hint="eastAsia" w:ascii="Times New Roman" w:hAnsi="Times New Roman" w:eastAsia="宋体" w:cs="Times New Roman"/>
                <w:b w:val="0"/>
                <w:bCs w:val="0"/>
                <w:color w:val="auto"/>
                <w:kern w:val="2"/>
                <w:sz w:val="24"/>
                <w:highlight w:val="none"/>
                <w:vertAlign w:val="superscript"/>
                <w:lang w:val="en-US" w:eastAsia="zh-CN"/>
              </w:rPr>
              <w:t>3</w:t>
            </w:r>
            <w:r>
              <w:rPr>
                <w:rFonts w:hint="eastAsia" w:ascii="Times New Roman" w:hAnsi="Times New Roman" w:eastAsia="宋体" w:cs="Times New Roman"/>
                <w:b w:val="0"/>
                <w:bCs w:val="0"/>
                <w:color w:val="auto"/>
                <w:kern w:val="2"/>
                <w:sz w:val="24"/>
                <w:highlight w:val="none"/>
                <w:vertAlign w:val="baseline"/>
                <w:lang w:val="en-US" w:eastAsia="zh-CN"/>
              </w:rPr>
              <w:t>。因此，本项目基准烟气量为10.598Nm</w:t>
            </w:r>
            <w:r>
              <w:rPr>
                <w:rFonts w:hint="eastAsia" w:ascii="Times New Roman" w:hAnsi="Times New Roman" w:eastAsia="宋体" w:cs="Times New Roman"/>
                <w:b w:val="0"/>
                <w:bCs w:val="0"/>
                <w:color w:val="auto"/>
                <w:kern w:val="2"/>
                <w:sz w:val="24"/>
                <w:highlight w:val="none"/>
                <w:vertAlign w:val="superscript"/>
                <w:lang w:val="en-US" w:eastAsia="zh-CN"/>
              </w:rPr>
              <w:t>3</w:t>
            </w:r>
            <w:r>
              <w:rPr>
                <w:rFonts w:hint="eastAsia" w:ascii="Times New Roman" w:hAnsi="Times New Roman" w:eastAsia="宋体" w:cs="Times New Roman"/>
                <w:b w:val="0"/>
                <w:bCs w:val="0"/>
                <w:color w:val="auto"/>
                <w:kern w:val="2"/>
                <w:sz w:val="24"/>
                <w:highlight w:val="none"/>
                <w:vertAlign w:val="baseline"/>
                <w:lang w:val="en-US" w:eastAsia="zh-CN"/>
              </w:rPr>
              <w:t>/m</w:t>
            </w:r>
            <w:r>
              <w:rPr>
                <w:rFonts w:hint="eastAsia" w:ascii="Times New Roman" w:hAnsi="Times New Roman" w:eastAsia="宋体" w:cs="Times New Roman"/>
                <w:b w:val="0"/>
                <w:bCs w:val="0"/>
                <w:color w:val="auto"/>
                <w:kern w:val="2"/>
                <w:sz w:val="24"/>
                <w:highlight w:val="none"/>
                <w:vertAlign w:val="superscript"/>
                <w:lang w:val="en-US" w:eastAsia="zh-CN"/>
              </w:rPr>
              <w:t>3</w:t>
            </w:r>
            <w:r>
              <w:rPr>
                <w:rFonts w:hint="eastAsia" w:ascii="Times New Roman" w:hAnsi="Times New Roman" w:eastAsia="宋体" w:cs="Times New Roman"/>
                <w:b w:val="0"/>
                <w:bCs w:val="0"/>
                <w:color w:val="auto"/>
                <w:kern w:val="2"/>
                <w:sz w:val="24"/>
                <w:highlight w:val="none"/>
                <w:vertAlign w:val="baseline"/>
                <w:lang w:val="en-US" w:eastAsia="zh-CN"/>
              </w:rPr>
              <w:t>。</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color w:val="auto"/>
                <w:highlight w:val="none"/>
                <w:lang w:val="en-US" w:eastAsia="zh-CN"/>
              </w:rPr>
            </w:pPr>
            <w:r>
              <w:rPr>
                <w:rFonts w:hint="eastAsia" w:ascii="Times New Roman" w:hAnsi="Times New Roman" w:eastAsia="宋体" w:cs="Times New Roman"/>
                <w:color w:val="auto"/>
                <w:kern w:val="2"/>
                <w:sz w:val="24"/>
                <w:highlight w:val="none"/>
                <w:lang w:val="en-US" w:eastAsia="zh-CN"/>
              </w:rPr>
              <w:t>本项目</w:t>
            </w:r>
            <w:r>
              <w:rPr>
                <w:rFonts w:hint="eastAsia"/>
                <w:color w:val="auto"/>
                <w:sz w:val="24"/>
                <w:highlight w:val="none"/>
                <w:lang w:val="en-US" w:eastAsia="zh-CN"/>
              </w:rPr>
              <w:t>锅炉新增用</w:t>
            </w:r>
            <w:r>
              <w:rPr>
                <w:color w:val="auto"/>
                <w:sz w:val="24"/>
                <w:highlight w:val="none"/>
              </w:rPr>
              <w:t>天然气量约为</w:t>
            </w:r>
            <w:r>
              <w:rPr>
                <w:rFonts w:hint="eastAsia"/>
                <w:color w:val="auto"/>
                <w:sz w:val="24"/>
                <w:highlight w:val="none"/>
                <w:lang w:val="en-US" w:eastAsia="zh-CN"/>
              </w:rPr>
              <w:t>50万</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lang w:eastAsia="zh-CN"/>
              </w:rPr>
              <w:t>，</w:t>
            </w:r>
            <w:r>
              <w:rPr>
                <w:rFonts w:hint="eastAsia"/>
                <w:color w:val="auto"/>
                <w:sz w:val="24"/>
                <w:highlight w:val="none"/>
                <w:lang w:val="en-US" w:eastAsia="zh-CN"/>
              </w:rPr>
              <w:t>因此，本项目烟气年排放量为5299000</w:t>
            </w:r>
            <w:r>
              <w:rPr>
                <w:rFonts w:hint="eastAsia" w:ascii="Times New Roman" w:hAnsi="Times New Roman" w:eastAsia="宋体" w:cs="Times New Roman"/>
                <w:b w:val="0"/>
                <w:bCs w:val="0"/>
                <w:color w:val="auto"/>
                <w:kern w:val="2"/>
                <w:sz w:val="24"/>
                <w:highlight w:val="none"/>
                <w:vertAlign w:val="baseline"/>
                <w:lang w:val="en-US" w:eastAsia="zh-CN"/>
              </w:rPr>
              <w:t>Nm</w:t>
            </w:r>
            <w:r>
              <w:rPr>
                <w:rFonts w:hint="eastAsia" w:ascii="Times New Roman" w:hAnsi="Times New Roman" w:eastAsia="宋体" w:cs="Times New Roman"/>
                <w:b w:val="0"/>
                <w:bCs w:val="0"/>
                <w:color w:val="auto"/>
                <w:kern w:val="2"/>
                <w:sz w:val="24"/>
                <w:highlight w:val="none"/>
                <w:vertAlign w:val="superscript"/>
                <w:lang w:val="en-US" w:eastAsia="zh-CN"/>
              </w:rPr>
              <w:t>3</w:t>
            </w:r>
            <w:r>
              <w:rPr>
                <w:rFonts w:hint="eastAsia" w:ascii="Times New Roman" w:hAnsi="Times New Roman" w:eastAsia="宋体" w:cs="Times New Roman"/>
                <w:b w:val="0"/>
                <w:bCs w:val="0"/>
                <w:color w:val="auto"/>
                <w:kern w:val="2"/>
                <w:sz w:val="24"/>
                <w:highlight w:val="none"/>
                <w:vertAlign w:val="baseline"/>
                <w:lang w:val="en-US" w:eastAsia="zh-CN"/>
              </w:rPr>
              <w:t>。</w:t>
            </w:r>
          </w:p>
          <w:p>
            <w:pPr>
              <w:pStyle w:val="13"/>
              <w:rPr>
                <w:rFonts w:hint="default"/>
                <w:color w:val="auto"/>
                <w:highlight w:val="none"/>
                <w:lang w:val="en-US" w:eastAsia="zh-CN"/>
              </w:rPr>
            </w:pPr>
            <w:r>
              <w:rPr>
                <w:rFonts w:hint="eastAsia"/>
                <w:color w:val="auto"/>
                <w:highlight w:val="none"/>
                <w:lang w:val="en-US" w:eastAsia="zh-CN"/>
              </w:rPr>
              <w:t>②颗粒物源强核算</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根据《污染源源强核算技术指南 锅炉》（HJ991-2018），本项目采用类比法进行计算。</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类比现有项目对6t/h的锅炉的例行监测报告，现有项目锅炉的颗粒物排放量</w:t>
            </w:r>
            <w:r>
              <w:rPr>
                <w:color w:val="auto"/>
                <w:sz w:val="24"/>
                <w:highlight w:val="none"/>
              </w:rPr>
              <w:t>为</w:t>
            </w:r>
            <w:r>
              <w:rPr>
                <w:rFonts w:hint="eastAsia"/>
                <w:color w:val="auto"/>
                <w:sz w:val="24"/>
                <w:highlight w:val="none"/>
                <w:lang w:val="en-US" w:eastAsia="zh-CN"/>
              </w:rPr>
              <w:t>0.0828</w:t>
            </w:r>
            <w:r>
              <w:rPr>
                <w:color w:val="auto"/>
                <w:sz w:val="24"/>
                <w:highlight w:val="none"/>
              </w:rPr>
              <w:t>t/a</w:t>
            </w:r>
            <w:r>
              <w:rPr>
                <w:rFonts w:hint="eastAsia"/>
                <w:color w:val="auto"/>
                <w:sz w:val="24"/>
                <w:highlight w:val="none"/>
                <w:lang w:eastAsia="zh-CN"/>
              </w:rPr>
              <w:t>，</w:t>
            </w:r>
            <w:r>
              <w:rPr>
                <w:rFonts w:hint="eastAsia" w:ascii="Times New Roman" w:hAnsi="Times New Roman" w:eastAsia="宋体" w:cs="Times New Roman"/>
                <w:color w:val="auto"/>
                <w:kern w:val="2"/>
                <w:sz w:val="24"/>
                <w:highlight w:val="none"/>
                <w:lang w:val="en-US" w:eastAsia="zh-CN"/>
              </w:rPr>
              <w:t>现有项目天然气用量约为</w:t>
            </w:r>
            <w:r>
              <w:rPr>
                <w:rFonts w:hint="eastAsia" w:cs="Times New Roman"/>
                <w:color w:val="auto"/>
                <w:kern w:val="2"/>
                <w:sz w:val="24"/>
                <w:highlight w:val="none"/>
                <w:lang w:val="en-US" w:eastAsia="zh-CN"/>
              </w:rPr>
              <w:t>100</w:t>
            </w:r>
            <w:r>
              <w:rPr>
                <w:rFonts w:hint="eastAsia" w:ascii="Times New Roman" w:hAnsi="Times New Roman" w:eastAsia="宋体" w:cs="Times New Roman"/>
                <w:color w:val="auto"/>
                <w:kern w:val="2"/>
                <w:sz w:val="24"/>
                <w:highlight w:val="none"/>
                <w:lang w:val="en-US" w:eastAsia="zh-CN"/>
              </w:rPr>
              <w:t>万m</w:t>
            </w:r>
            <w:r>
              <w:rPr>
                <w:rFonts w:hint="eastAsia" w:ascii="Times New Roman" w:hAnsi="Times New Roman" w:eastAsia="宋体" w:cs="Times New Roman"/>
                <w:color w:val="auto"/>
                <w:kern w:val="2"/>
                <w:sz w:val="24"/>
                <w:highlight w:val="none"/>
                <w:vertAlign w:val="superscript"/>
                <w:lang w:val="en-US" w:eastAsia="zh-CN"/>
              </w:rPr>
              <w:t>3</w:t>
            </w:r>
            <w:r>
              <w:rPr>
                <w:rFonts w:hint="eastAsia" w:ascii="Times New Roman" w:hAnsi="Times New Roman" w:eastAsia="宋体" w:cs="Times New Roman"/>
                <w:color w:val="auto"/>
                <w:kern w:val="2"/>
                <w:sz w:val="24"/>
                <w:highlight w:val="none"/>
                <w:vertAlign w:val="baseline"/>
                <w:lang w:val="en-US" w:eastAsia="zh-CN"/>
              </w:rPr>
              <w:t>/a</w:t>
            </w:r>
            <w:r>
              <w:rPr>
                <w:rFonts w:hint="eastAsia"/>
                <w:color w:val="auto"/>
                <w:sz w:val="24"/>
                <w:highlight w:val="none"/>
                <w:lang w:eastAsia="zh-CN"/>
              </w:rPr>
              <w:t>。</w:t>
            </w:r>
            <w:r>
              <w:rPr>
                <w:color w:val="auto"/>
                <w:sz w:val="24"/>
                <w:highlight w:val="none"/>
              </w:rPr>
              <w:t>本项目</w:t>
            </w:r>
            <w:r>
              <w:rPr>
                <w:rFonts w:hint="eastAsia"/>
                <w:color w:val="auto"/>
                <w:sz w:val="24"/>
                <w:highlight w:val="none"/>
                <w:lang w:val="en-US" w:eastAsia="zh-CN"/>
              </w:rPr>
              <w:t>锅炉新增用</w:t>
            </w:r>
            <w:r>
              <w:rPr>
                <w:color w:val="auto"/>
                <w:sz w:val="24"/>
                <w:highlight w:val="none"/>
              </w:rPr>
              <w:t>天然气量约为</w:t>
            </w:r>
            <w:r>
              <w:rPr>
                <w:rFonts w:hint="eastAsia"/>
                <w:color w:val="auto"/>
                <w:sz w:val="24"/>
                <w:highlight w:val="none"/>
                <w:lang w:val="en-US" w:eastAsia="zh-CN"/>
              </w:rPr>
              <w:t>50万</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lang w:eastAsia="zh-CN"/>
              </w:rPr>
              <w:t>，</w:t>
            </w:r>
            <w:r>
              <w:rPr>
                <w:rFonts w:hint="eastAsia"/>
                <w:color w:val="auto"/>
                <w:sz w:val="24"/>
                <w:highlight w:val="none"/>
                <w:lang w:val="en-US" w:eastAsia="zh-CN"/>
              </w:rPr>
              <w:t>类比现有项目</w:t>
            </w:r>
            <w:r>
              <w:rPr>
                <w:rFonts w:hint="eastAsia" w:ascii="Times New Roman" w:hAnsi="Times New Roman" w:eastAsia="宋体" w:cs="Times New Roman"/>
                <w:color w:val="auto"/>
                <w:kern w:val="2"/>
                <w:sz w:val="24"/>
                <w:highlight w:val="none"/>
                <w:lang w:val="en-US" w:eastAsia="zh-CN"/>
              </w:rPr>
              <w:t>例行监测报告</w:t>
            </w:r>
            <w:r>
              <w:rPr>
                <w:rFonts w:hint="eastAsia"/>
                <w:color w:val="auto"/>
                <w:sz w:val="24"/>
                <w:highlight w:val="none"/>
                <w:lang w:val="en-US" w:eastAsia="zh-CN"/>
              </w:rPr>
              <w:t>，本项目</w:t>
            </w:r>
            <w:r>
              <w:rPr>
                <w:color w:val="auto"/>
                <w:sz w:val="24"/>
                <w:highlight w:val="none"/>
              </w:rPr>
              <w:t>天然气燃烧废气</w:t>
            </w:r>
            <w:r>
              <w:rPr>
                <w:rFonts w:hint="eastAsia" w:ascii="Times New Roman" w:hAnsi="Times New Roman" w:eastAsia="宋体" w:cs="Times New Roman"/>
                <w:color w:val="auto"/>
                <w:kern w:val="2"/>
                <w:sz w:val="24"/>
                <w:highlight w:val="none"/>
                <w:lang w:val="en-US" w:eastAsia="zh-CN"/>
              </w:rPr>
              <w:t>颗粒物</w:t>
            </w:r>
            <w:r>
              <w:rPr>
                <w:rFonts w:hint="eastAsia"/>
                <w:color w:val="auto"/>
                <w:sz w:val="24"/>
                <w:highlight w:val="none"/>
                <w:lang w:val="en-US" w:eastAsia="zh-CN"/>
              </w:rPr>
              <w:t>排放</w:t>
            </w:r>
            <w:r>
              <w:rPr>
                <w:color w:val="auto"/>
                <w:sz w:val="24"/>
                <w:highlight w:val="none"/>
              </w:rPr>
              <w:t>量为</w:t>
            </w:r>
            <w:r>
              <w:rPr>
                <w:rFonts w:hint="eastAsia"/>
                <w:color w:val="auto"/>
                <w:sz w:val="24"/>
                <w:highlight w:val="none"/>
                <w:lang w:val="en-US" w:eastAsia="zh-CN"/>
              </w:rPr>
              <w:t>0.0414</w:t>
            </w:r>
            <w:r>
              <w:rPr>
                <w:color w:val="auto"/>
                <w:sz w:val="24"/>
                <w:highlight w:val="none"/>
              </w:rPr>
              <w:t>t/a</w:t>
            </w:r>
            <w:r>
              <w:rPr>
                <w:rFonts w:hint="eastAsia"/>
                <w:color w:val="auto"/>
                <w:sz w:val="24"/>
                <w:highlight w:val="none"/>
                <w:lang w:eastAsia="zh-CN"/>
              </w:rPr>
              <w:t>。</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color w:val="auto"/>
                <w:sz w:val="24"/>
                <w:highlight w:val="none"/>
                <w:lang w:eastAsia="zh-CN"/>
              </w:rPr>
            </w:pPr>
            <w:r>
              <w:rPr>
                <w:rFonts w:hint="eastAsia" w:ascii="Times New Roman" w:hAnsi="Times New Roman" w:eastAsia="宋体" w:cs="Times New Roman"/>
                <w:color w:val="auto"/>
                <w:sz w:val="24"/>
                <w:highlight w:val="none"/>
                <w:lang w:val="en-US" w:eastAsia="zh-CN"/>
              </w:rPr>
              <w:t>本项目</w:t>
            </w:r>
            <w:r>
              <w:rPr>
                <w:color w:val="auto"/>
                <w:sz w:val="24"/>
                <w:highlight w:val="none"/>
              </w:rPr>
              <w:t>天然气燃烧废气</w:t>
            </w:r>
            <w:r>
              <w:rPr>
                <w:rFonts w:hint="eastAsia"/>
                <w:color w:val="auto"/>
                <w:sz w:val="24"/>
                <w:highlight w:val="none"/>
              </w:rPr>
              <w:t>通过</w:t>
            </w:r>
            <w:r>
              <w:rPr>
                <w:rFonts w:hint="eastAsia"/>
                <w:color w:val="auto"/>
                <w:sz w:val="24"/>
                <w:highlight w:val="none"/>
                <w:lang w:val="en-US" w:eastAsia="zh-CN"/>
              </w:rPr>
              <w:t>10</w:t>
            </w:r>
            <w:r>
              <w:rPr>
                <w:color w:val="auto"/>
                <w:sz w:val="24"/>
                <w:highlight w:val="none"/>
              </w:rPr>
              <w:t>m的排气筒（</w:t>
            </w:r>
            <w:r>
              <w:rPr>
                <w:rFonts w:hint="eastAsia"/>
                <w:color w:val="auto"/>
                <w:sz w:val="24"/>
                <w:highlight w:val="none"/>
              </w:rPr>
              <w:t>排气筒编号DA00</w:t>
            </w:r>
            <w:r>
              <w:rPr>
                <w:rFonts w:hint="eastAsia"/>
                <w:color w:val="auto"/>
                <w:sz w:val="24"/>
                <w:highlight w:val="none"/>
                <w:lang w:val="en-US" w:eastAsia="zh-CN"/>
              </w:rPr>
              <w:t>1</w:t>
            </w:r>
            <w:r>
              <w:rPr>
                <w:color w:val="auto"/>
                <w:sz w:val="24"/>
                <w:highlight w:val="none"/>
              </w:rPr>
              <w:t>）排放</w:t>
            </w:r>
            <w:r>
              <w:rPr>
                <w:rFonts w:hint="eastAsia"/>
                <w:color w:val="auto"/>
                <w:sz w:val="24"/>
                <w:highlight w:val="none"/>
                <w:lang w:val="en-US" w:eastAsia="zh-CN"/>
              </w:rPr>
              <w:t>，因此，本项目锅炉</w:t>
            </w:r>
            <w:r>
              <w:rPr>
                <w:color w:val="auto"/>
                <w:sz w:val="24"/>
                <w:highlight w:val="none"/>
              </w:rPr>
              <w:t>天然气燃烧废气</w:t>
            </w:r>
            <w:r>
              <w:rPr>
                <w:rFonts w:hint="eastAsia" w:ascii="Times New Roman" w:hAnsi="Times New Roman" w:eastAsia="宋体" w:cs="Times New Roman"/>
                <w:color w:val="auto"/>
                <w:kern w:val="2"/>
                <w:sz w:val="24"/>
                <w:highlight w:val="none"/>
                <w:lang w:val="en-US" w:eastAsia="zh-CN"/>
              </w:rPr>
              <w:t>颗粒物产生</w:t>
            </w:r>
            <w:r>
              <w:rPr>
                <w:color w:val="auto"/>
                <w:sz w:val="24"/>
                <w:highlight w:val="none"/>
              </w:rPr>
              <w:t>量为</w:t>
            </w:r>
            <w:r>
              <w:rPr>
                <w:rFonts w:hint="eastAsia"/>
                <w:color w:val="auto"/>
                <w:sz w:val="24"/>
                <w:highlight w:val="none"/>
                <w:lang w:val="en-US" w:eastAsia="zh-CN"/>
              </w:rPr>
              <w:t>0.0414</w:t>
            </w:r>
            <w:r>
              <w:rPr>
                <w:color w:val="auto"/>
                <w:sz w:val="24"/>
                <w:highlight w:val="none"/>
              </w:rPr>
              <w:t>t/a，</w:t>
            </w:r>
            <w:r>
              <w:rPr>
                <w:rFonts w:hint="eastAsia" w:ascii="Times New Roman" w:hAnsi="Times New Roman" w:eastAsia="宋体" w:cs="Times New Roman"/>
                <w:color w:val="auto"/>
                <w:kern w:val="2"/>
                <w:sz w:val="24"/>
                <w:highlight w:val="none"/>
                <w:lang w:val="en-US" w:eastAsia="zh-CN"/>
              </w:rPr>
              <w:t>产生</w:t>
            </w:r>
            <w:r>
              <w:rPr>
                <w:color w:val="auto"/>
                <w:sz w:val="24"/>
                <w:highlight w:val="none"/>
              </w:rPr>
              <w:t>速率为</w:t>
            </w:r>
            <w:r>
              <w:rPr>
                <w:rFonts w:hint="eastAsia"/>
                <w:color w:val="auto"/>
                <w:sz w:val="24"/>
                <w:highlight w:val="none"/>
                <w:lang w:val="en-US" w:eastAsia="zh-CN"/>
              </w:rPr>
              <w:t>0.0115</w:t>
            </w:r>
            <w:r>
              <w:rPr>
                <w:color w:val="auto"/>
                <w:sz w:val="24"/>
                <w:highlight w:val="none"/>
              </w:rPr>
              <w:t>kg/h</w:t>
            </w:r>
            <w:r>
              <w:rPr>
                <w:rFonts w:hint="eastAsia"/>
                <w:color w:val="auto"/>
                <w:sz w:val="24"/>
                <w:highlight w:val="none"/>
                <w:lang w:eastAsia="zh-CN"/>
              </w:rPr>
              <w:t>。</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根据《污染源源强核算技术指南 锅炉》（HJ991-2018），本项目天然气燃烧废气颗粒物源强核算类比可行性说明见下表。</w:t>
            </w:r>
          </w:p>
          <w:p>
            <w:pPr>
              <w:pStyle w:val="41"/>
              <w:bidi w:val="0"/>
              <w:rPr>
                <w:rFonts w:hint="default" w:eastAsia="宋体"/>
                <w:color w:val="auto"/>
                <w:highlight w:val="none"/>
                <w:lang w:val="en-US" w:eastAsia="zh-CN"/>
              </w:rPr>
            </w:pPr>
            <w:r>
              <w:rPr>
                <w:rFonts w:hint="eastAsia"/>
                <w:color w:val="auto"/>
                <w:highlight w:val="none"/>
              </w:rPr>
              <w:t>表</w:t>
            </w:r>
            <w:r>
              <w:rPr>
                <w:color w:val="auto"/>
                <w:highlight w:val="none"/>
              </w:rPr>
              <w:t>4-</w:t>
            </w:r>
            <w:r>
              <w:rPr>
                <w:rFonts w:hint="eastAsia"/>
                <w:color w:val="auto"/>
                <w:highlight w:val="none"/>
                <w:lang w:val="en-US" w:eastAsia="zh-CN"/>
              </w:rPr>
              <w:t>3</w:t>
            </w:r>
            <w:r>
              <w:rPr>
                <w:rFonts w:hint="eastAsia"/>
                <w:color w:val="auto"/>
                <w:highlight w:val="none"/>
              </w:rPr>
              <w:t xml:space="preserve"> </w:t>
            </w:r>
            <w:r>
              <w:rPr>
                <w:color w:val="auto"/>
                <w:highlight w:val="none"/>
              </w:rPr>
              <w:t xml:space="preserve"> </w:t>
            </w:r>
            <w:r>
              <w:rPr>
                <w:rFonts w:hint="eastAsia"/>
                <w:color w:val="auto"/>
                <w:highlight w:val="none"/>
                <w:lang w:val="en-US" w:eastAsia="zh-CN"/>
              </w:rPr>
              <w:t>类比可行性分析</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3002"/>
              <w:gridCol w:w="3208"/>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14" w:type="pct"/>
                  <w:noWrap w:val="0"/>
                  <w:vAlign w:val="center"/>
                </w:tcPr>
                <w:p>
                  <w:pPr>
                    <w:adjustRightInd w:val="0"/>
                    <w:snapToGrid w:val="0"/>
                    <w:jc w:val="center"/>
                    <w:rPr>
                      <w:rFonts w:hint="eastAsia" w:eastAsia="宋体"/>
                      <w:b/>
                      <w:bCs/>
                      <w:color w:val="auto"/>
                      <w:highlight w:val="none"/>
                      <w:lang w:val="en-US" w:eastAsia="zh-CN"/>
                    </w:rPr>
                  </w:pPr>
                  <w:r>
                    <w:rPr>
                      <w:rFonts w:hint="eastAsia"/>
                      <w:b/>
                      <w:bCs/>
                      <w:color w:val="auto"/>
                      <w:highlight w:val="none"/>
                      <w:lang w:val="en-US" w:eastAsia="zh-CN"/>
                    </w:rPr>
                    <w:t>序号</w:t>
                  </w:r>
                </w:p>
              </w:tc>
              <w:tc>
                <w:tcPr>
                  <w:tcW w:w="1822" w:type="pct"/>
                  <w:noWrap w:val="0"/>
                  <w:vAlign w:val="center"/>
                </w:tcPr>
                <w:p>
                  <w:pPr>
                    <w:adjustRightInd w:val="0"/>
                    <w:snapToGrid w:val="0"/>
                    <w:jc w:val="center"/>
                    <w:rPr>
                      <w:rFonts w:hint="eastAsia" w:eastAsia="宋体"/>
                      <w:b/>
                      <w:bCs/>
                      <w:color w:val="auto"/>
                      <w:highlight w:val="none"/>
                      <w:lang w:val="en-US" w:eastAsia="zh-CN"/>
                    </w:rPr>
                  </w:pPr>
                  <w:r>
                    <w:rPr>
                      <w:rFonts w:hint="eastAsia"/>
                      <w:b/>
                      <w:bCs/>
                      <w:color w:val="auto"/>
                      <w:highlight w:val="none"/>
                    </w:rPr>
                    <w:t>HJ991-2018</w:t>
                  </w:r>
                  <w:r>
                    <w:rPr>
                      <w:rFonts w:hint="eastAsia"/>
                      <w:b/>
                      <w:bCs/>
                      <w:color w:val="auto"/>
                      <w:highlight w:val="none"/>
                      <w:lang w:val="en-US" w:eastAsia="zh-CN"/>
                    </w:rPr>
                    <w:t>要求</w:t>
                  </w:r>
                </w:p>
              </w:tc>
              <w:tc>
                <w:tcPr>
                  <w:tcW w:w="1947" w:type="pct"/>
                  <w:noWrap w:val="0"/>
                  <w:vAlign w:val="center"/>
                </w:tcPr>
                <w:p>
                  <w:pPr>
                    <w:adjustRightInd w:val="0"/>
                    <w:snapToGrid w:val="0"/>
                    <w:jc w:val="center"/>
                    <w:rPr>
                      <w:rFonts w:hint="default" w:eastAsia="宋体"/>
                      <w:b/>
                      <w:bCs/>
                      <w:color w:val="auto"/>
                      <w:highlight w:val="none"/>
                      <w:lang w:val="en-US" w:eastAsia="zh-CN"/>
                    </w:rPr>
                  </w:pPr>
                  <w:r>
                    <w:rPr>
                      <w:rFonts w:hint="eastAsia"/>
                      <w:b/>
                      <w:bCs/>
                      <w:color w:val="auto"/>
                      <w:highlight w:val="none"/>
                      <w:lang w:val="en-US" w:eastAsia="zh-CN"/>
                    </w:rPr>
                    <w:t>可行性说明</w:t>
                  </w:r>
                </w:p>
              </w:tc>
              <w:tc>
                <w:tcPr>
                  <w:tcW w:w="816" w:type="pct"/>
                  <w:noWrap w:val="0"/>
                  <w:vAlign w:val="center"/>
                </w:tcPr>
                <w:p>
                  <w:pPr>
                    <w:adjustRightInd w:val="0"/>
                    <w:snapToGrid w:val="0"/>
                    <w:jc w:val="center"/>
                    <w:rPr>
                      <w:rFonts w:hint="eastAsia" w:eastAsia="宋体"/>
                      <w:b/>
                      <w:bCs/>
                      <w:color w:val="auto"/>
                      <w:highlight w:val="none"/>
                      <w:lang w:val="en-US" w:eastAsia="zh-CN"/>
                    </w:rPr>
                  </w:pPr>
                  <w:r>
                    <w:rPr>
                      <w:rFonts w:hint="eastAsia"/>
                      <w:b/>
                      <w:bCs/>
                      <w:color w:val="auto"/>
                      <w:highlight w:val="none"/>
                      <w:lang w:val="en-US" w:eastAsia="zh-CN"/>
                    </w:rPr>
                    <w:t>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14" w:type="pct"/>
                  <w:noWrap w:val="0"/>
                  <w:vAlign w:val="center"/>
                </w:tcPr>
                <w:p>
                  <w:pPr>
                    <w:adjustRightInd w:val="0"/>
                    <w:snapToGrid w:val="0"/>
                    <w:jc w:val="center"/>
                    <w:rPr>
                      <w:rFonts w:hint="eastAsia" w:eastAsia="宋体"/>
                      <w:b w:val="0"/>
                      <w:bCs w:val="0"/>
                      <w:color w:val="auto"/>
                      <w:highlight w:val="none"/>
                      <w:lang w:val="en-US" w:eastAsia="zh-CN"/>
                    </w:rPr>
                  </w:pPr>
                  <w:r>
                    <w:rPr>
                      <w:rFonts w:hint="eastAsia"/>
                      <w:b w:val="0"/>
                      <w:bCs w:val="0"/>
                      <w:color w:val="auto"/>
                      <w:highlight w:val="none"/>
                      <w:lang w:val="en-US" w:eastAsia="zh-CN"/>
                    </w:rPr>
                    <w:t>1</w:t>
                  </w:r>
                </w:p>
              </w:tc>
              <w:tc>
                <w:tcPr>
                  <w:tcW w:w="1822" w:type="pct"/>
                  <w:noWrap w:val="0"/>
                  <w:vAlign w:val="center"/>
                </w:tcPr>
                <w:p>
                  <w:pPr>
                    <w:adjustRightInd w:val="0"/>
                    <w:snapToGrid w:val="0"/>
                    <w:jc w:val="center"/>
                    <w:rPr>
                      <w:rFonts w:hint="eastAsia"/>
                      <w:b w:val="0"/>
                      <w:bCs w:val="0"/>
                      <w:color w:val="auto"/>
                      <w:highlight w:val="none"/>
                    </w:rPr>
                  </w:pPr>
                  <w:r>
                    <w:rPr>
                      <w:rFonts w:hint="eastAsia"/>
                      <w:b w:val="0"/>
                      <w:bCs w:val="0"/>
                      <w:color w:val="auto"/>
                      <w:highlight w:val="none"/>
                    </w:rPr>
                    <w:t>燃料、辅料、副产物类型相同（原则上成分差异不超过20%）</w:t>
                  </w:r>
                </w:p>
              </w:tc>
              <w:tc>
                <w:tcPr>
                  <w:tcW w:w="1947" w:type="pct"/>
                  <w:noWrap w:val="0"/>
                  <w:vAlign w:val="center"/>
                </w:tcPr>
                <w:p>
                  <w:pPr>
                    <w:adjustRightInd w:val="0"/>
                    <w:snapToGrid w:val="0"/>
                    <w:jc w:val="center"/>
                    <w:rPr>
                      <w:rFonts w:hint="eastAsia"/>
                      <w:b w:val="0"/>
                      <w:bCs w:val="0"/>
                      <w:color w:val="auto"/>
                      <w:highlight w:val="none"/>
                    </w:rPr>
                  </w:pPr>
                  <w:r>
                    <w:rPr>
                      <w:rFonts w:hint="eastAsia"/>
                      <w:b w:val="0"/>
                      <w:bCs w:val="0"/>
                      <w:color w:val="auto"/>
                      <w:highlight w:val="none"/>
                    </w:rPr>
                    <w:t>本项目与类比项目所采用锅炉均为</w:t>
                  </w:r>
                  <w:r>
                    <w:rPr>
                      <w:rFonts w:hint="eastAsia"/>
                      <w:b w:val="0"/>
                      <w:bCs w:val="0"/>
                      <w:color w:val="auto"/>
                      <w:highlight w:val="none"/>
                      <w:lang w:val="en-US" w:eastAsia="zh-CN"/>
                    </w:rPr>
                    <w:t>燃气</w:t>
                  </w:r>
                  <w:r>
                    <w:rPr>
                      <w:rFonts w:hint="eastAsia"/>
                      <w:b w:val="0"/>
                      <w:bCs w:val="0"/>
                      <w:color w:val="auto"/>
                      <w:highlight w:val="none"/>
                    </w:rPr>
                    <w:t>锅炉，使用燃料均为天然气，</w:t>
                  </w:r>
                  <w:r>
                    <w:rPr>
                      <w:rFonts w:hint="eastAsia"/>
                      <w:b w:val="0"/>
                      <w:bCs w:val="0"/>
                      <w:color w:val="auto"/>
                      <w:highlight w:val="none"/>
                      <w:lang w:val="en-US" w:eastAsia="zh-CN"/>
                    </w:rPr>
                    <w:t>且来源相同，</w:t>
                  </w:r>
                  <w:r>
                    <w:rPr>
                      <w:rFonts w:hint="eastAsia"/>
                      <w:b w:val="0"/>
                      <w:bCs w:val="0"/>
                      <w:color w:val="auto"/>
                      <w:highlight w:val="none"/>
                    </w:rPr>
                    <w:t>故采用燃气成分相似</w:t>
                  </w:r>
                </w:p>
              </w:tc>
              <w:tc>
                <w:tcPr>
                  <w:tcW w:w="816" w:type="pct"/>
                  <w:noWrap w:val="0"/>
                  <w:vAlign w:val="center"/>
                </w:tcPr>
                <w:p>
                  <w:pPr>
                    <w:adjustRightInd w:val="0"/>
                    <w:snapToGrid w:val="0"/>
                    <w:jc w:val="center"/>
                    <w:rPr>
                      <w:rFonts w:hint="eastAsia" w:eastAsia="宋体"/>
                      <w:b w:val="0"/>
                      <w:bCs w:val="0"/>
                      <w:color w:val="auto"/>
                      <w:highlight w:val="none"/>
                      <w:lang w:val="en-US" w:eastAsia="zh-CN"/>
                    </w:rPr>
                  </w:pPr>
                  <w:r>
                    <w:rPr>
                      <w:rFonts w:hint="eastAsia"/>
                      <w:b w:val="0"/>
                      <w:bCs w:val="0"/>
                      <w:color w:val="auto"/>
                      <w:highlight w:val="none"/>
                      <w:lang w:val="en-US"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414" w:type="pct"/>
                  <w:noWrap w:val="0"/>
                  <w:vAlign w:val="center"/>
                </w:tcPr>
                <w:p>
                  <w:pPr>
                    <w:adjustRightInd w:val="0"/>
                    <w:snapToGrid w:val="0"/>
                    <w:jc w:val="center"/>
                    <w:rPr>
                      <w:rFonts w:hint="default" w:eastAsia="宋体"/>
                      <w:b w:val="0"/>
                      <w:bCs w:val="0"/>
                      <w:color w:val="auto"/>
                      <w:highlight w:val="none"/>
                      <w:lang w:val="en-US" w:eastAsia="zh-CN"/>
                    </w:rPr>
                  </w:pPr>
                  <w:r>
                    <w:rPr>
                      <w:rFonts w:hint="eastAsia"/>
                      <w:b w:val="0"/>
                      <w:bCs w:val="0"/>
                      <w:color w:val="auto"/>
                      <w:highlight w:val="none"/>
                      <w:lang w:val="en-US" w:eastAsia="zh-CN"/>
                    </w:rPr>
                    <w:t>2</w:t>
                  </w:r>
                </w:p>
              </w:tc>
              <w:tc>
                <w:tcPr>
                  <w:tcW w:w="1822" w:type="pct"/>
                  <w:noWrap w:val="0"/>
                  <w:vAlign w:val="center"/>
                </w:tcPr>
                <w:p>
                  <w:pPr>
                    <w:adjustRightInd w:val="0"/>
                    <w:snapToGrid w:val="0"/>
                    <w:jc w:val="center"/>
                    <w:rPr>
                      <w:rFonts w:hint="eastAsia"/>
                      <w:b w:val="0"/>
                      <w:bCs w:val="0"/>
                      <w:color w:val="auto"/>
                      <w:highlight w:val="none"/>
                    </w:rPr>
                  </w:pPr>
                  <w:r>
                    <w:rPr>
                      <w:rFonts w:hint="eastAsia"/>
                      <w:b w:val="0"/>
                      <w:bCs w:val="0"/>
                      <w:color w:val="auto"/>
                      <w:highlight w:val="none"/>
                    </w:rPr>
                    <w:t>锅炉类型和规模等级相同（原则上规模差异不超过30%）</w:t>
                  </w:r>
                </w:p>
              </w:tc>
              <w:tc>
                <w:tcPr>
                  <w:tcW w:w="1947" w:type="pct"/>
                  <w:noWrap w:val="0"/>
                  <w:vAlign w:val="center"/>
                </w:tcPr>
                <w:p>
                  <w:pPr>
                    <w:adjustRightInd w:val="0"/>
                    <w:snapToGrid w:val="0"/>
                    <w:jc w:val="center"/>
                    <w:rPr>
                      <w:rFonts w:hint="default" w:eastAsia="宋体"/>
                      <w:b w:val="0"/>
                      <w:bCs w:val="0"/>
                      <w:color w:val="auto"/>
                      <w:highlight w:val="none"/>
                      <w:lang w:val="en-US" w:eastAsia="zh-CN"/>
                    </w:rPr>
                  </w:pPr>
                  <w:r>
                    <w:rPr>
                      <w:rFonts w:hint="eastAsia"/>
                      <w:b w:val="0"/>
                      <w:bCs w:val="0"/>
                      <w:color w:val="auto"/>
                      <w:highlight w:val="none"/>
                      <w:lang w:val="en-US" w:eastAsia="zh-CN"/>
                    </w:rPr>
                    <w:t>本项目与类比项目均为燃气锅炉，规模均为6t/h</w:t>
                  </w:r>
                </w:p>
              </w:tc>
              <w:tc>
                <w:tcPr>
                  <w:tcW w:w="816" w:type="pct"/>
                  <w:noWrap w:val="0"/>
                  <w:vAlign w:val="center"/>
                </w:tcPr>
                <w:p>
                  <w:pPr>
                    <w:adjustRightInd w:val="0"/>
                    <w:snapToGrid w:val="0"/>
                    <w:jc w:val="center"/>
                    <w:rPr>
                      <w:rFonts w:hint="eastAsia" w:eastAsia="宋体"/>
                      <w:b w:val="0"/>
                      <w:bCs w:val="0"/>
                      <w:color w:val="auto"/>
                      <w:highlight w:val="none"/>
                      <w:lang w:val="en-US" w:eastAsia="zh-CN"/>
                    </w:rPr>
                  </w:pPr>
                  <w:r>
                    <w:rPr>
                      <w:rFonts w:hint="eastAsia"/>
                      <w:b w:val="0"/>
                      <w:bCs w:val="0"/>
                      <w:color w:val="auto"/>
                      <w:highlight w:val="none"/>
                      <w:lang w:val="en-US"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14" w:type="pct"/>
                  <w:noWrap w:val="0"/>
                  <w:vAlign w:val="center"/>
                </w:tcPr>
                <w:p>
                  <w:pPr>
                    <w:adjustRightInd w:val="0"/>
                    <w:snapToGrid w:val="0"/>
                    <w:jc w:val="center"/>
                    <w:rPr>
                      <w:rFonts w:hint="eastAsia" w:eastAsia="宋体"/>
                      <w:b w:val="0"/>
                      <w:bCs w:val="0"/>
                      <w:color w:val="auto"/>
                      <w:highlight w:val="none"/>
                      <w:lang w:val="en-US" w:eastAsia="zh-CN"/>
                    </w:rPr>
                  </w:pPr>
                  <w:r>
                    <w:rPr>
                      <w:rFonts w:hint="eastAsia"/>
                      <w:b w:val="0"/>
                      <w:bCs w:val="0"/>
                      <w:color w:val="auto"/>
                      <w:highlight w:val="none"/>
                      <w:lang w:val="en-US" w:eastAsia="zh-CN"/>
                    </w:rPr>
                    <w:t>3</w:t>
                  </w:r>
                </w:p>
              </w:tc>
              <w:tc>
                <w:tcPr>
                  <w:tcW w:w="1822" w:type="pct"/>
                  <w:noWrap w:val="0"/>
                  <w:vAlign w:val="center"/>
                </w:tcPr>
                <w:p>
                  <w:pPr>
                    <w:adjustRightInd w:val="0"/>
                    <w:snapToGrid w:val="0"/>
                    <w:jc w:val="center"/>
                    <w:rPr>
                      <w:rFonts w:hint="eastAsia"/>
                      <w:b w:val="0"/>
                      <w:bCs w:val="0"/>
                      <w:color w:val="auto"/>
                      <w:highlight w:val="none"/>
                    </w:rPr>
                  </w:pPr>
                  <w:r>
                    <w:rPr>
                      <w:rFonts w:hint="eastAsia"/>
                      <w:b w:val="0"/>
                      <w:bCs w:val="0"/>
                      <w:color w:val="auto"/>
                      <w:highlight w:val="none"/>
                    </w:rPr>
                    <w:t>污染控制措施相似，且污染物设计脱除效率不低于类比对象脱除效率</w:t>
                  </w:r>
                </w:p>
              </w:tc>
              <w:tc>
                <w:tcPr>
                  <w:tcW w:w="1947" w:type="pct"/>
                  <w:noWrap w:val="0"/>
                  <w:vAlign w:val="center"/>
                </w:tcPr>
                <w:p>
                  <w:pPr>
                    <w:adjustRightInd w:val="0"/>
                    <w:snapToGrid w:val="0"/>
                    <w:jc w:val="center"/>
                    <w:rPr>
                      <w:rFonts w:hint="eastAsia"/>
                      <w:b w:val="0"/>
                      <w:bCs w:val="0"/>
                      <w:color w:val="auto"/>
                      <w:highlight w:val="none"/>
                    </w:rPr>
                  </w:pPr>
                  <w:r>
                    <w:rPr>
                      <w:rFonts w:hint="eastAsia"/>
                      <w:b w:val="0"/>
                      <w:bCs w:val="0"/>
                      <w:color w:val="auto"/>
                      <w:highlight w:val="none"/>
                    </w:rPr>
                    <w:t>本项目与类比项目锅炉针对尾气颗粒物均未采取治理措施，脱除效率均为0</w:t>
                  </w:r>
                </w:p>
              </w:tc>
              <w:tc>
                <w:tcPr>
                  <w:tcW w:w="816" w:type="pct"/>
                  <w:noWrap w:val="0"/>
                  <w:vAlign w:val="center"/>
                </w:tcPr>
                <w:p>
                  <w:pPr>
                    <w:adjustRightInd w:val="0"/>
                    <w:snapToGrid w:val="0"/>
                    <w:jc w:val="center"/>
                    <w:rPr>
                      <w:rFonts w:hint="eastAsia" w:eastAsia="宋体"/>
                      <w:b w:val="0"/>
                      <w:bCs w:val="0"/>
                      <w:color w:val="auto"/>
                      <w:highlight w:val="none"/>
                      <w:lang w:val="en-US" w:eastAsia="zh-CN"/>
                    </w:rPr>
                  </w:pPr>
                  <w:r>
                    <w:rPr>
                      <w:rFonts w:hint="eastAsia"/>
                      <w:b w:val="0"/>
                      <w:bCs w:val="0"/>
                      <w:color w:val="auto"/>
                      <w:highlight w:val="none"/>
                      <w:lang w:val="en-US" w:eastAsia="zh-CN"/>
                    </w:rPr>
                    <w:t>可行</w:t>
                  </w:r>
                </w:p>
              </w:tc>
            </w:tr>
          </w:tbl>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综上，本项目天然气燃烧废气中颗粒物类比现有项目例行监测报告可行。</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ascii="Times New Roman" w:hAnsi="Times New Roman" w:eastAsia="宋体" w:cs="Times New Roman"/>
                <w:b/>
                <w:bCs/>
                <w:color w:val="auto"/>
                <w:kern w:val="2"/>
                <w:sz w:val="24"/>
                <w:highlight w:val="none"/>
                <w:lang w:val="en-US" w:eastAsia="zh-CN"/>
              </w:rPr>
            </w:pPr>
            <w:r>
              <w:rPr>
                <w:rFonts w:hint="eastAsia" w:ascii="Times New Roman" w:hAnsi="Times New Roman" w:eastAsia="宋体" w:cs="Times New Roman"/>
                <w:b/>
                <w:bCs/>
                <w:color w:val="auto"/>
                <w:kern w:val="2"/>
                <w:sz w:val="24"/>
                <w:highlight w:val="none"/>
                <w:lang w:val="en-US" w:eastAsia="zh-CN"/>
              </w:rPr>
              <w:t>③二氧化硫源强核算</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kern w:val="2"/>
                <w:sz w:val="24"/>
                <w:highlight w:val="none"/>
                <w:lang w:val="en-US" w:eastAsia="zh-CN"/>
              </w:rPr>
            </w:pPr>
            <w:r>
              <w:rPr>
                <w:rFonts w:hint="eastAsia"/>
                <w:color w:val="auto"/>
                <w:sz w:val="24"/>
                <w:highlight w:val="none"/>
                <w:lang w:val="en-US" w:eastAsia="zh-CN"/>
              </w:rPr>
              <w:t>根据《污染源源强核算技术指南 锅炉》（HJ991-2018），</w:t>
            </w:r>
            <w:r>
              <w:rPr>
                <w:rFonts w:hint="eastAsia" w:ascii="Times New Roman" w:hAnsi="Times New Roman" w:eastAsia="宋体" w:cs="Times New Roman"/>
                <w:color w:val="auto"/>
                <w:kern w:val="2"/>
                <w:sz w:val="24"/>
                <w:highlight w:val="none"/>
                <w:lang w:val="en-US" w:eastAsia="zh-CN"/>
              </w:rPr>
              <w:t>二氧化硫源强按下式计算。</w:t>
            </w:r>
          </w:p>
          <w:p>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Times New Roman" w:hAnsi="Times New Roman" w:eastAsia="宋体" w:cs="Times New Roman"/>
                <w:color w:val="auto"/>
                <w:kern w:val="2"/>
                <w:sz w:val="24"/>
                <w:highlight w:val="none"/>
                <w:lang w:val="en-US" w:eastAsia="zh-CN"/>
              </w:rPr>
            </w:pPr>
            <m:oMathPara>
              <m:oMath>
                <m:sSub>
                  <m:sSubPr>
                    <m:ctrlPr>
                      <w:rPr>
                        <w:rFonts w:hint="default" w:ascii="Cambria Math" w:hAnsi="Cambria Math" w:eastAsia="宋体" w:cs="Times New Roman"/>
                        <w:color w:val="auto"/>
                        <w:kern w:val="2"/>
                        <w:sz w:val="24"/>
                        <w:szCs w:val="24"/>
                        <w:highlight w:val="none"/>
                        <w:lang w:val="en-US" w:eastAsia="zh-CN" w:bidi="ar-SA"/>
                      </w:rPr>
                    </m:ctrlPr>
                  </m:sSubPr>
                  <m:e>
                    <m:r>
                      <m:rPr>
                        <m:sty m:val="p"/>
                      </m:rPr>
                      <w:rPr>
                        <w:rFonts w:hint="default" w:ascii="Cambria Math" w:hAnsi="Cambria Math" w:eastAsia="宋体" w:cs="Times New Roman"/>
                        <w:color w:val="auto"/>
                        <w:kern w:val="2"/>
                        <w:sz w:val="24"/>
                        <w:szCs w:val="24"/>
                        <w:highlight w:val="none"/>
                        <w:lang w:val="en-US" w:eastAsia="zh-CN" w:bidi="ar-SA"/>
                      </w:rPr>
                      <m:t>E</m:t>
                    </m:r>
                    <m:ctrlPr>
                      <w:rPr>
                        <w:rFonts w:hint="default" w:ascii="Cambria Math" w:hAnsi="Cambria Math" w:eastAsia="宋体" w:cs="Times New Roman"/>
                        <w:color w:val="auto"/>
                        <w:kern w:val="2"/>
                        <w:sz w:val="24"/>
                        <w:szCs w:val="24"/>
                        <w:highlight w:val="none"/>
                        <w:lang w:val="en-US" w:eastAsia="zh-CN" w:bidi="ar-SA"/>
                      </w:rPr>
                    </m:ctrlPr>
                  </m:e>
                  <m:sub>
                    <m:sSub>
                      <m:sSubPr>
                        <m:ctrlPr>
                          <w:rPr>
                            <w:rFonts w:hint="default" w:ascii="Cambria Math" w:hAnsi="Cambria Math" w:eastAsia="宋体" w:cs="Times New Roman"/>
                            <w:color w:val="auto"/>
                            <w:kern w:val="2"/>
                            <w:sz w:val="24"/>
                            <w:szCs w:val="24"/>
                            <w:highlight w:val="none"/>
                            <w:lang w:val="en-US" w:eastAsia="zh-CN" w:bidi="ar-SA"/>
                          </w:rPr>
                        </m:ctrlPr>
                      </m:sSubPr>
                      <m:e>
                        <m:r>
                          <m:rPr>
                            <m:sty m:val="p"/>
                          </m:rPr>
                          <w:rPr>
                            <w:rFonts w:hint="default" w:ascii="Cambria Math" w:hAnsi="Cambria Math" w:eastAsia="宋体" w:cs="Times New Roman"/>
                            <w:color w:val="auto"/>
                            <w:kern w:val="2"/>
                            <w:sz w:val="24"/>
                            <w:szCs w:val="24"/>
                            <w:highlight w:val="none"/>
                            <w:lang w:val="en-US" w:eastAsia="zh-CN" w:bidi="ar-SA"/>
                          </w:rPr>
                          <m:t>SO</m:t>
                        </m:r>
                        <m:ctrlPr>
                          <w:rPr>
                            <w:rFonts w:hint="default" w:ascii="Cambria Math" w:hAnsi="Cambria Math" w:eastAsia="宋体" w:cs="Times New Roman"/>
                            <w:color w:val="auto"/>
                            <w:kern w:val="2"/>
                            <w:sz w:val="24"/>
                            <w:szCs w:val="24"/>
                            <w:highlight w:val="none"/>
                            <w:lang w:val="en-US" w:eastAsia="zh-CN" w:bidi="ar-SA"/>
                          </w:rPr>
                        </m:ctrlPr>
                      </m:e>
                      <m:sub>
                        <m:r>
                          <m:rPr>
                            <m:sty m:val="p"/>
                          </m:rPr>
                          <w:rPr>
                            <w:rFonts w:hint="default" w:ascii="Cambria Math" w:hAnsi="Cambria Math" w:eastAsia="宋体" w:cs="Times New Roman"/>
                            <w:color w:val="auto"/>
                            <w:kern w:val="2"/>
                            <w:sz w:val="24"/>
                            <w:szCs w:val="24"/>
                            <w:highlight w:val="none"/>
                            <w:lang w:val="en-US" w:eastAsia="zh-CN" w:bidi="ar-SA"/>
                          </w:rPr>
                          <m:t>2</m:t>
                        </m:r>
                        <m:ctrlPr>
                          <w:rPr>
                            <w:rFonts w:hint="default" w:ascii="Cambria Math" w:hAnsi="Cambria Math" w:eastAsia="宋体" w:cs="Times New Roman"/>
                            <w:color w:val="auto"/>
                            <w:kern w:val="2"/>
                            <w:sz w:val="24"/>
                            <w:szCs w:val="24"/>
                            <w:highlight w:val="none"/>
                            <w:lang w:val="en-US" w:eastAsia="zh-CN" w:bidi="ar-SA"/>
                          </w:rPr>
                        </m:ctrlPr>
                      </m:sub>
                    </m:sSub>
                    <m:ctrlPr>
                      <w:rPr>
                        <w:rFonts w:hint="default" w:ascii="Cambria Math" w:hAnsi="Cambria Math" w:eastAsia="宋体" w:cs="Times New Roman"/>
                        <w:color w:val="auto"/>
                        <w:kern w:val="2"/>
                        <w:sz w:val="24"/>
                        <w:szCs w:val="24"/>
                        <w:highlight w:val="none"/>
                        <w:lang w:val="en-US" w:eastAsia="zh-CN" w:bidi="ar-SA"/>
                      </w:rPr>
                    </m:ctrlPr>
                  </m:sub>
                </m:sSub>
                <m:r>
                  <m:rPr>
                    <m:sty m:val="p"/>
                  </m:rPr>
                  <w:rPr>
                    <w:rFonts w:hint="default" w:ascii="Cambria Math" w:hAnsi="Cambria Math" w:eastAsia="宋体" w:cs="Times New Roman"/>
                    <w:color w:val="auto"/>
                    <w:kern w:val="2"/>
                    <w:sz w:val="24"/>
                    <w:szCs w:val="24"/>
                    <w:highlight w:val="none"/>
                    <w:lang w:val="en-US" w:eastAsia="zh-CN" w:bidi="ar-SA"/>
                  </w:rPr>
                  <m:t>=2R</m:t>
                </m:r>
                <m:r>
                  <m:rPr>
                    <m:sty m:val="p"/>
                  </m:rPr>
                  <w:rPr>
                    <w:rFonts w:ascii="Cambria Math" w:hAnsi="Cambria Math" w:cs="Times New Roman"/>
                    <w:color w:val="auto"/>
                    <w:kern w:val="2"/>
                    <w:sz w:val="24"/>
                    <w:szCs w:val="24"/>
                    <w:highlight w:val="none"/>
                    <w:lang w:val="en-US" w:bidi="ar-SA"/>
                  </w:rPr>
                  <m:t>×</m:t>
                </m:r>
                <m:sSub>
                  <m:sSubPr>
                    <m:ctrlPr>
                      <w:rPr>
                        <w:rFonts w:ascii="Cambria Math" w:hAnsi="Cambria Math" w:cs="Times New Roman"/>
                        <w:color w:val="auto"/>
                        <w:kern w:val="2"/>
                        <w:sz w:val="24"/>
                        <w:szCs w:val="24"/>
                        <w:highlight w:val="none"/>
                        <w:lang w:val="en-US" w:bidi="ar-SA"/>
                      </w:rPr>
                    </m:ctrlPr>
                  </m:sSubPr>
                  <m:e>
                    <m:r>
                      <m:rPr>
                        <m:sty m:val="p"/>
                      </m:rPr>
                      <w:rPr>
                        <w:rFonts w:hint="default" w:ascii="Cambria Math" w:hAnsi="Cambria Math" w:cs="Times New Roman"/>
                        <w:color w:val="auto"/>
                        <w:kern w:val="2"/>
                        <w:sz w:val="24"/>
                        <w:szCs w:val="24"/>
                        <w:highlight w:val="none"/>
                        <w:lang w:val="en-US" w:eastAsia="zh-CN" w:bidi="ar-SA"/>
                      </w:rPr>
                      <m:t>S</m:t>
                    </m:r>
                    <m:ctrlPr>
                      <w:rPr>
                        <w:rFonts w:ascii="Cambria Math" w:hAnsi="Cambria Math" w:cs="Times New Roman"/>
                        <w:color w:val="auto"/>
                        <w:kern w:val="2"/>
                        <w:sz w:val="24"/>
                        <w:szCs w:val="24"/>
                        <w:highlight w:val="none"/>
                        <w:lang w:val="en-US" w:bidi="ar-SA"/>
                      </w:rPr>
                    </m:ctrlPr>
                  </m:e>
                  <m:sub>
                    <m:r>
                      <m:rPr>
                        <m:sty m:val="p"/>
                      </m:rPr>
                      <w:rPr>
                        <w:rFonts w:hint="eastAsia" w:ascii="Cambria Math" w:hAnsi="Cambria Math" w:cs="Times New Roman"/>
                        <w:color w:val="auto"/>
                        <w:kern w:val="2"/>
                        <w:sz w:val="24"/>
                        <w:szCs w:val="24"/>
                        <w:highlight w:val="none"/>
                        <w:lang w:val="en-US" w:eastAsia="zh-CN" w:bidi="ar-SA"/>
                      </w:rPr>
                      <m:t>t</m:t>
                    </m:r>
                    <m:ctrlPr>
                      <w:rPr>
                        <w:rFonts w:ascii="Cambria Math" w:hAnsi="Cambria Math" w:cs="Times New Roman"/>
                        <w:color w:val="auto"/>
                        <w:kern w:val="2"/>
                        <w:sz w:val="24"/>
                        <w:szCs w:val="24"/>
                        <w:highlight w:val="none"/>
                        <w:lang w:val="en-US" w:bidi="ar-SA"/>
                      </w:rPr>
                    </m:ctrlPr>
                  </m:sub>
                </m:sSub>
                <m:r>
                  <m:rPr>
                    <m:sty m:val="p"/>
                  </m:rPr>
                  <w:rPr>
                    <w:rFonts w:ascii="Cambria Math" w:hAnsi="Cambria Math" w:cs="Times New Roman"/>
                    <w:color w:val="auto"/>
                    <w:kern w:val="2"/>
                    <w:sz w:val="24"/>
                    <w:szCs w:val="24"/>
                    <w:highlight w:val="none"/>
                    <w:lang w:val="en-US" w:bidi="ar-SA"/>
                  </w:rPr>
                  <m:t>×</m:t>
                </m:r>
                <m:d>
                  <m:dPr>
                    <m:ctrlPr>
                      <w:rPr>
                        <w:rFonts w:ascii="Cambria Math" w:hAnsi="Cambria Math" w:cs="Times New Roman"/>
                        <w:color w:val="auto"/>
                        <w:kern w:val="2"/>
                        <w:sz w:val="24"/>
                        <w:szCs w:val="24"/>
                        <w:highlight w:val="none"/>
                        <w:lang w:val="en-US" w:bidi="ar-SA"/>
                      </w:rPr>
                    </m:ctrlPr>
                  </m:dPr>
                  <m:e>
                    <m:r>
                      <m:rPr>
                        <m:sty m:val="p"/>
                      </m:rPr>
                      <w:rPr>
                        <w:rFonts w:hint="default" w:ascii="Cambria Math" w:hAnsi="Cambria Math" w:cs="Times New Roman"/>
                        <w:color w:val="auto"/>
                        <w:kern w:val="2"/>
                        <w:sz w:val="24"/>
                        <w:szCs w:val="24"/>
                        <w:highlight w:val="none"/>
                        <w:lang w:val="en-US" w:eastAsia="zh-CN" w:bidi="ar-SA"/>
                      </w:rPr>
                      <m:t>1−</m:t>
                    </m:r>
                    <m:f>
                      <m:fPr>
                        <m:ctrlPr>
                          <w:rPr>
                            <w:rFonts w:hint="default" w:ascii="Cambria Math" w:hAnsi="Cambria Math" w:cs="Times New Roman"/>
                            <w:color w:val="auto"/>
                            <w:kern w:val="2"/>
                            <w:sz w:val="24"/>
                            <w:szCs w:val="24"/>
                            <w:highlight w:val="none"/>
                            <w:lang w:val="en-US" w:eastAsia="zh-CN" w:bidi="ar-SA"/>
                          </w:rPr>
                        </m:ctrlPr>
                      </m:fPr>
                      <m:num>
                        <m:sSub>
                          <m:sSubPr>
                            <m:ctrlPr>
                              <w:rPr>
                                <w:rFonts w:hint="default" w:ascii="Cambria Math" w:hAnsi="Cambria Math" w:cs="Times New Roman"/>
                                <w:color w:val="auto"/>
                                <w:kern w:val="2"/>
                                <w:sz w:val="24"/>
                                <w:szCs w:val="24"/>
                                <w:highlight w:val="none"/>
                                <w:lang w:val="en-US" w:eastAsia="zh-CN" w:bidi="ar-SA"/>
                              </w:rPr>
                            </m:ctrlPr>
                          </m:sSubPr>
                          <m:e>
                            <m:r>
                              <m:rPr>
                                <m:sty m:val="p"/>
                              </m:rPr>
                              <w:rPr>
                                <w:rFonts w:hint="default" w:ascii="Cambria Math" w:hAnsi="Cambria Math" w:cs="Times New Roman"/>
                                <w:color w:val="auto"/>
                                <w:kern w:val="2"/>
                                <w:sz w:val="24"/>
                                <w:szCs w:val="24"/>
                                <w:highlight w:val="none"/>
                                <w:lang w:val="en-US" w:eastAsia="zh-CN" w:bidi="ar-SA"/>
                              </w:rPr>
                              <m:t>η</m:t>
                            </m:r>
                            <m:ctrlPr>
                              <w:rPr>
                                <w:rFonts w:hint="default" w:ascii="Cambria Math" w:hAnsi="Cambria Math" w:cs="Times New Roman"/>
                                <w:color w:val="auto"/>
                                <w:kern w:val="2"/>
                                <w:sz w:val="24"/>
                                <w:szCs w:val="24"/>
                                <w:highlight w:val="none"/>
                                <w:lang w:val="en-US" w:eastAsia="zh-CN" w:bidi="ar-SA"/>
                              </w:rPr>
                            </m:ctrlPr>
                          </m:e>
                          <m:sub>
                            <m:r>
                              <m:rPr>
                                <m:sty m:val="p"/>
                              </m:rPr>
                              <w:rPr>
                                <w:rFonts w:hint="default" w:ascii="Cambria Math" w:hAnsi="Cambria Math" w:cs="Times New Roman"/>
                                <w:color w:val="auto"/>
                                <w:kern w:val="2"/>
                                <w:sz w:val="24"/>
                                <w:szCs w:val="24"/>
                                <w:highlight w:val="none"/>
                                <w:lang w:val="en-US" w:eastAsia="zh-CN" w:bidi="ar-SA"/>
                              </w:rPr>
                              <m:t>s</m:t>
                            </m:r>
                            <m:ctrlPr>
                              <w:rPr>
                                <w:rFonts w:hint="default" w:ascii="Cambria Math" w:hAnsi="Cambria Math" w:cs="Times New Roman"/>
                                <w:color w:val="auto"/>
                                <w:kern w:val="2"/>
                                <w:sz w:val="24"/>
                                <w:szCs w:val="24"/>
                                <w:highlight w:val="none"/>
                                <w:lang w:val="en-US" w:eastAsia="zh-CN" w:bidi="ar-SA"/>
                              </w:rPr>
                            </m:ctrlPr>
                          </m:sub>
                        </m:sSub>
                        <m:ctrlPr>
                          <w:rPr>
                            <w:rFonts w:hint="default" w:ascii="Cambria Math" w:hAnsi="Cambria Math" w:cs="Times New Roman"/>
                            <w:color w:val="auto"/>
                            <w:kern w:val="2"/>
                            <w:sz w:val="24"/>
                            <w:szCs w:val="24"/>
                            <w:highlight w:val="none"/>
                            <w:lang w:val="en-US" w:eastAsia="zh-CN" w:bidi="ar-SA"/>
                          </w:rPr>
                        </m:ctrlPr>
                      </m:num>
                      <m:den>
                        <m:r>
                          <m:rPr>
                            <m:sty m:val="p"/>
                          </m:rPr>
                          <w:rPr>
                            <w:rFonts w:hint="default" w:ascii="Cambria Math" w:hAnsi="Cambria Math" w:cs="Times New Roman"/>
                            <w:color w:val="auto"/>
                            <w:kern w:val="2"/>
                            <w:sz w:val="24"/>
                            <w:szCs w:val="24"/>
                            <w:highlight w:val="none"/>
                            <w:lang w:val="en-US" w:eastAsia="zh-CN" w:bidi="ar-SA"/>
                          </w:rPr>
                          <m:t>100</m:t>
                        </m:r>
                        <m:ctrlPr>
                          <w:rPr>
                            <w:rFonts w:hint="default" w:ascii="Cambria Math" w:hAnsi="Cambria Math" w:cs="Times New Roman"/>
                            <w:color w:val="auto"/>
                            <w:kern w:val="2"/>
                            <w:sz w:val="24"/>
                            <w:szCs w:val="24"/>
                            <w:highlight w:val="none"/>
                            <w:lang w:val="en-US" w:eastAsia="zh-CN" w:bidi="ar-SA"/>
                          </w:rPr>
                        </m:ctrlPr>
                      </m:den>
                    </m:f>
                    <m:ctrlPr>
                      <w:rPr>
                        <w:rFonts w:ascii="Cambria Math" w:hAnsi="Cambria Math" w:cs="Times New Roman"/>
                        <w:color w:val="auto"/>
                        <w:kern w:val="2"/>
                        <w:sz w:val="24"/>
                        <w:szCs w:val="24"/>
                        <w:highlight w:val="none"/>
                        <w:lang w:val="en-US" w:bidi="ar-SA"/>
                      </w:rPr>
                    </m:ctrlPr>
                  </m:e>
                </m:d>
                <m:r>
                  <m:rPr>
                    <m:sty m:val="p"/>
                  </m:rPr>
                  <w:rPr>
                    <w:rFonts w:ascii="Cambria Math" w:hAnsi="Cambria Math" w:cs="Times New Roman"/>
                    <w:color w:val="auto"/>
                    <w:kern w:val="2"/>
                    <w:sz w:val="24"/>
                    <w:szCs w:val="24"/>
                    <w:highlight w:val="none"/>
                    <w:lang w:val="en-US" w:bidi="ar-SA"/>
                  </w:rPr>
                  <m:t>×</m:t>
                </m:r>
                <m:r>
                  <m:rPr>
                    <m:sty m:val="p"/>
                  </m:rPr>
                  <w:rPr>
                    <w:rFonts w:hint="default" w:ascii="Cambria Math" w:hAnsi="Cambria Math" w:cs="Times New Roman"/>
                    <w:color w:val="auto"/>
                    <w:kern w:val="2"/>
                    <w:sz w:val="24"/>
                    <w:szCs w:val="24"/>
                    <w:highlight w:val="none"/>
                    <w:lang w:val="en-US" w:eastAsia="zh-CN" w:bidi="ar-SA"/>
                  </w:rPr>
                  <m:t>K</m:t>
                </m:r>
                <m:r>
                  <m:rPr>
                    <m:sty m:val="p"/>
                  </m:rPr>
                  <w:rPr>
                    <w:rFonts w:ascii="Cambria Math" w:hAnsi="Cambria Math" w:cs="Times New Roman"/>
                    <w:color w:val="auto"/>
                    <w:kern w:val="2"/>
                    <w:sz w:val="24"/>
                    <w:szCs w:val="24"/>
                    <w:highlight w:val="none"/>
                    <w:lang w:val="en-US" w:bidi="ar-SA"/>
                  </w:rPr>
                  <m:t>×</m:t>
                </m:r>
                <m:sSup>
                  <m:sSupPr>
                    <m:ctrlPr>
                      <w:rPr>
                        <w:rFonts w:ascii="Cambria Math" w:hAnsi="Cambria Math" w:cs="Times New Roman"/>
                        <w:color w:val="auto"/>
                        <w:kern w:val="2"/>
                        <w:sz w:val="24"/>
                        <w:szCs w:val="24"/>
                        <w:highlight w:val="none"/>
                        <w:lang w:val="en-US" w:bidi="ar-SA"/>
                      </w:rPr>
                    </m:ctrlPr>
                  </m:sSupPr>
                  <m:e>
                    <m:r>
                      <m:rPr>
                        <m:sty m:val="p"/>
                      </m:rPr>
                      <w:rPr>
                        <w:rFonts w:hint="default" w:ascii="Cambria Math" w:hAnsi="Cambria Math" w:cs="Times New Roman"/>
                        <w:color w:val="auto"/>
                        <w:kern w:val="2"/>
                        <w:sz w:val="24"/>
                        <w:szCs w:val="24"/>
                        <w:highlight w:val="none"/>
                        <w:lang w:val="en-US" w:eastAsia="zh-CN" w:bidi="ar-SA"/>
                      </w:rPr>
                      <m:t>10</m:t>
                    </m:r>
                    <m:ctrlPr>
                      <w:rPr>
                        <w:rFonts w:ascii="Cambria Math" w:hAnsi="Cambria Math" w:cs="Times New Roman"/>
                        <w:color w:val="auto"/>
                        <w:kern w:val="2"/>
                        <w:sz w:val="24"/>
                        <w:szCs w:val="24"/>
                        <w:highlight w:val="none"/>
                        <w:lang w:val="en-US" w:bidi="ar-SA"/>
                      </w:rPr>
                    </m:ctrlPr>
                  </m:e>
                  <m:sup>
                    <m:r>
                      <m:rPr>
                        <m:sty m:val="p"/>
                      </m:rPr>
                      <w:rPr>
                        <w:rFonts w:hint="default" w:ascii="Cambria Math" w:hAnsi="Cambria Math" w:cs="Times New Roman"/>
                        <w:color w:val="auto"/>
                        <w:kern w:val="2"/>
                        <w:sz w:val="24"/>
                        <w:szCs w:val="24"/>
                        <w:highlight w:val="none"/>
                        <w:lang w:val="en-US" w:eastAsia="zh-CN" w:bidi="ar-SA"/>
                      </w:rPr>
                      <m:t>−5</m:t>
                    </m:r>
                    <m:ctrlPr>
                      <w:rPr>
                        <w:rFonts w:ascii="Cambria Math" w:hAnsi="Cambria Math" w:cs="Times New Roman"/>
                        <w:color w:val="auto"/>
                        <w:kern w:val="2"/>
                        <w:sz w:val="24"/>
                        <w:szCs w:val="24"/>
                        <w:highlight w:val="none"/>
                        <w:lang w:val="en-US" w:bidi="ar-SA"/>
                      </w:rPr>
                    </m:ctrlPr>
                  </m:sup>
                </m:sSup>
              </m:oMath>
            </m:oMathPara>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kern w:val="2"/>
                <w:sz w:val="24"/>
                <w:highlight w:val="none"/>
                <w:vertAlign w:val="baseline"/>
                <w:lang w:val="en-US" w:eastAsia="zh-CN"/>
              </w:rPr>
            </w:pPr>
            <w:r>
              <w:rPr>
                <w:rFonts w:hint="eastAsia" w:ascii="Times New Roman" w:hAnsi="Times New Roman" w:eastAsia="宋体" w:cs="Times New Roman"/>
                <w:color w:val="auto"/>
                <w:kern w:val="2"/>
                <w:sz w:val="24"/>
                <w:highlight w:val="none"/>
                <w:lang w:val="en-US" w:eastAsia="zh-CN"/>
              </w:rPr>
              <w:t>式中：E</w:t>
            </w:r>
            <w:r>
              <w:rPr>
                <w:rFonts w:hint="eastAsia" w:ascii="Times New Roman" w:hAnsi="Times New Roman" w:eastAsia="宋体" w:cs="Times New Roman"/>
                <w:color w:val="auto"/>
                <w:kern w:val="2"/>
                <w:sz w:val="24"/>
                <w:highlight w:val="none"/>
                <w:vertAlign w:val="subscript"/>
                <w:lang w:val="en-US" w:eastAsia="zh-CN"/>
              </w:rPr>
              <w:t>SO2</w:t>
            </w:r>
            <w:r>
              <w:rPr>
                <w:rFonts w:hint="eastAsia" w:ascii="Times New Roman" w:hAnsi="Times New Roman" w:eastAsia="宋体" w:cs="Times New Roman"/>
                <w:color w:val="auto"/>
                <w:kern w:val="2"/>
                <w:sz w:val="24"/>
                <w:highlight w:val="none"/>
                <w:vertAlign w:val="baseline"/>
                <w:lang w:val="en-US" w:eastAsia="zh-CN"/>
              </w:rPr>
              <w:t>——核算时段内二氧化硫排放量，t；</w:t>
            </w:r>
          </w:p>
          <w:p>
            <w:pPr>
              <w:pStyle w:val="13"/>
              <w:rPr>
                <w:rFonts w:hint="default"/>
                <w:b w:val="0"/>
                <w:bCs w:val="0"/>
                <w:color w:val="auto"/>
                <w:highlight w:val="none"/>
                <w:vertAlign w:val="baseline"/>
                <w:lang w:val="en-US" w:eastAsia="zh-CN"/>
              </w:rPr>
            </w:pPr>
            <w:r>
              <w:rPr>
                <w:rFonts w:hint="eastAsia" w:ascii="Times New Roman" w:hAnsi="Times New Roman" w:eastAsia="宋体" w:cs="Times New Roman"/>
                <w:b w:val="0"/>
                <w:bCs w:val="0"/>
                <w:color w:val="auto"/>
                <w:kern w:val="2"/>
                <w:sz w:val="24"/>
                <w:highlight w:val="none"/>
                <w:vertAlign w:val="baseline"/>
                <w:lang w:val="en-US" w:eastAsia="zh-CN"/>
              </w:rPr>
              <w:t xml:space="preserve">      R——核算时段内锅炉燃料耗量，万m</w:t>
            </w:r>
            <w:r>
              <w:rPr>
                <w:rFonts w:hint="eastAsia" w:ascii="Times New Roman" w:hAnsi="Times New Roman" w:eastAsia="宋体" w:cs="Times New Roman"/>
                <w:b w:val="0"/>
                <w:bCs w:val="0"/>
                <w:color w:val="auto"/>
                <w:kern w:val="2"/>
                <w:sz w:val="24"/>
                <w:highlight w:val="none"/>
                <w:vertAlign w:val="superscript"/>
                <w:lang w:val="en-US" w:eastAsia="zh-CN"/>
              </w:rPr>
              <w:t>3</w:t>
            </w:r>
            <w:r>
              <w:rPr>
                <w:rFonts w:hint="eastAsia" w:ascii="Times New Roman" w:hAnsi="Times New Roman" w:eastAsia="宋体" w:cs="Times New Roman"/>
                <w:b w:val="0"/>
                <w:bCs w:val="0"/>
                <w:color w:val="auto"/>
                <w:kern w:val="2"/>
                <w:sz w:val="24"/>
                <w:highlight w:val="none"/>
                <w:vertAlign w:val="baseline"/>
                <w:lang w:val="en-US" w:eastAsia="zh-CN"/>
              </w:rPr>
              <w:t>；</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ascii="Times New Roman" w:hAnsi="Times New Roman" w:eastAsia="宋体" w:cs="Times New Roman"/>
                <w:b w:val="0"/>
                <w:bCs w:val="0"/>
                <w:color w:val="auto"/>
                <w:kern w:val="2"/>
                <w:sz w:val="24"/>
                <w:highlight w:val="none"/>
                <w:vertAlign w:val="baseline"/>
                <w:lang w:val="en-US" w:eastAsia="zh-CN"/>
              </w:rPr>
            </w:pPr>
            <w:r>
              <w:rPr>
                <w:rFonts w:hint="eastAsia" w:ascii="Times New Roman" w:hAnsi="Times New Roman" w:eastAsia="宋体" w:cs="Times New Roman"/>
                <w:b w:val="0"/>
                <w:bCs w:val="0"/>
                <w:color w:val="auto"/>
                <w:kern w:val="2"/>
                <w:sz w:val="24"/>
                <w:highlight w:val="none"/>
                <w:lang w:val="en-US" w:eastAsia="zh-CN"/>
              </w:rPr>
              <w:t xml:space="preserve">      S</w:t>
            </w:r>
            <w:r>
              <w:rPr>
                <w:rFonts w:hint="eastAsia" w:ascii="Times New Roman" w:hAnsi="Times New Roman" w:eastAsia="宋体" w:cs="Times New Roman"/>
                <w:b w:val="0"/>
                <w:bCs w:val="0"/>
                <w:color w:val="auto"/>
                <w:kern w:val="2"/>
                <w:sz w:val="24"/>
                <w:highlight w:val="none"/>
                <w:vertAlign w:val="subscript"/>
                <w:lang w:val="en-US" w:eastAsia="zh-CN"/>
              </w:rPr>
              <w:t>t</w:t>
            </w:r>
            <w:r>
              <w:rPr>
                <w:rFonts w:hint="eastAsia" w:ascii="Times New Roman" w:hAnsi="Times New Roman" w:eastAsia="宋体" w:cs="Times New Roman"/>
                <w:b w:val="0"/>
                <w:bCs w:val="0"/>
                <w:color w:val="auto"/>
                <w:kern w:val="2"/>
                <w:sz w:val="24"/>
                <w:highlight w:val="none"/>
                <w:vertAlign w:val="baseline"/>
                <w:lang w:val="en-US" w:eastAsia="zh-CN"/>
              </w:rPr>
              <w:t>——燃料总硫的质量浓度，mg/m</w:t>
            </w:r>
            <w:r>
              <w:rPr>
                <w:rFonts w:hint="eastAsia" w:ascii="Times New Roman" w:hAnsi="Times New Roman" w:eastAsia="宋体" w:cs="Times New Roman"/>
                <w:b w:val="0"/>
                <w:bCs w:val="0"/>
                <w:color w:val="auto"/>
                <w:kern w:val="2"/>
                <w:sz w:val="24"/>
                <w:highlight w:val="none"/>
                <w:vertAlign w:val="superscript"/>
                <w:lang w:val="en-US" w:eastAsia="zh-CN"/>
              </w:rPr>
              <w:t>3</w:t>
            </w:r>
            <w:r>
              <w:rPr>
                <w:rFonts w:hint="eastAsia" w:ascii="Times New Roman" w:hAnsi="Times New Roman" w:eastAsia="宋体" w:cs="Times New Roman"/>
                <w:b w:val="0"/>
                <w:bCs w:val="0"/>
                <w:color w:val="auto"/>
                <w:kern w:val="2"/>
                <w:sz w:val="24"/>
                <w:highlight w:val="none"/>
                <w:vertAlign w:val="baseline"/>
                <w:lang w:val="en-US" w:eastAsia="zh-CN"/>
              </w:rPr>
              <w:t>；</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ascii="Times New Roman" w:hAnsi="Times New Roman" w:eastAsia="宋体" w:cs="Times New Roman"/>
                <w:b w:val="0"/>
                <w:bCs w:val="0"/>
                <w:color w:val="auto"/>
                <w:kern w:val="2"/>
                <w:sz w:val="24"/>
                <w:highlight w:val="none"/>
                <w:vertAlign w:val="baseline"/>
                <w:lang w:val="en-US" w:eastAsia="zh-CN"/>
              </w:rPr>
            </w:pPr>
            <w:r>
              <w:rPr>
                <w:rFonts w:hint="eastAsia" w:ascii="Times New Roman" w:hAnsi="Times New Roman" w:eastAsia="宋体" w:cs="Times New Roman"/>
                <w:b w:val="0"/>
                <w:bCs w:val="0"/>
                <w:color w:val="auto"/>
                <w:kern w:val="2"/>
                <w:sz w:val="24"/>
                <w:highlight w:val="none"/>
                <w:lang w:val="en-US" w:eastAsia="zh-CN"/>
              </w:rPr>
              <w:t xml:space="preserve">      </w:t>
            </w:r>
            <w:r>
              <w:rPr>
                <w:rFonts w:hint="default" w:ascii="Times New Roman" w:hAnsi="Times New Roman" w:eastAsia="宋体" w:cs="Times New Roman"/>
                <w:b w:val="0"/>
                <w:bCs w:val="0"/>
                <w:color w:val="auto"/>
                <w:kern w:val="2"/>
                <w:sz w:val="24"/>
                <w:highlight w:val="none"/>
                <w:lang w:val="en-US" w:eastAsia="zh-CN"/>
              </w:rPr>
              <w:t>η</w:t>
            </w:r>
            <w:r>
              <w:rPr>
                <w:rFonts w:hint="default" w:ascii="Times New Roman" w:hAnsi="Times New Roman" w:eastAsia="宋体" w:cs="Times New Roman"/>
                <w:b w:val="0"/>
                <w:bCs w:val="0"/>
                <w:color w:val="auto"/>
                <w:kern w:val="2"/>
                <w:sz w:val="24"/>
                <w:highlight w:val="none"/>
                <w:vertAlign w:val="subscript"/>
                <w:lang w:val="en-US" w:eastAsia="zh-CN"/>
              </w:rPr>
              <w:t>s</w:t>
            </w:r>
            <w:r>
              <w:rPr>
                <w:rFonts w:hint="eastAsia" w:ascii="Times New Roman" w:hAnsi="Times New Roman" w:eastAsia="宋体" w:cs="Times New Roman"/>
                <w:b w:val="0"/>
                <w:bCs w:val="0"/>
                <w:color w:val="auto"/>
                <w:kern w:val="2"/>
                <w:sz w:val="24"/>
                <w:highlight w:val="none"/>
                <w:vertAlign w:val="baseline"/>
                <w:lang w:val="en-US" w:eastAsia="zh-CN"/>
              </w:rPr>
              <w:t>——脱硫效率，%；</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b w:val="0"/>
                <w:bCs w:val="0"/>
                <w:color w:val="auto"/>
                <w:kern w:val="2"/>
                <w:sz w:val="24"/>
                <w:highlight w:val="none"/>
                <w:lang w:val="en-US" w:eastAsia="zh-CN"/>
              </w:rPr>
              <w:t xml:space="preserve">      K——燃料中的硫燃烧后氧化成二氧化硫的份额，量纲一的量。</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color w:val="auto"/>
                <w:kern w:val="2"/>
                <w:sz w:val="24"/>
                <w:highlight w:val="none"/>
                <w:lang w:val="en-US" w:eastAsia="zh-CN"/>
              </w:rPr>
              <w:t>本项目</w:t>
            </w:r>
            <w:r>
              <w:rPr>
                <w:rFonts w:hint="eastAsia"/>
                <w:color w:val="auto"/>
                <w:sz w:val="24"/>
                <w:highlight w:val="none"/>
                <w:lang w:val="en-US" w:eastAsia="zh-CN"/>
              </w:rPr>
              <w:t>新增用</w:t>
            </w:r>
            <w:r>
              <w:rPr>
                <w:color w:val="auto"/>
                <w:sz w:val="24"/>
                <w:highlight w:val="none"/>
              </w:rPr>
              <w:t>天然气</w:t>
            </w:r>
            <w:r>
              <w:rPr>
                <w:rFonts w:hint="eastAsia"/>
                <w:color w:val="auto"/>
                <w:sz w:val="24"/>
                <w:highlight w:val="none"/>
                <w:lang w:val="en-US" w:eastAsia="zh-CN"/>
              </w:rPr>
              <w:t>年用</w:t>
            </w:r>
            <w:r>
              <w:rPr>
                <w:color w:val="auto"/>
                <w:sz w:val="24"/>
                <w:highlight w:val="none"/>
              </w:rPr>
              <w:t>量约为</w:t>
            </w:r>
            <w:r>
              <w:rPr>
                <w:rFonts w:hint="eastAsia"/>
                <w:color w:val="auto"/>
                <w:sz w:val="24"/>
                <w:highlight w:val="none"/>
                <w:lang w:val="en-US" w:eastAsia="zh-CN"/>
              </w:rPr>
              <w:t>50万</w:t>
            </w:r>
            <w:r>
              <w:rPr>
                <w:color w:val="auto"/>
                <w:sz w:val="24"/>
                <w:highlight w:val="none"/>
              </w:rPr>
              <w:t>m</w:t>
            </w:r>
            <w:r>
              <w:rPr>
                <w:color w:val="auto"/>
                <w:sz w:val="24"/>
                <w:highlight w:val="none"/>
                <w:vertAlign w:val="superscript"/>
              </w:rPr>
              <w:t>3</w:t>
            </w:r>
            <w:r>
              <w:rPr>
                <w:rFonts w:hint="eastAsia"/>
                <w:color w:val="auto"/>
                <w:sz w:val="24"/>
                <w:highlight w:val="none"/>
                <w:lang w:eastAsia="zh-CN"/>
              </w:rPr>
              <w:t>；</w:t>
            </w:r>
            <w:r>
              <w:rPr>
                <w:rFonts w:hint="eastAsia" w:ascii="Times New Roman" w:hAnsi="Times New Roman" w:eastAsia="宋体" w:cs="Times New Roman"/>
                <w:b w:val="0"/>
                <w:bCs w:val="0"/>
                <w:color w:val="auto"/>
                <w:kern w:val="2"/>
                <w:sz w:val="24"/>
                <w:highlight w:val="none"/>
                <w:vertAlign w:val="baseline"/>
                <w:lang w:val="en-US" w:eastAsia="zh-CN"/>
              </w:rPr>
              <w:t>燃料总硫的质量浓度取200mg/m</w:t>
            </w:r>
            <w:r>
              <w:rPr>
                <w:rFonts w:hint="eastAsia" w:ascii="Times New Roman" w:hAnsi="Times New Roman" w:eastAsia="宋体" w:cs="Times New Roman"/>
                <w:b w:val="0"/>
                <w:bCs w:val="0"/>
                <w:color w:val="auto"/>
                <w:kern w:val="2"/>
                <w:sz w:val="24"/>
                <w:highlight w:val="none"/>
                <w:vertAlign w:val="superscript"/>
                <w:lang w:val="en-US" w:eastAsia="zh-CN"/>
              </w:rPr>
              <w:t>3</w:t>
            </w:r>
            <w:r>
              <w:rPr>
                <w:rFonts w:hint="eastAsia" w:ascii="Times New Roman" w:hAnsi="Times New Roman" w:eastAsia="宋体" w:cs="Times New Roman"/>
                <w:b w:val="0"/>
                <w:bCs w:val="0"/>
                <w:color w:val="auto"/>
                <w:kern w:val="2"/>
                <w:sz w:val="24"/>
                <w:highlight w:val="none"/>
                <w:vertAlign w:val="baseline"/>
                <w:lang w:val="en-US" w:eastAsia="zh-CN"/>
              </w:rPr>
              <w:t>，</w:t>
            </w:r>
            <w:r>
              <w:rPr>
                <w:rFonts w:hint="eastAsia"/>
                <w:color w:val="auto"/>
                <w:sz w:val="24"/>
                <w:highlight w:val="none"/>
                <w:lang w:val="en-US" w:eastAsia="zh-CN"/>
              </w:rPr>
              <w:t>脱硫效率为0；燃气炉硫转化率一般取值为1.00，本项目取1.00。因此，本项目</w:t>
            </w:r>
            <w:r>
              <w:rPr>
                <w:rFonts w:hint="eastAsia" w:ascii="Times New Roman" w:hAnsi="Times New Roman" w:eastAsia="宋体" w:cs="Times New Roman"/>
                <w:color w:val="auto"/>
                <w:kern w:val="2"/>
                <w:sz w:val="24"/>
                <w:highlight w:val="none"/>
                <w:vertAlign w:val="baseline"/>
                <w:lang w:val="en-US" w:eastAsia="zh-CN"/>
              </w:rPr>
              <w:t>天然气燃烧废气</w:t>
            </w:r>
            <w:r>
              <w:rPr>
                <w:rFonts w:hint="eastAsia" w:ascii="Times New Roman" w:hAnsi="Times New Roman" w:eastAsia="宋体" w:cs="Times New Roman"/>
                <w:b w:val="0"/>
                <w:bCs w:val="0"/>
                <w:color w:val="auto"/>
                <w:kern w:val="2"/>
                <w:sz w:val="24"/>
                <w:highlight w:val="none"/>
                <w:lang w:val="en-US" w:eastAsia="zh-CN"/>
              </w:rPr>
              <w:t>二氧化硫</w:t>
            </w:r>
            <w:r>
              <w:rPr>
                <w:rFonts w:hint="eastAsia" w:ascii="Times New Roman" w:hAnsi="Times New Roman" w:eastAsia="宋体" w:cs="Times New Roman"/>
                <w:color w:val="auto"/>
                <w:kern w:val="2"/>
                <w:sz w:val="24"/>
                <w:highlight w:val="none"/>
                <w:vertAlign w:val="baseline"/>
                <w:lang w:val="en-US" w:eastAsia="zh-CN"/>
              </w:rPr>
              <w:t>产生量为0.</w:t>
            </w:r>
            <w:r>
              <w:rPr>
                <w:rFonts w:hint="eastAsia" w:cs="Times New Roman"/>
                <w:color w:val="auto"/>
                <w:kern w:val="2"/>
                <w:sz w:val="24"/>
                <w:highlight w:val="none"/>
                <w:vertAlign w:val="baseline"/>
                <w:lang w:val="en-US" w:eastAsia="zh-CN"/>
              </w:rPr>
              <w:t>2</w:t>
            </w:r>
            <w:r>
              <w:rPr>
                <w:rFonts w:hint="eastAsia" w:ascii="Times New Roman" w:hAnsi="Times New Roman" w:eastAsia="宋体" w:cs="Times New Roman"/>
                <w:color w:val="auto"/>
                <w:kern w:val="2"/>
                <w:sz w:val="24"/>
                <w:highlight w:val="none"/>
                <w:vertAlign w:val="baseline"/>
                <w:lang w:val="en-US" w:eastAsia="zh-CN"/>
              </w:rPr>
              <w:t>t/a，产生速率为0.</w:t>
            </w:r>
            <w:r>
              <w:rPr>
                <w:rFonts w:hint="eastAsia" w:cs="Times New Roman"/>
                <w:color w:val="auto"/>
                <w:kern w:val="2"/>
                <w:sz w:val="24"/>
                <w:highlight w:val="none"/>
                <w:vertAlign w:val="baseline"/>
                <w:lang w:val="en-US" w:eastAsia="zh-CN"/>
              </w:rPr>
              <w:t>0556</w:t>
            </w:r>
            <w:r>
              <w:rPr>
                <w:rFonts w:hint="eastAsia" w:ascii="Times New Roman" w:hAnsi="Times New Roman" w:eastAsia="宋体" w:cs="Times New Roman"/>
                <w:color w:val="auto"/>
                <w:kern w:val="2"/>
                <w:sz w:val="24"/>
                <w:highlight w:val="none"/>
                <w:vertAlign w:val="baseline"/>
                <w:lang w:val="en-US" w:eastAsia="zh-CN"/>
              </w:rPr>
              <w:t>kg/h。</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ascii="Times New Roman" w:hAnsi="Times New Roman" w:eastAsia="宋体" w:cs="Times New Roman"/>
                <w:b/>
                <w:bCs/>
                <w:color w:val="auto"/>
                <w:kern w:val="2"/>
                <w:sz w:val="24"/>
                <w:highlight w:val="none"/>
                <w:lang w:val="en-US" w:eastAsia="zh-CN"/>
              </w:rPr>
            </w:pPr>
            <w:r>
              <w:rPr>
                <w:rFonts w:hint="eastAsia" w:ascii="Times New Roman" w:hAnsi="Times New Roman" w:eastAsia="宋体" w:cs="Times New Roman"/>
                <w:b/>
                <w:bCs/>
                <w:color w:val="auto"/>
                <w:kern w:val="2"/>
                <w:sz w:val="24"/>
                <w:highlight w:val="none"/>
                <w:lang w:val="en-US" w:eastAsia="zh-CN"/>
              </w:rPr>
              <w:t>④氮氧化物源强核算</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kern w:val="2"/>
                <w:sz w:val="24"/>
                <w:highlight w:val="none"/>
                <w:lang w:val="en-US" w:eastAsia="zh-CN"/>
              </w:rPr>
            </w:pPr>
            <w:r>
              <w:rPr>
                <w:rFonts w:hint="eastAsia"/>
                <w:color w:val="auto"/>
                <w:sz w:val="24"/>
                <w:highlight w:val="none"/>
                <w:lang w:val="en-US" w:eastAsia="zh-CN"/>
              </w:rPr>
              <w:t>根据《污染源源强核算技术指南 锅炉》（HJ991-2018），氮氧化物</w:t>
            </w:r>
            <w:r>
              <w:rPr>
                <w:rFonts w:hint="eastAsia" w:ascii="Times New Roman" w:hAnsi="Times New Roman" w:eastAsia="宋体" w:cs="Times New Roman"/>
                <w:color w:val="auto"/>
                <w:kern w:val="2"/>
                <w:sz w:val="24"/>
                <w:highlight w:val="none"/>
                <w:lang w:val="en-US" w:eastAsia="zh-CN"/>
              </w:rPr>
              <w:t>源强按下式计算。</w:t>
            </w:r>
          </w:p>
          <w:p>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Times New Roman" w:hAnsi="Times New Roman" w:eastAsia="宋体" w:cs="Times New Roman"/>
                <w:color w:val="auto"/>
                <w:sz w:val="24"/>
                <w:highlight w:val="none"/>
                <w:lang w:val="en-US" w:eastAsia="zh-CN"/>
              </w:rPr>
            </w:pPr>
            <m:oMathPara>
              <m:oMath>
                <m:sSub>
                  <m:sSubPr>
                    <m:ctrlPr>
                      <w:rPr>
                        <w:rFonts w:hint="default" w:ascii="Cambria Math" w:hAnsi="Cambria Math" w:eastAsia="宋体" w:cs="Times New Roman"/>
                        <w:color w:val="auto"/>
                        <w:kern w:val="2"/>
                        <w:sz w:val="24"/>
                        <w:szCs w:val="24"/>
                        <w:highlight w:val="none"/>
                        <w:lang w:val="en-US" w:eastAsia="zh-CN" w:bidi="ar-SA"/>
                      </w:rPr>
                    </m:ctrlPr>
                  </m:sSubPr>
                  <m:e>
                    <m:r>
                      <m:rPr>
                        <m:sty m:val="p"/>
                      </m:rPr>
                      <w:rPr>
                        <w:rFonts w:hint="default" w:ascii="Cambria Math" w:hAnsi="Cambria Math" w:eastAsia="宋体" w:cs="Times New Roman"/>
                        <w:color w:val="auto"/>
                        <w:kern w:val="2"/>
                        <w:sz w:val="24"/>
                        <w:szCs w:val="24"/>
                        <w:highlight w:val="none"/>
                        <w:lang w:val="en-US" w:eastAsia="zh-CN" w:bidi="ar-SA"/>
                      </w:rPr>
                      <m:t>E</m:t>
                    </m:r>
                    <m:ctrlPr>
                      <w:rPr>
                        <w:rFonts w:hint="default" w:ascii="Cambria Math" w:hAnsi="Cambria Math" w:eastAsia="宋体" w:cs="Times New Roman"/>
                        <w:color w:val="auto"/>
                        <w:kern w:val="2"/>
                        <w:sz w:val="24"/>
                        <w:szCs w:val="24"/>
                        <w:highlight w:val="none"/>
                        <w:lang w:val="en-US" w:eastAsia="zh-CN" w:bidi="ar-SA"/>
                      </w:rPr>
                    </m:ctrlPr>
                  </m:e>
                  <m:sub>
                    <m:r>
                      <m:rPr>
                        <m:sty m:val="p"/>
                      </m:rPr>
                      <w:rPr>
                        <w:rFonts w:hint="default" w:ascii="Cambria Math" w:hAnsi="Cambria Math" w:eastAsia="宋体" w:cs="Times New Roman"/>
                        <w:color w:val="auto"/>
                        <w:kern w:val="2"/>
                        <w:sz w:val="24"/>
                        <w:szCs w:val="24"/>
                        <w:highlight w:val="none"/>
                        <w:lang w:val="en-US" w:eastAsia="zh-CN" w:bidi="ar-SA"/>
                      </w:rPr>
                      <m:t>NO</m:t>
                    </m:r>
                    <m:r>
                      <m:rPr>
                        <m:sty m:val="p"/>
                      </m:rPr>
                      <w:rPr>
                        <w:rFonts w:hint="eastAsia" w:ascii="Cambria Math" w:hAnsi="Cambria Math" w:eastAsia="宋体" w:cs="Times New Roman"/>
                        <w:color w:val="auto"/>
                        <w:kern w:val="2"/>
                        <w:sz w:val="24"/>
                        <w:szCs w:val="24"/>
                        <w:highlight w:val="none"/>
                        <w:lang w:val="en-US" w:eastAsia="zh-CN" w:bidi="ar-SA"/>
                      </w:rPr>
                      <m:t>x</m:t>
                    </m:r>
                    <m:ctrlPr>
                      <w:rPr>
                        <w:rFonts w:hint="default" w:ascii="Cambria Math" w:hAnsi="Cambria Math" w:eastAsia="宋体" w:cs="Times New Roman"/>
                        <w:color w:val="auto"/>
                        <w:kern w:val="2"/>
                        <w:sz w:val="24"/>
                        <w:szCs w:val="24"/>
                        <w:highlight w:val="none"/>
                        <w:lang w:val="en-US" w:eastAsia="zh-CN" w:bidi="ar-SA"/>
                      </w:rPr>
                    </m:ctrlPr>
                  </m:sub>
                </m:sSub>
                <m:r>
                  <m:rPr>
                    <m:sty m:val="p"/>
                  </m:rPr>
                  <w:rPr>
                    <w:rFonts w:hint="default" w:ascii="Cambria Math" w:hAnsi="Cambria Math" w:eastAsia="宋体" w:cs="Times New Roman"/>
                    <w:color w:val="auto"/>
                    <w:kern w:val="2"/>
                    <w:sz w:val="24"/>
                    <w:szCs w:val="24"/>
                    <w:highlight w:val="none"/>
                    <w:lang w:val="en-US" w:eastAsia="zh-CN" w:bidi="ar-SA"/>
                  </w:rPr>
                  <m:t>=</m:t>
                </m:r>
                <m:sSub>
                  <m:sSubPr>
                    <m:ctrlPr>
                      <w:rPr>
                        <w:rFonts w:hint="default" w:ascii="Cambria Math" w:hAnsi="Cambria Math" w:eastAsia="宋体" w:cs="Times New Roman"/>
                        <w:b w:val="0"/>
                        <w:i w:val="0"/>
                        <w:color w:val="auto"/>
                        <w:kern w:val="2"/>
                        <w:sz w:val="24"/>
                        <w:szCs w:val="24"/>
                        <w:highlight w:val="none"/>
                        <w:lang w:val="en-US" w:eastAsia="zh-CN" w:bidi="ar-SA"/>
                      </w:rPr>
                    </m:ctrlPr>
                  </m:sSubPr>
                  <m:e>
                    <m:r>
                      <m:rPr>
                        <m:sty m:val="p"/>
                      </m:rPr>
                      <w:rPr>
                        <w:rFonts w:hint="default" w:ascii="Cambria Math" w:hAnsi="Cambria Math" w:eastAsia="宋体" w:cs="Times New Roman"/>
                        <w:color w:val="auto"/>
                        <w:kern w:val="2"/>
                        <w:sz w:val="24"/>
                        <w:szCs w:val="24"/>
                        <w:highlight w:val="none"/>
                        <w:lang w:val="en-US" w:eastAsia="zh-CN" w:bidi="ar-SA"/>
                      </w:rPr>
                      <m:t>ρ</m:t>
                    </m:r>
                    <m:ctrlPr>
                      <w:rPr>
                        <w:rFonts w:hint="default" w:ascii="Cambria Math" w:hAnsi="Cambria Math" w:eastAsia="宋体" w:cs="Times New Roman"/>
                        <w:b w:val="0"/>
                        <w:i w:val="0"/>
                        <w:color w:val="auto"/>
                        <w:kern w:val="2"/>
                        <w:sz w:val="24"/>
                        <w:szCs w:val="24"/>
                        <w:highlight w:val="none"/>
                        <w:lang w:val="en-US" w:eastAsia="zh-CN" w:bidi="ar-SA"/>
                      </w:rPr>
                    </m:ctrlPr>
                  </m:e>
                  <m:sub>
                    <m:r>
                      <m:rPr>
                        <m:sty m:val="p"/>
                      </m:rPr>
                      <w:rPr>
                        <w:rFonts w:hint="default" w:ascii="Cambria Math" w:hAnsi="Cambria Math" w:eastAsia="宋体" w:cs="Times New Roman"/>
                        <w:color w:val="auto"/>
                        <w:kern w:val="2"/>
                        <w:sz w:val="24"/>
                        <w:szCs w:val="24"/>
                        <w:highlight w:val="none"/>
                        <w:lang w:val="en-US" w:eastAsia="zh-CN" w:bidi="ar-SA"/>
                      </w:rPr>
                      <m:t>NO</m:t>
                    </m:r>
                    <m:r>
                      <m:rPr>
                        <m:sty m:val="p"/>
                      </m:rPr>
                      <w:rPr>
                        <w:rFonts w:hint="eastAsia" w:ascii="Cambria Math" w:hAnsi="Cambria Math" w:eastAsia="宋体" w:cs="Times New Roman"/>
                        <w:color w:val="auto"/>
                        <w:kern w:val="2"/>
                        <w:sz w:val="24"/>
                        <w:szCs w:val="24"/>
                        <w:highlight w:val="none"/>
                        <w:lang w:val="en-US" w:eastAsia="zh-CN" w:bidi="ar-SA"/>
                      </w:rPr>
                      <m:t>x</m:t>
                    </m:r>
                    <m:ctrlPr>
                      <w:rPr>
                        <w:rFonts w:hint="default" w:ascii="Cambria Math" w:hAnsi="Cambria Math" w:eastAsia="宋体" w:cs="Times New Roman"/>
                        <w:b w:val="0"/>
                        <w:color w:val="auto"/>
                        <w:kern w:val="2"/>
                        <w:sz w:val="24"/>
                        <w:szCs w:val="24"/>
                        <w:highlight w:val="none"/>
                        <w:lang w:val="en-US" w:eastAsia="zh-CN" w:bidi="ar-SA"/>
                      </w:rPr>
                    </m:ctrlPr>
                  </m:sub>
                </m:sSub>
                <m:r>
                  <m:rPr>
                    <m:sty m:val="p"/>
                  </m:rPr>
                  <w:rPr>
                    <w:rFonts w:ascii="Cambria Math" w:hAnsi="Cambria Math" w:cs="Times New Roman"/>
                    <w:color w:val="auto"/>
                    <w:kern w:val="2"/>
                    <w:sz w:val="24"/>
                    <w:szCs w:val="24"/>
                    <w:highlight w:val="none"/>
                    <w:lang w:val="en-US" w:bidi="ar-SA"/>
                  </w:rPr>
                  <m:t>×</m:t>
                </m:r>
                <m:r>
                  <m:rPr>
                    <m:sty m:val="p"/>
                  </m:rPr>
                  <w:rPr>
                    <w:rFonts w:hint="default" w:ascii="Cambria Math" w:hAnsi="Cambria Math" w:cs="Times New Roman"/>
                    <w:color w:val="auto"/>
                    <w:kern w:val="2"/>
                    <w:sz w:val="24"/>
                    <w:szCs w:val="24"/>
                    <w:highlight w:val="none"/>
                    <w:lang w:val="en-US" w:eastAsia="zh-CN" w:bidi="ar-SA"/>
                  </w:rPr>
                  <m:t>Q</m:t>
                </m:r>
                <m:r>
                  <m:rPr>
                    <m:sty m:val="p"/>
                  </m:rPr>
                  <w:rPr>
                    <w:rFonts w:ascii="Cambria Math" w:hAnsi="Cambria Math" w:cs="Times New Roman"/>
                    <w:color w:val="auto"/>
                    <w:kern w:val="2"/>
                    <w:sz w:val="24"/>
                    <w:szCs w:val="24"/>
                    <w:highlight w:val="none"/>
                    <w:lang w:val="en-US" w:bidi="ar-SA"/>
                  </w:rPr>
                  <m:t>×</m:t>
                </m:r>
                <m:d>
                  <m:dPr>
                    <m:ctrlPr>
                      <w:rPr>
                        <w:rFonts w:ascii="Cambria Math" w:hAnsi="Cambria Math" w:cs="Times New Roman"/>
                        <w:color w:val="auto"/>
                        <w:kern w:val="2"/>
                        <w:sz w:val="24"/>
                        <w:szCs w:val="24"/>
                        <w:highlight w:val="none"/>
                        <w:lang w:val="en-US" w:bidi="ar-SA"/>
                      </w:rPr>
                    </m:ctrlPr>
                  </m:dPr>
                  <m:e>
                    <m:r>
                      <m:rPr>
                        <m:sty m:val="p"/>
                      </m:rPr>
                      <w:rPr>
                        <w:rFonts w:hint="default" w:ascii="Cambria Math" w:hAnsi="Cambria Math" w:cs="Times New Roman"/>
                        <w:color w:val="auto"/>
                        <w:kern w:val="2"/>
                        <w:sz w:val="24"/>
                        <w:szCs w:val="24"/>
                        <w:highlight w:val="none"/>
                        <w:lang w:val="en-US" w:eastAsia="zh-CN" w:bidi="ar-SA"/>
                      </w:rPr>
                      <m:t>1−</m:t>
                    </m:r>
                    <m:f>
                      <m:fPr>
                        <m:ctrlPr>
                          <w:rPr>
                            <w:rFonts w:hint="default" w:ascii="Cambria Math" w:hAnsi="Cambria Math" w:cs="Times New Roman"/>
                            <w:color w:val="auto"/>
                            <w:kern w:val="2"/>
                            <w:sz w:val="24"/>
                            <w:szCs w:val="24"/>
                            <w:highlight w:val="none"/>
                            <w:lang w:val="en-US" w:eastAsia="zh-CN" w:bidi="ar-SA"/>
                          </w:rPr>
                        </m:ctrlPr>
                      </m:fPr>
                      <m:num>
                        <m:sSub>
                          <m:sSubPr>
                            <m:ctrlPr>
                              <w:rPr>
                                <w:rFonts w:hint="default" w:ascii="Cambria Math" w:hAnsi="Cambria Math" w:cs="Times New Roman"/>
                                <w:color w:val="auto"/>
                                <w:kern w:val="2"/>
                                <w:sz w:val="24"/>
                                <w:szCs w:val="24"/>
                                <w:highlight w:val="none"/>
                                <w:lang w:val="en-US" w:eastAsia="zh-CN" w:bidi="ar-SA"/>
                              </w:rPr>
                            </m:ctrlPr>
                          </m:sSubPr>
                          <m:e>
                            <m:r>
                              <m:rPr>
                                <m:sty m:val="p"/>
                              </m:rPr>
                              <w:rPr>
                                <w:rFonts w:hint="default" w:ascii="Cambria Math" w:hAnsi="Cambria Math" w:cs="Times New Roman"/>
                                <w:color w:val="auto"/>
                                <w:kern w:val="2"/>
                                <w:sz w:val="24"/>
                                <w:szCs w:val="24"/>
                                <w:highlight w:val="none"/>
                                <w:lang w:val="en-US" w:eastAsia="zh-CN" w:bidi="ar-SA"/>
                              </w:rPr>
                              <m:t>η</m:t>
                            </m:r>
                            <m:ctrlPr>
                              <w:rPr>
                                <w:rFonts w:hint="default" w:ascii="Cambria Math" w:hAnsi="Cambria Math" w:cs="Times New Roman"/>
                                <w:color w:val="auto"/>
                                <w:kern w:val="2"/>
                                <w:sz w:val="24"/>
                                <w:szCs w:val="24"/>
                                <w:highlight w:val="none"/>
                                <w:lang w:val="en-US" w:eastAsia="zh-CN" w:bidi="ar-SA"/>
                              </w:rPr>
                            </m:ctrlPr>
                          </m:e>
                          <m:sub>
                            <m:r>
                              <m:rPr>
                                <m:sty m:val="p"/>
                              </m:rPr>
                              <w:rPr>
                                <w:rFonts w:hint="default" w:ascii="Cambria Math" w:hAnsi="Cambria Math" w:cs="Times New Roman"/>
                                <w:color w:val="auto"/>
                                <w:kern w:val="2"/>
                                <w:sz w:val="24"/>
                                <w:szCs w:val="24"/>
                                <w:highlight w:val="none"/>
                                <w:lang w:val="en-US" w:eastAsia="zh-CN" w:bidi="ar-SA"/>
                              </w:rPr>
                              <m:t>NO</m:t>
                            </m:r>
                            <m:r>
                              <m:rPr>
                                <m:sty m:val="p"/>
                              </m:rPr>
                              <w:rPr>
                                <w:rFonts w:hint="eastAsia" w:ascii="Cambria Math" w:hAnsi="Cambria Math" w:cs="Times New Roman"/>
                                <w:color w:val="auto"/>
                                <w:kern w:val="2"/>
                                <w:sz w:val="24"/>
                                <w:szCs w:val="24"/>
                                <w:highlight w:val="none"/>
                                <w:lang w:val="en-US" w:eastAsia="zh-CN" w:bidi="ar-SA"/>
                              </w:rPr>
                              <m:t>x</m:t>
                            </m:r>
                            <m:ctrlPr>
                              <w:rPr>
                                <w:rFonts w:hint="default" w:ascii="Cambria Math" w:hAnsi="Cambria Math" w:cs="Times New Roman"/>
                                <w:color w:val="auto"/>
                                <w:kern w:val="2"/>
                                <w:sz w:val="24"/>
                                <w:szCs w:val="24"/>
                                <w:highlight w:val="none"/>
                                <w:lang w:val="en-US" w:eastAsia="zh-CN" w:bidi="ar-SA"/>
                              </w:rPr>
                            </m:ctrlPr>
                          </m:sub>
                        </m:sSub>
                        <m:ctrlPr>
                          <w:rPr>
                            <w:rFonts w:hint="default" w:ascii="Cambria Math" w:hAnsi="Cambria Math" w:cs="Times New Roman"/>
                            <w:color w:val="auto"/>
                            <w:kern w:val="2"/>
                            <w:sz w:val="24"/>
                            <w:szCs w:val="24"/>
                            <w:highlight w:val="none"/>
                            <w:lang w:val="en-US" w:eastAsia="zh-CN" w:bidi="ar-SA"/>
                          </w:rPr>
                        </m:ctrlPr>
                      </m:num>
                      <m:den>
                        <m:r>
                          <m:rPr>
                            <m:sty m:val="p"/>
                          </m:rPr>
                          <w:rPr>
                            <w:rFonts w:hint="default" w:ascii="Cambria Math" w:hAnsi="Cambria Math" w:cs="Times New Roman"/>
                            <w:color w:val="auto"/>
                            <w:kern w:val="2"/>
                            <w:sz w:val="24"/>
                            <w:szCs w:val="24"/>
                            <w:highlight w:val="none"/>
                            <w:lang w:val="en-US" w:eastAsia="zh-CN" w:bidi="ar-SA"/>
                          </w:rPr>
                          <m:t>100</m:t>
                        </m:r>
                        <m:ctrlPr>
                          <w:rPr>
                            <w:rFonts w:hint="default" w:ascii="Cambria Math" w:hAnsi="Cambria Math" w:cs="Times New Roman"/>
                            <w:color w:val="auto"/>
                            <w:kern w:val="2"/>
                            <w:sz w:val="24"/>
                            <w:szCs w:val="24"/>
                            <w:highlight w:val="none"/>
                            <w:lang w:val="en-US" w:eastAsia="zh-CN" w:bidi="ar-SA"/>
                          </w:rPr>
                        </m:ctrlPr>
                      </m:den>
                    </m:f>
                    <m:ctrlPr>
                      <w:rPr>
                        <w:rFonts w:ascii="Cambria Math" w:hAnsi="Cambria Math" w:cs="Times New Roman"/>
                        <w:color w:val="auto"/>
                        <w:kern w:val="2"/>
                        <w:sz w:val="24"/>
                        <w:szCs w:val="24"/>
                        <w:highlight w:val="none"/>
                        <w:lang w:val="en-US" w:bidi="ar-SA"/>
                      </w:rPr>
                    </m:ctrlPr>
                  </m:e>
                </m:d>
                <m:r>
                  <m:rPr>
                    <m:sty m:val="p"/>
                  </m:rPr>
                  <w:rPr>
                    <w:rFonts w:ascii="Cambria Math" w:hAnsi="Cambria Math" w:cs="Times New Roman"/>
                    <w:color w:val="auto"/>
                    <w:kern w:val="2"/>
                    <w:sz w:val="24"/>
                    <w:szCs w:val="24"/>
                    <w:highlight w:val="none"/>
                    <w:lang w:val="en-US" w:bidi="ar-SA"/>
                  </w:rPr>
                  <m:t>×</m:t>
                </m:r>
                <m:sSup>
                  <m:sSupPr>
                    <m:ctrlPr>
                      <w:rPr>
                        <w:rFonts w:ascii="Cambria Math" w:hAnsi="Cambria Math" w:cs="Times New Roman"/>
                        <w:color w:val="auto"/>
                        <w:kern w:val="2"/>
                        <w:sz w:val="24"/>
                        <w:szCs w:val="24"/>
                        <w:highlight w:val="none"/>
                        <w:lang w:val="en-US" w:bidi="ar-SA"/>
                      </w:rPr>
                    </m:ctrlPr>
                  </m:sSupPr>
                  <m:e>
                    <m:r>
                      <m:rPr>
                        <m:sty m:val="p"/>
                      </m:rPr>
                      <w:rPr>
                        <w:rFonts w:hint="default" w:ascii="Cambria Math" w:hAnsi="Cambria Math" w:cs="Times New Roman"/>
                        <w:color w:val="auto"/>
                        <w:kern w:val="2"/>
                        <w:sz w:val="24"/>
                        <w:szCs w:val="24"/>
                        <w:highlight w:val="none"/>
                        <w:lang w:val="en-US" w:eastAsia="zh-CN" w:bidi="ar-SA"/>
                      </w:rPr>
                      <m:t>10</m:t>
                    </m:r>
                    <m:ctrlPr>
                      <w:rPr>
                        <w:rFonts w:ascii="Cambria Math" w:hAnsi="Cambria Math" w:cs="Times New Roman"/>
                        <w:color w:val="auto"/>
                        <w:kern w:val="2"/>
                        <w:sz w:val="24"/>
                        <w:szCs w:val="24"/>
                        <w:highlight w:val="none"/>
                        <w:lang w:val="en-US" w:bidi="ar-SA"/>
                      </w:rPr>
                    </m:ctrlPr>
                  </m:e>
                  <m:sup>
                    <m:r>
                      <m:rPr>
                        <m:sty m:val="p"/>
                      </m:rPr>
                      <w:rPr>
                        <w:rFonts w:hint="default" w:ascii="Cambria Math" w:hAnsi="Cambria Math" w:cs="Times New Roman"/>
                        <w:color w:val="auto"/>
                        <w:kern w:val="2"/>
                        <w:sz w:val="24"/>
                        <w:szCs w:val="24"/>
                        <w:highlight w:val="none"/>
                        <w:lang w:val="en-US" w:eastAsia="zh-CN" w:bidi="ar-SA"/>
                      </w:rPr>
                      <m:t>−9</m:t>
                    </m:r>
                    <m:ctrlPr>
                      <w:rPr>
                        <w:rFonts w:ascii="Cambria Math" w:hAnsi="Cambria Math" w:cs="Times New Roman"/>
                        <w:color w:val="auto"/>
                        <w:kern w:val="2"/>
                        <w:sz w:val="24"/>
                        <w:szCs w:val="24"/>
                        <w:highlight w:val="none"/>
                        <w:lang w:val="en-US" w:bidi="ar-SA"/>
                      </w:rPr>
                    </m:ctrlPr>
                  </m:sup>
                </m:sSup>
              </m:oMath>
            </m:oMathPara>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kern w:val="2"/>
                <w:sz w:val="24"/>
                <w:highlight w:val="none"/>
                <w:lang w:val="en-US" w:eastAsia="zh-CN"/>
              </w:rPr>
              <w:t>式中：E</w:t>
            </w:r>
            <w:r>
              <w:rPr>
                <w:rFonts w:hint="eastAsia" w:ascii="Times New Roman" w:hAnsi="Times New Roman" w:eastAsia="宋体" w:cs="Times New Roman"/>
                <w:color w:val="auto"/>
                <w:kern w:val="2"/>
                <w:sz w:val="24"/>
                <w:highlight w:val="none"/>
                <w:vertAlign w:val="subscript"/>
                <w:lang w:val="en-US" w:eastAsia="zh-CN"/>
              </w:rPr>
              <w:t>NOx</w:t>
            </w:r>
            <w:r>
              <w:rPr>
                <w:rFonts w:hint="eastAsia" w:ascii="Times New Roman" w:hAnsi="Times New Roman" w:eastAsia="宋体" w:cs="Times New Roman"/>
                <w:color w:val="auto"/>
                <w:kern w:val="2"/>
                <w:sz w:val="24"/>
                <w:highlight w:val="none"/>
                <w:vertAlign w:val="baseline"/>
                <w:lang w:val="en-US" w:eastAsia="zh-CN"/>
              </w:rPr>
              <w:t>——</w:t>
            </w:r>
            <w:r>
              <w:rPr>
                <w:rFonts w:hint="eastAsia" w:ascii="Times New Roman" w:hAnsi="Times New Roman" w:eastAsia="宋体" w:cs="Times New Roman"/>
                <w:b w:val="0"/>
                <w:bCs w:val="0"/>
                <w:color w:val="auto"/>
                <w:kern w:val="2"/>
                <w:sz w:val="24"/>
                <w:highlight w:val="none"/>
                <w:vertAlign w:val="baseline"/>
                <w:lang w:val="en-US" w:eastAsia="zh-CN"/>
              </w:rPr>
              <w:t>核算时段内氮氧化物排放量，t；</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ascii="Times New Roman" w:hAnsi="Times New Roman" w:eastAsia="宋体" w:cs="Times New Roman"/>
                <w:color w:val="auto"/>
                <w:sz w:val="24"/>
                <w:highlight w:val="none"/>
                <w:vertAlign w:val="baseline"/>
                <w:lang w:val="en-US" w:eastAsia="zh-CN"/>
              </w:rPr>
            </w:pP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ρ</w:t>
            </w:r>
            <w:r>
              <w:rPr>
                <w:rFonts w:hint="eastAsia" w:ascii="Times New Roman" w:hAnsi="Times New Roman" w:eastAsia="宋体" w:cs="Times New Roman"/>
                <w:color w:val="auto"/>
                <w:sz w:val="24"/>
                <w:highlight w:val="none"/>
                <w:vertAlign w:val="subscript"/>
                <w:lang w:val="en-US" w:eastAsia="zh-CN"/>
              </w:rPr>
              <w:t>NOx</w:t>
            </w:r>
            <w:r>
              <w:rPr>
                <w:rFonts w:hint="eastAsia" w:ascii="Times New Roman" w:hAnsi="Times New Roman" w:eastAsia="宋体" w:cs="Times New Roman"/>
                <w:color w:val="auto"/>
                <w:sz w:val="24"/>
                <w:highlight w:val="none"/>
                <w:vertAlign w:val="baseline"/>
                <w:lang w:val="en-US" w:eastAsia="zh-CN"/>
              </w:rPr>
              <w:t>——锅炉炉膛出口氮氧化物质量浓度，mg/m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vertAlign w:val="baseline"/>
                <w:lang w:val="en-US" w:eastAsia="zh-CN"/>
              </w:rPr>
              <w:t>；</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sz w:val="24"/>
                <w:highlight w:val="none"/>
                <w:vertAlign w:val="baseline"/>
                <w:lang w:val="en-US" w:eastAsia="zh-CN"/>
              </w:rPr>
            </w:pPr>
            <w:r>
              <w:rPr>
                <w:rFonts w:hint="eastAsia" w:ascii="Times New Roman" w:hAnsi="Times New Roman" w:eastAsia="宋体" w:cs="Times New Roman"/>
                <w:color w:val="auto"/>
                <w:sz w:val="24"/>
                <w:highlight w:val="none"/>
                <w:lang w:val="en-US" w:eastAsia="zh-CN"/>
              </w:rPr>
              <w:t xml:space="preserve">      Q——核算时段内标态干烟气排放量，m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vertAlign w:val="baseline"/>
                <w:lang w:val="en-US" w:eastAsia="zh-CN"/>
              </w:rPr>
              <w:t>；</w:t>
            </w:r>
          </w:p>
          <w:p>
            <w:pPr>
              <w:pStyle w:val="13"/>
              <w:rPr>
                <w:rFonts w:hint="default"/>
                <w:color w:val="auto"/>
                <w:highlight w:val="none"/>
                <w:lang w:val="en-US" w:eastAsia="zh-CN"/>
              </w:rPr>
            </w:pPr>
            <w:r>
              <w:rPr>
                <w:rFonts w:hint="eastAsia" w:ascii="Times New Roman" w:hAnsi="Times New Roman" w:eastAsia="宋体" w:cs="Times New Roman"/>
                <w:color w:val="auto"/>
                <w:sz w:val="24"/>
                <w:highlight w:val="none"/>
                <w:vertAlign w:val="baseline"/>
                <w:lang w:val="en-US" w:eastAsia="zh-CN"/>
              </w:rPr>
              <w:t xml:space="preserve">      </w:t>
            </w:r>
            <w:r>
              <w:rPr>
                <w:rFonts w:hint="default" w:ascii="Times New Roman" w:hAnsi="Times New Roman" w:eastAsia="宋体" w:cs="Times New Roman"/>
                <w:b w:val="0"/>
                <w:bCs w:val="0"/>
                <w:color w:val="auto"/>
                <w:kern w:val="2"/>
                <w:sz w:val="24"/>
                <w:highlight w:val="none"/>
                <w:lang w:val="en-US" w:eastAsia="zh-CN"/>
              </w:rPr>
              <w:t>η</w:t>
            </w:r>
            <w:r>
              <w:rPr>
                <w:rFonts w:hint="eastAsia" w:ascii="Times New Roman" w:hAnsi="Times New Roman" w:eastAsia="宋体" w:cs="Times New Roman"/>
                <w:b w:val="0"/>
                <w:bCs w:val="0"/>
                <w:color w:val="auto"/>
                <w:kern w:val="2"/>
                <w:sz w:val="24"/>
                <w:highlight w:val="none"/>
                <w:vertAlign w:val="subscript"/>
                <w:lang w:val="en-US" w:eastAsia="zh-CN"/>
              </w:rPr>
              <w:t>NOx</w:t>
            </w:r>
            <w:r>
              <w:rPr>
                <w:rFonts w:hint="eastAsia" w:ascii="Times New Roman" w:hAnsi="Times New Roman" w:eastAsia="宋体" w:cs="Times New Roman"/>
                <w:b w:val="0"/>
                <w:bCs w:val="0"/>
                <w:color w:val="auto"/>
                <w:kern w:val="2"/>
                <w:sz w:val="24"/>
                <w:highlight w:val="none"/>
                <w:vertAlign w:val="baseline"/>
                <w:lang w:val="en-US" w:eastAsia="zh-CN"/>
              </w:rPr>
              <w:t>——脱硝效率，%。</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ascii="Times New Roman" w:hAnsi="Times New Roman" w:eastAsia="宋体" w:cs="Times New Roman"/>
                <w:color w:val="auto"/>
                <w:sz w:val="24"/>
                <w:highlight w:val="none"/>
                <w:vertAlign w:val="baseline"/>
                <w:lang w:val="en-US" w:eastAsia="zh-CN"/>
              </w:rPr>
            </w:pPr>
            <w:r>
              <w:rPr>
                <w:rFonts w:hint="eastAsia"/>
                <w:color w:val="auto"/>
                <w:sz w:val="24"/>
                <w:highlight w:val="none"/>
                <w:lang w:val="en-US" w:eastAsia="zh-CN"/>
              </w:rPr>
              <w:t>根据《污染源源强核算技术指南 锅炉》（HJ991-2018），</w:t>
            </w:r>
            <w:r>
              <w:rPr>
                <w:rFonts w:hint="eastAsia" w:ascii="Times New Roman" w:hAnsi="Times New Roman" w:eastAsia="宋体" w:cs="Times New Roman"/>
                <w:color w:val="auto"/>
                <w:sz w:val="24"/>
                <w:highlight w:val="none"/>
                <w:lang w:val="en-US" w:eastAsia="zh-CN"/>
              </w:rPr>
              <w:t>燃气炉炉膛出口氮氧化物浓度范围为30~300mg/m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vertAlign w:val="baseline"/>
                <w:lang w:val="en-US" w:eastAsia="zh-CN"/>
              </w:rPr>
              <w:t>，本项目取</w:t>
            </w:r>
            <w:r>
              <w:rPr>
                <w:rFonts w:hint="eastAsia" w:ascii="Times New Roman" w:hAnsi="Times New Roman" w:eastAsia="宋体" w:cs="Times New Roman"/>
                <w:color w:val="auto"/>
                <w:sz w:val="24"/>
                <w:highlight w:val="none"/>
                <w:lang w:val="en-US" w:eastAsia="zh-CN"/>
              </w:rPr>
              <w:t>150mg/m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vertAlign w:val="baseline"/>
                <w:lang w:val="en-US" w:eastAsia="zh-CN"/>
              </w:rPr>
              <w:t>；</w:t>
            </w:r>
            <w:r>
              <w:rPr>
                <w:rFonts w:hint="eastAsia"/>
                <w:color w:val="auto"/>
                <w:sz w:val="24"/>
                <w:highlight w:val="none"/>
                <w:lang w:val="en-US" w:eastAsia="zh-CN"/>
              </w:rPr>
              <w:t>本项目烟气年排放量为5299000</w:t>
            </w:r>
            <w:r>
              <w:rPr>
                <w:rFonts w:hint="eastAsia" w:ascii="Times New Roman" w:hAnsi="Times New Roman" w:eastAsia="宋体" w:cs="Times New Roman"/>
                <w:b w:val="0"/>
                <w:bCs w:val="0"/>
                <w:color w:val="auto"/>
                <w:kern w:val="2"/>
                <w:sz w:val="24"/>
                <w:highlight w:val="none"/>
                <w:vertAlign w:val="baseline"/>
                <w:lang w:val="en-US" w:eastAsia="zh-CN"/>
              </w:rPr>
              <w:t>Nm</w:t>
            </w:r>
            <w:r>
              <w:rPr>
                <w:rFonts w:hint="eastAsia" w:ascii="Times New Roman" w:hAnsi="Times New Roman" w:eastAsia="宋体" w:cs="Times New Roman"/>
                <w:b w:val="0"/>
                <w:bCs w:val="0"/>
                <w:color w:val="auto"/>
                <w:kern w:val="2"/>
                <w:sz w:val="24"/>
                <w:highlight w:val="none"/>
                <w:vertAlign w:val="superscript"/>
                <w:lang w:val="en-US" w:eastAsia="zh-CN"/>
              </w:rPr>
              <w:t>3</w:t>
            </w:r>
            <w:r>
              <w:rPr>
                <w:rFonts w:hint="eastAsia" w:ascii="Times New Roman" w:hAnsi="Times New Roman" w:eastAsia="宋体" w:cs="Times New Roman"/>
                <w:b w:val="0"/>
                <w:bCs w:val="0"/>
                <w:color w:val="auto"/>
                <w:kern w:val="2"/>
                <w:sz w:val="24"/>
                <w:highlight w:val="none"/>
                <w:vertAlign w:val="baseline"/>
                <w:lang w:val="en-US" w:eastAsia="zh-CN"/>
              </w:rPr>
              <w:t>；脱硝效率为0。因此，</w:t>
            </w:r>
            <w:r>
              <w:rPr>
                <w:rFonts w:hint="eastAsia"/>
                <w:color w:val="auto"/>
                <w:sz w:val="24"/>
                <w:highlight w:val="none"/>
                <w:lang w:val="en-US" w:eastAsia="zh-CN"/>
              </w:rPr>
              <w:t>本项目</w:t>
            </w:r>
            <w:r>
              <w:rPr>
                <w:rFonts w:hint="eastAsia" w:ascii="Times New Roman" w:hAnsi="Times New Roman" w:eastAsia="宋体" w:cs="Times New Roman"/>
                <w:color w:val="auto"/>
                <w:kern w:val="2"/>
                <w:sz w:val="24"/>
                <w:highlight w:val="none"/>
                <w:vertAlign w:val="baseline"/>
                <w:lang w:val="en-US" w:eastAsia="zh-CN"/>
              </w:rPr>
              <w:t>天然气燃烧废气</w:t>
            </w:r>
            <w:r>
              <w:rPr>
                <w:rFonts w:hint="eastAsia" w:ascii="Times New Roman" w:hAnsi="Times New Roman" w:eastAsia="宋体" w:cs="Times New Roman"/>
                <w:b w:val="0"/>
                <w:bCs w:val="0"/>
                <w:color w:val="auto"/>
                <w:kern w:val="2"/>
                <w:sz w:val="24"/>
                <w:highlight w:val="none"/>
                <w:lang w:val="en-US" w:eastAsia="zh-CN"/>
              </w:rPr>
              <w:t>氮氧化物</w:t>
            </w:r>
            <w:r>
              <w:rPr>
                <w:rFonts w:hint="eastAsia" w:ascii="Times New Roman" w:hAnsi="Times New Roman" w:eastAsia="宋体" w:cs="Times New Roman"/>
                <w:color w:val="auto"/>
                <w:kern w:val="2"/>
                <w:sz w:val="24"/>
                <w:highlight w:val="none"/>
                <w:vertAlign w:val="baseline"/>
                <w:lang w:val="en-US" w:eastAsia="zh-CN"/>
              </w:rPr>
              <w:t>产生量为</w:t>
            </w:r>
            <w:r>
              <w:rPr>
                <w:rFonts w:hint="eastAsia" w:cs="Times New Roman"/>
                <w:color w:val="auto"/>
                <w:kern w:val="2"/>
                <w:sz w:val="24"/>
                <w:highlight w:val="none"/>
                <w:vertAlign w:val="baseline"/>
                <w:lang w:val="en-US" w:eastAsia="zh-CN"/>
              </w:rPr>
              <w:t>0.7949</w:t>
            </w:r>
            <w:r>
              <w:rPr>
                <w:rFonts w:hint="eastAsia" w:ascii="Times New Roman" w:hAnsi="Times New Roman" w:eastAsia="宋体" w:cs="Times New Roman"/>
                <w:color w:val="auto"/>
                <w:kern w:val="2"/>
                <w:sz w:val="24"/>
                <w:highlight w:val="none"/>
                <w:vertAlign w:val="baseline"/>
                <w:lang w:val="en-US" w:eastAsia="zh-CN"/>
              </w:rPr>
              <w:t>t/a，产生速率为0.</w:t>
            </w:r>
            <w:r>
              <w:rPr>
                <w:rFonts w:hint="eastAsia" w:cs="Times New Roman"/>
                <w:color w:val="auto"/>
                <w:kern w:val="2"/>
                <w:sz w:val="24"/>
                <w:highlight w:val="none"/>
                <w:vertAlign w:val="baseline"/>
                <w:lang w:val="en-US" w:eastAsia="zh-CN"/>
              </w:rPr>
              <w:t>2208</w:t>
            </w:r>
            <w:r>
              <w:rPr>
                <w:rFonts w:hint="eastAsia" w:ascii="Times New Roman" w:hAnsi="Times New Roman" w:eastAsia="宋体" w:cs="Times New Roman"/>
                <w:color w:val="auto"/>
                <w:kern w:val="2"/>
                <w:sz w:val="24"/>
                <w:highlight w:val="none"/>
                <w:vertAlign w:val="baseline"/>
                <w:lang w:val="en-US" w:eastAsia="zh-CN"/>
              </w:rPr>
              <w:t>kg/h。</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综上，本项目天然气燃烧废气</w:t>
            </w:r>
            <w:r>
              <w:rPr>
                <w:rFonts w:hint="eastAsia"/>
                <w:color w:val="auto"/>
                <w:sz w:val="24"/>
                <w:highlight w:val="none"/>
                <w:lang w:val="en-US" w:eastAsia="zh-CN"/>
              </w:rPr>
              <w:t>烟气排放量为5299000</w:t>
            </w:r>
            <w:r>
              <w:rPr>
                <w:rFonts w:hint="eastAsia" w:ascii="Times New Roman" w:hAnsi="Times New Roman" w:eastAsia="宋体" w:cs="Times New Roman"/>
                <w:b w:val="0"/>
                <w:bCs w:val="0"/>
                <w:color w:val="auto"/>
                <w:kern w:val="2"/>
                <w:sz w:val="24"/>
                <w:highlight w:val="none"/>
                <w:vertAlign w:val="baseline"/>
                <w:lang w:val="en-US" w:eastAsia="zh-CN"/>
              </w:rPr>
              <w:t>Nm</w:t>
            </w:r>
            <w:r>
              <w:rPr>
                <w:rFonts w:hint="eastAsia" w:ascii="Times New Roman" w:hAnsi="Times New Roman" w:eastAsia="宋体" w:cs="Times New Roman"/>
                <w:b w:val="0"/>
                <w:bCs w:val="0"/>
                <w:color w:val="auto"/>
                <w:kern w:val="2"/>
                <w:sz w:val="24"/>
                <w:highlight w:val="none"/>
                <w:vertAlign w:val="superscript"/>
                <w:lang w:val="en-US" w:eastAsia="zh-CN"/>
              </w:rPr>
              <w:t>3</w:t>
            </w:r>
            <w:r>
              <w:rPr>
                <w:rFonts w:hint="eastAsia" w:ascii="Times New Roman" w:hAnsi="Times New Roman" w:eastAsia="宋体" w:cs="Times New Roman"/>
                <w:b w:val="0"/>
                <w:bCs w:val="0"/>
                <w:color w:val="auto"/>
                <w:kern w:val="2"/>
                <w:sz w:val="24"/>
                <w:highlight w:val="none"/>
                <w:vertAlign w:val="baseline"/>
                <w:lang w:val="en-US" w:eastAsia="zh-CN"/>
              </w:rPr>
              <w:t>/a；</w:t>
            </w:r>
            <w:r>
              <w:rPr>
                <w:rFonts w:hint="eastAsia" w:ascii="Times New Roman" w:hAnsi="Times New Roman" w:eastAsia="宋体" w:cs="Times New Roman"/>
                <w:color w:val="auto"/>
                <w:kern w:val="2"/>
                <w:sz w:val="24"/>
                <w:highlight w:val="none"/>
                <w:vertAlign w:val="baseline"/>
                <w:lang w:val="en-US" w:eastAsia="zh-CN"/>
              </w:rPr>
              <w:t>颗粒物产生量为</w:t>
            </w:r>
            <w:r>
              <w:rPr>
                <w:rFonts w:hint="eastAsia"/>
                <w:color w:val="auto"/>
                <w:sz w:val="24"/>
                <w:highlight w:val="none"/>
                <w:lang w:val="en-US" w:eastAsia="zh-CN"/>
              </w:rPr>
              <w:t>0.0414</w:t>
            </w:r>
            <w:r>
              <w:rPr>
                <w:color w:val="auto"/>
                <w:sz w:val="24"/>
                <w:highlight w:val="none"/>
              </w:rPr>
              <w:t>t/a，</w:t>
            </w:r>
            <w:r>
              <w:rPr>
                <w:rFonts w:hint="eastAsia" w:ascii="Times New Roman" w:hAnsi="Times New Roman" w:eastAsia="宋体" w:cs="Times New Roman"/>
                <w:color w:val="auto"/>
                <w:kern w:val="2"/>
                <w:sz w:val="24"/>
                <w:highlight w:val="none"/>
                <w:lang w:val="en-US" w:eastAsia="zh-CN"/>
              </w:rPr>
              <w:t>产生</w:t>
            </w:r>
            <w:r>
              <w:rPr>
                <w:color w:val="auto"/>
                <w:sz w:val="24"/>
                <w:highlight w:val="none"/>
              </w:rPr>
              <w:t>速率为</w:t>
            </w:r>
            <w:r>
              <w:rPr>
                <w:rFonts w:hint="eastAsia"/>
                <w:color w:val="auto"/>
                <w:sz w:val="24"/>
                <w:highlight w:val="none"/>
                <w:lang w:val="en-US" w:eastAsia="zh-CN"/>
              </w:rPr>
              <w:t>0.0115</w:t>
            </w:r>
            <w:r>
              <w:rPr>
                <w:color w:val="auto"/>
                <w:sz w:val="24"/>
                <w:highlight w:val="none"/>
              </w:rPr>
              <w:t>kg/h</w:t>
            </w:r>
            <w:r>
              <w:rPr>
                <w:rFonts w:hint="eastAsia" w:ascii="Times New Roman" w:hAnsi="Times New Roman" w:eastAsia="宋体" w:cs="Times New Roman"/>
                <w:color w:val="auto"/>
                <w:kern w:val="2"/>
                <w:sz w:val="24"/>
                <w:highlight w:val="none"/>
                <w:vertAlign w:val="baseline"/>
                <w:lang w:val="en-US" w:eastAsia="zh-CN"/>
              </w:rPr>
              <w:t>；</w:t>
            </w:r>
            <w:r>
              <w:rPr>
                <w:rFonts w:hint="eastAsia" w:ascii="Times New Roman" w:hAnsi="Times New Roman" w:eastAsia="宋体" w:cs="Times New Roman"/>
                <w:b w:val="0"/>
                <w:bCs w:val="0"/>
                <w:color w:val="auto"/>
                <w:kern w:val="2"/>
                <w:sz w:val="24"/>
                <w:highlight w:val="none"/>
                <w:lang w:val="en-US" w:eastAsia="zh-CN"/>
              </w:rPr>
              <w:t>二氧化硫</w:t>
            </w:r>
            <w:r>
              <w:rPr>
                <w:rFonts w:hint="eastAsia" w:ascii="Times New Roman" w:hAnsi="Times New Roman" w:eastAsia="宋体" w:cs="Times New Roman"/>
                <w:color w:val="auto"/>
                <w:kern w:val="2"/>
                <w:sz w:val="24"/>
                <w:highlight w:val="none"/>
                <w:vertAlign w:val="baseline"/>
                <w:lang w:val="en-US" w:eastAsia="zh-CN"/>
              </w:rPr>
              <w:t>产生量为0.</w:t>
            </w:r>
            <w:r>
              <w:rPr>
                <w:rFonts w:hint="eastAsia" w:cs="Times New Roman"/>
                <w:color w:val="auto"/>
                <w:kern w:val="2"/>
                <w:sz w:val="24"/>
                <w:highlight w:val="none"/>
                <w:vertAlign w:val="baseline"/>
                <w:lang w:val="en-US" w:eastAsia="zh-CN"/>
              </w:rPr>
              <w:t>2</w:t>
            </w:r>
            <w:r>
              <w:rPr>
                <w:rFonts w:hint="eastAsia" w:ascii="Times New Roman" w:hAnsi="Times New Roman" w:eastAsia="宋体" w:cs="Times New Roman"/>
                <w:color w:val="auto"/>
                <w:kern w:val="2"/>
                <w:sz w:val="24"/>
                <w:highlight w:val="none"/>
                <w:vertAlign w:val="baseline"/>
                <w:lang w:val="en-US" w:eastAsia="zh-CN"/>
              </w:rPr>
              <w:t>t/a，产生速率为0.</w:t>
            </w:r>
            <w:r>
              <w:rPr>
                <w:rFonts w:hint="eastAsia" w:cs="Times New Roman"/>
                <w:color w:val="auto"/>
                <w:kern w:val="2"/>
                <w:sz w:val="24"/>
                <w:highlight w:val="none"/>
                <w:vertAlign w:val="baseline"/>
                <w:lang w:val="en-US" w:eastAsia="zh-CN"/>
              </w:rPr>
              <w:t>0556</w:t>
            </w:r>
            <w:r>
              <w:rPr>
                <w:rFonts w:hint="eastAsia" w:ascii="Times New Roman" w:hAnsi="Times New Roman" w:eastAsia="宋体" w:cs="Times New Roman"/>
                <w:color w:val="auto"/>
                <w:kern w:val="2"/>
                <w:sz w:val="24"/>
                <w:highlight w:val="none"/>
                <w:vertAlign w:val="baseline"/>
                <w:lang w:val="en-US" w:eastAsia="zh-CN"/>
              </w:rPr>
              <w:t>kg/h；</w:t>
            </w:r>
            <w:r>
              <w:rPr>
                <w:rFonts w:hint="eastAsia" w:ascii="Times New Roman" w:hAnsi="Times New Roman" w:eastAsia="宋体" w:cs="Times New Roman"/>
                <w:b w:val="0"/>
                <w:bCs w:val="0"/>
                <w:color w:val="auto"/>
                <w:kern w:val="2"/>
                <w:sz w:val="24"/>
                <w:highlight w:val="none"/>
                <w:lang w:val="en-US" w:eastAsia="zh-CN"/>
              </w:rPr>
              <w:t>氮氧化物</w:t>
            </w:r>
            <w:r>
              <w:rPr>
                <w:rFonts w:hint="eastAsia" w:ascii="Times New Roman" w:hAnsi="Times New Roman" w:eastAsia="宋体" w:cs="Times New Roman"/>
                <w:color w:val="auto"/>
                <w:kern w:val="2"/>
                <w:sz w:val="24"/>
                <w:highlight w:val="none"/>
                <w:vertAlign w:val="baseline"/>
                <w:lang w:val="en-US" w:eastAsia="zh-CN"/>
              </w:rPr>
              <w:t>产生量为</w:t>
            </w:r>
            <w:r>
              <w:rPr>
                <w:rFonts w:hint="eastAsia" w:cs="Times New Roman"/>
                <w:color w:val="auto"/>
                <w:kern w:val="2"/>
                <w:sz w:val="24"/>
                <w:highlight w:val="none"/>
                <w:vertAlign w:val="baseline"/>
                <w:lang w:val="en-US" w:eastAsia="zh-CN"/>
              </w:rPr>
              <w:t>0.7949</w:t>
            </w:r>
            <w:r>
              <w:rPr>
                <w:rFonts w:hint="eastAsia" w:ascii="Times New Roman" w:hAnsi="Times New Roman" w:eastAsia="宋体" w:cs="Times New Roman"/>
                <w:color w:val="auto"/>
                <w:kern w:val="2"/>
                <w:sz w:val="24"/>
                <w:highlight w:val="none"/>
                <w:vertAlign w:val="baseline"/>
                <w:lang w:val="en-US" w:eastAsia="zh-CN"/>
              </w:rPr>
              <w:t>t/a，产生速率为0.</w:t>
            </w:r>
            <w:r>
              <w:rPr>
                <w:rFonts w:hint="eastAsia" w:cs="Times New Roman"/>
                <w:color w:val="auto"/>
                <w:kern w:val="2"/>
                <w:sz w:val="24"/>
                <w:highlight w:val="none"/>
                <w:vertAlign w:val="baseline"/>
                <w:lang w:val="en-US" w:eastAsia="zh-CN"/>
              </w:rPr>
              <w:t>2208</w:t>
            </w:r>
            <w:r>
              <w:rPr>
                <w:rFonts w:hint="eastAsia" w:ascii="Times New Roman" w:hAnsi="Times New Roman" w:eastAsia="宋体" w:cs="Times New Roman"/>
                <w:color w:val="auto"/>
                <w:kern w:val="2"/>
                <w:sz w:val="24"/>
                <w:highlight w:val="none"/>
                <w:vertAlign w:val="baseline"/>
                <w:lang w:val="en-US" w:eastAsia="zh-CN"/>
              </w:rPr>
              <w:t>kg/h。</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eastAsia"/>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现有治</w:t>
            </w:r>
            <w:r>
              <w:rPr>
                <w:rFonts w:hint="eastAsia" w:ascii="Times New Roman" w:hAnsi="Times New Roman" w:eastAsia="宋体" w:cs="Times New Roman"/>
                <w:b/>
                <w:bCs/>
                <w:color w:val="auto"/>
                <w:kern w:val="2"/>
                <w:sz w:val="24"/>
                <w:highlight w:val="none"/>
                <w:lang w:val="en-US" w:eastAsia="zh-CN"/>
              </w:rPr>
              <w:t>理措施：</w:t>
            </w:r>
            <w:r>
              <w:rPr>
                <w:color w:val="auto"/>
                <w:sz w:val="24"/>
                <w:highlight w:val="none"/>
              </w:rPr>
              <w:t>天然气燃烧废气</w:t>
            </w:r>
            <w:r>
              <w:rPr>
                <w:rFonts w:hint="eastAsia"/>
                <w:color w:val="auto"/>
                <w:sz w:val="24"/>
                <w:highlight w:val="none"/>
              </w:rPr>
              <w:t>通过</w:t>
            </w:r>
            <w:r>
              <w:rPr>
                <w:rFonts w:hint="eastAsia"/>
                <w:color w:val="auto"/>
                <w:sz w:val="24"/>
                <w:highlight w:val="none"/>
                <w:lang w:val="en-US" w:eastAsia="zh-CN"/>
              </w:rPr>
              <w:t>10</w:t>
            </w:r>
            <w:r>
              <w:rPr>
                <w:color w:val="auto"/>
                <w:sz w:val="24"/>
                <w:highlight w:val="none"/>
              </w:rPr>
              <w:t>m的排气筒（</w:t>
            </w:r>
            <w:r>
              <w:rPr>
                <w:rFonts w:hint="eastAsia"/>
                <w:color w:val="auto"/>
                <w:sz w:val="24"/>
                <w:highlight w:val="none"/>
              </w:rPr>
              <w:t>排气筒编号DA00</w:t>
            </w:r>
            <w:r>
              <w:rPr>
                <w:rFonts w:hint="eastAsia"/>
                <w:color w:val="auto"/>
                <w:sz w:val="24"/>
                <w:highlight w:val="none"/>
                <w:lang w:val="en-US" w:eastAsia="zh-CN"/>
              </w:rPr>
              <w:t>1</w:t>
            </w:r>
            <w:r>
              <w:rPr>
                <w:color w:val="auto"/>
                <w:sz w:val="24"/>
                <w:highlight w:val="none"/>
              </w:rPr>
              <w:t>）排放</w:t>
            </w:r>
            <w:r>
              <w:rPr>
                <w:rFonts w:hint="eastAsia"/>
                <w:color w:val="auto"/>
                <w:sz w:val="24"/>
                <w:highlight w:val="none"/>
                <w:lang w:val="en-US" w:eastAsia="zh-CN"/>
              </w:rPr>
              <w:t>，因此，本项目</w:t>
            </w:r>
            <w:r>
              <w:rPr>
                <w:color w:val="auto"/>
                <w:sz w:val="24"/>
                <w:highlight w:val="none"/>
              </w:rPr>
              <w:t>天然气燃烧废气</w:t>
            </w:r>
            <w:r>
              <w:rPr>
                <w:rFonts w:hint="eastAsia" w:ascii="Times New Roman" w:hAnsi="Times New Roman" w:eastAsia="宋体" w:cs="Times New Roman"/>
                <w:color w:val="auto"/>
                <w:kern w:val="2"/>
                <w:sz w:val="24"/>
                <w:highlight w:val="none"/>
                <w:lang w:val="en-US" w:eastAsia="zh-CN"/>
              </w:rPr>
              <w:t>颗粒物</w:t>
            </w:r>
            <w:r>
              <w:rPr>
                <w:rFonts w:hint="eastAsia"/>
                <w:color w:val="auto"/>
                <w:sz w:val="24"/>
                <w:highlight w:val="none"/>
                <w:lang w:val="en-US" w:eastAsia="zh-CN"/>
              </w:rPr>
              <w:t>排放</w:t>
            </w:r>
            <w:r>
              <w:rPr>
                <w:color w:val="auto"/>
                <w:sz w:val="24"/>
                <w:highlight w:val="none"/>
              </w:rPr>
              <w:t>量为</w:t>
            </w:r>
            <w:r>
              <w:rPr>
                <w:rFonts w:hint="eastAsia"/>
                <w:color w:val="auto"/>
                <w:sz w:val="24"/>
                <w:highlight w:val="none"/>
                <w:lang w:val="en-US" w:eastAsia="zh-CN"/>
              </w:rPr>
              <w:t>0.0414</w:t>
            </w:r>
            <w:r>
              <w:rPr>
                <w:color w:val="auto"/>
                <w:sz w:val="24"/>
                <w:highlight w:val="none"/>
              </w:rPr>
              <w:t>t/a，</w:t>
            </w:r>
            <w:r>
              <w:rPr>
                <w:rFonts w:hint="eastAsia"/>
                <w:color w:val="auto"/>
                <w:sz w:val="24"/>
                <w:highlight w:val="none"/>
                <w:lang w:val="en-US" w:eastAsia="zh-CN"/>
              </w:rPr>
              <w:t>排放</w:t>
            </w:r>
            <w:r>
              <w:rPr>
                <w:color w:val="auto"/>
                <w:sz w:val="24"/>
                <w:highlight w:val="none"/>
              </w:rPr>
              <w:t>速率为</w:t>
            </w:r>
            <w:r>
              <w:rPr>
                <w:rFonts w:hint="eastAsia"/>
                <w:color w:val="auto"/>
                <w:sz w:val="24"/>
                <w:highlight w:val="none"/>
                <w:lang w:val="en-US" w:eastAsia="zh-CN"/>
              </w:rPr>
              <w:t>0.0115</w:t>
            </w:r>
            <w:r>
              <w:rPr>
                <w:color w:val="auto"/>
                <w:sz w:val="24"/>
                <w:highlight w:val="none"/>
              </w:rPr>
              <w:t>kg/h</w:t>
            </w:r>
            <w:r>
              <w:rPr>
                <w:rFonts w:hint="eastAsia"/>
                <w:color w:val="auto"/>
                <w:sz w:val="24"/>
                <w:highlight w:val="none"/>
                <w:lang w:eastAsia="zh-CN"/>
              </w:rPr>
              <w:t>，</w:t>
            </w:r>
            <w:r>
              <w:rPr>
                <w:rFonts w:hint="eastAsia"/>
                <w:color w:val="auto"/>
                <w:sz w:val="24"/>
                <w:highlight w:val="none"/>
                <w:lang w:val="en-US" w:eastAsia="zh-CN"/>
              </w:rPr>
              <w:t>排放浓度为7.8128mg/</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lang w:val="en-US" w:eastAsia="zh-CN"/>
              </w:rPr>
              <w:t>，</w:t>
            </w:r>
            <w:r>
              <w:rPr>
                <w:rFonts w:hint="eastAsia" w:ascii="Times New Roman" w:hAnsi="Times New Roman" w:eastAsia="宋体" w:cs="Times New Roman"/>
                <w:b w:val="0"/>
                <w:bCs w:val="0"/>
                <w:color w:val="auto"/>
                <w:kern w:val="2"/>
                <w:sz w:val="24"/>
                <w:highlight w:val="none"/>
                <w:lang w:val="en-US" w:eastAsia="zh-CN"/>
              </w:rPr>
              <w:t>二氧化硫</w:t>
            </w:r>
            <w:r>
              <w:rPr>
                <w:rFonts w:hint="eastAsia"/>
                <w:color w:val="auto"/>
                <w:sz w:val="24"/>
                <w:highlight w:val="none"/>
                <w:lang w:val="en-US" w:eastAsia="zh-CN"/>
              </w:rPr>
              <w:t>排放</w:t>
            </w:r>
            <w:r>
              <w:rPr>
                <w:color w:val="auto"/>
                <w:sz w:val="24"/>
                <w:highlight w:val="none"/>
              </w:rPr>
              <w:t>量为</w:t>
            </w:r>
            <w:r>
              <w:rPr>
                <w:rFonts w:hint="eastAsia"/>
                <w:color w:val="auto"/>
                <w:sz w:val="24"/>
                <w:highlight w:val="none"/>
                <w:lang w:val="en-US" w:eastAsia="zh-CN"/>
              </w:rPr>
              <w:t>0.2</w:t>
            </w:r>
            <w:r>
              <w:rPr>
                <w:color w:val="auto"/>
                <w:sz w:val="24"/>
                <w:highlight w:val="none"/>
              </w:rPr>
              <w:t>t/a，</w:t>
            </w:r>
            <w:r>
              <w:rPr>
                <w:rFonts w:hint="eastAsia"/>
                <w:color w:val="auto"/>
                <w:sz w:val="24"/>
                <w:highlight w:val="none"/>
                <w:lang w:val="en-US" w:eastAsia="zh-CN"/>
              </w:rPr>
              <w:t>排放</w:t>
            </w:r>
            <w:r>
              <w:rPr>
                <w:color w:val="auto"/>
                <w:sz w:val="24"/>
                <w:highlight w:val="none"/>
              </w:rPr>
              <w:t>速率为</w:t>
            </w:r>
            <w:r>
              <w:rPr>
                <w:rFonts w:hint="eastAsia"/>
                <w:color w:val="auto"/>
                <w:sz w:val="24"/>
                <w:highlight w:val="none"/>
                <w:lang w:val="en-US" w:eastAsia="zh-CN"/>
              </w:rPr>
              <w:t>0.0556</w:t>
            </w:r>
            <w:r>
              <w:rPr>
                <w:color w:val="auto"/>
                <w:sz w:val="24"/>
                <w:highlight w:val="none"/>
              </w:rPr>
              <w:t>kg/h</w:t>
            </w:r>
            <w:r>
              <w:rPr>
                <w:rFonts w:hint="eastAsia"/>
                <w:color w:val="auto"/>
                <w:sz w:val="24"/>
                <w:highlight w:val="none"/>
                <w:lang w:eastAsia="zh-CN"/>
              </w:rPr>
              <w:t>，</w:t>
            </w:r>
            <w:r>
              <w:rPr>
                <w:rFonts w:hint="eastAsia"/>
                <w:color w:val="auto"/>
                <w:sz w:val="24"/>
                <w:highlight w:val="none"/>
                <w:lang w:val="en-US" w:eastAsia="zh-CN"/>
              </w:rPr>
              <w:t>排放浓度为37.743mg/</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lang w:val="en-US" w:eastAsia="zh-CN"/>
              </w:rPr>
              <w:t>，</w:t>
            </w:r>
            <w:r>
              <w:rPr>
                <w:rFonts w:hint="eastAsia" w:ascii="Times New Roman" w:hAnsi="Times New Roman" w:eastAsia="宋体" w:cs="Times New Roman"/>
                <w:b w:val="0"/>
                <w:bCs w:val="0"/>
                <w:color w:val="auto"/>
                <w:kern w:val="2"/>
                <w:sz w:val="24"/>
                <w:highlight w:val="none"/>
                <w:lang w:val="en-US" w:eastAsia="zh-CN"/>
              </w:rPr>
              <w:t>氮氧化物</w:t>
            </w:r>
            <w:r>
              <w:rPr>
                <w:rFonts w:hint="eastAsia"/>
                <w:color w:val="auto"/>
                <w:sz w:val="24"/>
                <w:highlight w:val="none"/>
                <w:lang w:val="en-US" w:eastAsia="zh-CN"/>
              </w:rPr>
              <w:t>排放</w:t>
            </w:r>
            <w:r>
              <w:rPr>
                <w:color w:val="auto"/>
                <w:sz w:val="24"/>
                <w:highlight w:val="none"/>
              </w:rPr>
              <w:t>量为</w:t>
            </w:r>
            <w:r>
              <w:rPr>
                <w:rFonts w:hint="eastAsia"/>
                <w:color w:val="auto"/>
                <w:sz w:val="24"/>
                <w:highlight w:val="none"/>
                <w:lang w:val="en-US" w:eastAsia="zh-CN"/>
              </w:rPr>
              <w:t>0.7949</w:t>
            </w:r>
            <w:r>
              <w:rPr>
                <w:color w:val="auto"/>
                <w:sz w:val="24"/>
                <w:highlight w:val="none"/>
              </w:rPr>
              <w:t>t/a，</w:t>
            </w:r>
            <w:r>
              <w:rPr>
                <w:rFonts w:hint="eastAsia"/>
                <w:color w:val="auto"/>
                <w:sz w:val="24"/>
                <w:highlight w:val="none"/>
                <w:lang w:val="en-US" w:eastAsia="zh-CN"/>
              </w:rPr>
              <w:t>排放</w:t>
            </w:r>
            <w:r>
              <w:rPr>
                <w:color w:val="auto"/>
                <w:sz w:val="24"/>
                <w:highlight w:val="none"/>
              </w:rPr>
              <w:t>速率为</w:t>
            </w:r>
            <w:r>
              <w:rPr>
                <w:rFonts w:hint="eastAsia"/>
                <w:color w:val="auto"/>
                <w:sz w:val="24"/>
                <w:highlight w:val="none"/>
                <w:lang w:val="en-US" w:eastAsia="zh-CN"/>
              </w:rPr>
              <w:t>0.2208</w:t>
            </w:r>
            <w:r>
              <w:rPr>
                <w:color w:val="auto"/>
                <w:sz w:val="24"/>
                <w:highlight w:val="none"/>
              </w:rPr>
              <w:t>kg/h</w:t>
            </w:r>
            <w:r>
              <w:rPr>
                <w:rFonts w:hint="eastAsia"/>
                <w:color w:val="auto"/>
                <w:sz w:val="24"/>
                <w:highlight w:val="none"/>
                <w:lang w:eastAsia="zh-CN"/>
              </w:rPr>
              <w:t>，</w:t>
            </w:r>
            <w:r>
              <w:rPr>
                <w:rFonts w:hint="eastAsia"/>
                <w:color w:val="auto"/>
                <w:sz w:val="24"/>
                <w:highlight w:val="none"/>
                <w:lang w:val="en-US" w:eastAsia="zh-CN"/>
              </w:rPr>
              <w:t>排放浓度为150mg/</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lang w:val="en-US" w:eastAsia="zh-CN"/>
              </w:rPr>
              <w:t>。</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本项目建成后，全厂天然气燃烧废气</w:t>
            </w:r>
            <w:r>
              <w:rPr>
                <w:rFonts w:hint="eastAsia" w:ascii="Times New Roman" w:hAnsi="Times New Roman" w:eastAsia="宋体" w:cs="Times New Roman"/>
                <w:color w:val="auto"/>
                <w:kern w:val="2"/>
                <w:sz w:val="24"/>
                <w:highlight w:val="none"/>
                <w:lang w:val="en-US" w:eastAsia="zh-CN"/>
              </w:rPr>
              <w:t>颗粒物</w:t>
            </w:r>
            <w:r>
              <w:rPr>
                <w:rFonts w:hint="eastAsia"/>
                <w:color w:val="auto"/>
                <w:sz w:val="24"/>
                <w:highlight w:val="none"/>
                <w:lang w:val="en-US" w:eastAsia="zh-CN"/>
              </w:rPr>
              <w:t>排放</w:t>
            </w:r>
            <w:r>
              <w:rPr>
                <w:color w:val="auto"/>
                <w:sz w:val="24"/>
                <w:highlight w:val="none"/>
              </w:rPr>
              <w:t>量为</w:t>
            </w:r>
            <w:r>
              <w:rPr>
                <w:rFonts w:hint="eastAsia"/>
                <w:color w:val="auto"/>
                <w:sz w:val="24"/>
                <w:highlight w:val="none"/>
                <w:lang w:val="en-US" w:eastAsia="zh-CN"/>
              </w:rPr>
              <w:t>0.1242</w:t>
            </w:r>
            <w:r>
              <w:rPr>
                <w:color w:val="auto"/>
                <w:sz w:val="24"/>
                <w:highlight w:val="none"/>
              </w:rPr>
              <w:t>t/a，</w:t>
            </w:r>
            <w:r>
              <w:rPr>
                <w:rFonts w:hint="eastAsia"/>
                <w:color w:val="auto"/>
                <w:sz w:val="24"/>
                <w:highlight w:val="none"/>
                <w:lang w:val="en-US" w:eastAsia="zh-CN"/>
              </w:rPr>
              <w:t>排放</w:t>
            </w:r>
            <w:r>
              <w:rPr>
                <w:color w:val="auto"/>
                <w:sz w:val="24"/>
                <w:highlight w:val="none"/>
              </w:rPr>
              <w:t>速率为</w:t>
            </w:r>
            <w:r>
              <w:rPr>
                <w:rFonts w:hint="eastAsia"/>
                <w:color w:val="auto"/>
                <w:sz w:val="24"/>
                <w:highlight w:val="none"/>
                <w:lang w:val="en-US" w:eastAsia="zh-CN"/>
              </w:rPr>
              <w:t>0.0345</w:t>
            </w:r>
            <w:r>
              <w:rPr>
                <w:color w:val="auto"/>
                <w:sz w:val="24"/>
                <w:highlight w:val="none"/>
              </w:rPr>
              <w:t>kg/h</w:t>
            </w:r>
            <w:r>
              <w:rPr>
                <w:rFonts w:hint="eastAsia"/>
                <w:color w:val="auto"/>
                <w:sz w:val="24"/>
                <w:highlight w:val="none"/>
                <w:lang w:eastAsia="zh-CN"/>
              </w:rPr>
              <w:t>，</w:t>
            </w:r>
            <w:r>
              <w:rPr>
                <w:rFonts w:hint="eastAsia"/>
                <w:color w:val="auto"/>
                <w:sz w:val="24"/>
                <w:highlight w:val="none"/>
                <w:lang w:val="en-US" w:eastAsia="zh-CN"/>
              </w:rPr>
              <w:t>排放浓度为7.8128mg/</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lang w:val="en-US" w:eastAsia="zh-CN"/>
              </w:rPr>
              <w:t>，</w:t>
            </w:r>
            <w:r>
              <w:rPr>
                <w:rFonts w:hint="eastAsia" w:ascii="Times New Roman" w:hAnsi="Times New Roman" w:eastAsia="宋体" w:cs="Times New Roman"/>
                <w:b w:val="0"/>
                <w:bCs w:val="0"/>
                <w:color w:val="auto"/>
                <w:kern w:val="2"/>
                <w:sz w:val="24"/>
                <w:highlight w:val="none"/>
                <w:lang w:val="en-US" w:eastAsia="zh-CN"/>
              </w:rPr>
              <w:t>二氧化硫</w:t>
            </w:r>
            <w:r>
              <w:rPr>
                <w:rFonts w:hint="eastAsia"/>
                <w:color w:val="auto"/>
                <w:sz w:val="24"/>
                <w:highlight w:val="none"/>
                <w:lang w:val="en-US" w:eastAsia="zh-CN"/>
              </w:rPr>
              <w:t>排放</w:t>
            </w:r>
            <w:r>
              <w:rPr>
                <w:color w:val="auto"/>
                <w:sz w:val="24"/>
                <w:highlight w:val="none"/>
              </w:rPr>
              <w:t>量为</w:t>
            </w:r>
            <w:r>
              <w:rPr>
                <w:rFonts w:hint="eastAsia"/>
                <w:color w:val="auto"/>
                <w:sz w:val="24"/>
                <w:highlight w:val="none"/>
                <w:lang w:val="en-US" w:eastAsia="zh-CN"/>
              </w:rPr>
              <w:t>0.29</w:t>
            </w:r>
            <w:r>
              <w:rPr>
                <w:color w:val="auto"/>
                <w:sz w:val="24"/>
                <w:highlight w:val="none"/>
              </w:rPr>
              <w:t>t/a，</w:t>
            </w:r>
            <w:r>
              <w:rPr>
                <w:rFonts w:hint="eastAsia"/>
                <w:color w:val="auto"/>
                <w:sz w:val="24"/>
                <w:highlight w:val="none"/>
                <w:lang w:val="en-US" w:eastAsia="zh-CN"/>
              </w:rPr>
              <w:t>排放</w:t>
            </w:r>
            <w:r>
              <w:rPr>
                <w:color w:val="auto"/>
                <w:sz w:val="24"/>
                <w:highlight w:val="none"/>
              </w:rPr>
              <w:t>速率为</w:t>
            </w:r>
            <w:r>
              <w:rPr>
                <w:rFonts w:hint="eastAsia"/>
                <w:color w:val="auto"/>
                <w:sz w:val="24"/>
                <w:highlight w:val="none"/>
                <w:lang w:val="en-US" w:eastAsia="zh-CN"/>
              </w:rPr>
              <w:t>0.0806</w:t>
            </w:r>
            <w:r>
              <w:rPr>
                <w:color w:val="auto"/>
                <w:sz w:val="24"/>
                <w:highlight w:val="none"/>
              </w:rPr>
              <w:t>kg/h</w:t>
            </w:r>
            <w:r>
              <w:rPr>
                <w:rFonts w:hint="eastAsia"/>
                <w:color w:val="auto"/>
                <w:sz w:val="24"/>
                <w:highlight w:val="none"/>
                <w:lang w:eastAsia="zh-CN"/>
              </w:rPr>
              <w:t>，</w:t>
            </w:r>
            <w:r>
              <w:rPr>
                <w:rFonts w:hint="eastAsia"/>
                <w:color w:val="auto"/>
                <w:sz w:val="24"/>
                <w:highlight w:val="none"/>
                <w:lang w:val="en-US" w:eastAsia="zh-CN"/>
              </w:rPr>
              <w:t>排放浓度为18.2424mg/</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lang w:val="en-US" w:eastAsia="zh-CN"/>
              </w:rPr>
              <w:t>，</w:t>
            </w:r>
            <w:r>
              <w:rPr>
                <w:rFonts w:hint="eastAsia" w:ascii="Times New Roman" w:hAnsi="Times New Roman" w:eastAsia="宋体" w:cs="Times New Roman"/>
                <w:b w:val="0"/>
                <w:bCs w:val="0"/>
                <w:color w:val="auto"/>
                <w:kern w:val="2"/>
                <w:sz w:val="24"/>
                <w:highlight w:val="none"/>
                <w:lang w:val="en-US" w:eastAsia="zh-CN"/>
              </w:rPr>
              <w:t>氮氧化物</w:t>
            </w:r>
            <w:r>
              <w:rPr>
                <w:rFonts w:hint="eastAsia"/>
                <w:color w:val="auto"/>
                <w:sz w:val="24"/>
                <w:highlight w:val="none"/>
                <w:lang w:val="en-US" w:eastAsia="zh-CN"/>
              </w:rPr>
              <w:t>排放</w:t>
            </w:r>
            <w:r>
              <w:rPr>
                <w:color w:val="auto"/>
                <w:sz w:val="24"/>
                <w:highlight w:val="none"/>
              </w:rPr>
              <w:t>量为</w:t>
            </w:r>
            <w:r>
              <w:rPr>
                <w:rFonts w:hint="eastAsia"/>
                <w:color w:val="auto"/>
                <w:sz w:val="24"/>
                <w:highlight w:val="none"/>
                <w:lang w:val="en-US" w:eastAsia="zh-CN"/>
              </w:rPr>
              <w:t>1.2989</w:t>
            </w:r>
            <w:r>
              <w:rPr>
                <w:color w:val="auto"/>
                <w:sz w:val="24"/>
                <w:highlight w:val="none"/>
              </w:rPr>
              <w:t>t/a，</w:t>
            </w:r>
            <w:r>
              <w:rPr>
                <w:rFonts w:hint="eastAsia"/>
                <w:color w:val="auto"/>
                <w:sz w:val="24"/>
                <w:highlight w:val="none"/>
                <w:lang w:val="en-US" w:eastAsia="zh-CN"/>
              </w:rPr>
              <w:t>排放</w:t>
            </w:r>
            <w:r>
              <w:rPr>
                <w:color w:val="auto"/>
                <w:sz w:val="24"/>
                <w:highlight w:val="none"/>
              </w:rPr>
              <w:t>速率为</w:t>
            </w:r>
            <w:r>
              <w:rPr>
                <w:rFonts w:hint="eastAsia"/>
                <w:color w:val="auto"/>
                <w:sz w:val="24"/>
                <w:highlight w:val="none"/>
                <w:lang w:val="en-US" w:eastAsia="zh-CN"/>
              </w:rPr>
              <w:t>0.3808</w:t>
            </w:r>
            <w:r>
              <w:rPr>
                <w:color w:val="auto"/>
                <w:sz w:val="24"/>
                <w:highlight w:val="none"/>
              </w:rPr>
              <w:t>kg/h</w:t>
            </w:r>
            <w:r>
              <w:rPr>
                <w:rFonts w:hint="eastAsia"/>
                <w:color w:val="auto"/>
                <w:sz w:val="24"/>
                <w:highlight w:val="none"/>
                <w:lang w:eastAsia="zh-CN"/>
              </w:rPr>
              <w:t>，</w:t>
            </w:r>
            <w:r>
              <w:rPr>
                <w:rFonts w:hint="eastAsia"/>
                <w:color w:val="auto"/>
                <w:sz w:val="24"/>
                <w:highlight w:val="none"/>
                <w:lang w:val="en-US" w:eastAsia="zh-CN"/>
              </w:rPr>
              <w:t>排放浓度为86.2364mg/</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lang w:val="en-US" w:eastAsia="zh-CN"/>
              </w:rPr>
              <w:t>。</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color w:val="auto"/>
                <w:sz w:val="24"/>
                <w:highlight w:val="none"/>
                <w:lang w:eastAsia="zh-CN"/>
              </w:rPr>
            </w:pPr>
            <w:r>
              <w:rPr>
                <w:rFonts w:hint="eastAsia"/>
                <w:color w:val="auto"/>
                <w:sz w:val="24"/>
                <w:highlight w:val="none"/>
                <w:lang w:val="en-US" w:eastAsia="zh-CN"/>
              </w:rPr>
              <w:t>因此，本项目建成后，全厂天然气燃烧废气中颗粒物、</w:t>
            </w:r>
            <w:r>
              <w:rPr>
                <w:rFonts w:hint="eastAsia" w:ascii="Times New Roman" w:hAnsi="Times New Roman" w:eastAsia="宋体" w:cs="Times New Roman"/>
                <w:b w:val="0"/>
                <w:bCs w:val="0"/>
                <w:color w:val="auto"/>
                <w:kern w:val="2"/>
                <w:sz w:val="24"/>
                <w:highlight w:val="none"/>
                <w:lang w:val="en-US" w:eastAsia="zh-CN"/>
              </w:rPr>
              <w:t>二氧化硫</w:t>
            </w:r>
            <w:r>
              <w:rPr>
                <w:rFonts w:hint="eastAsia" w:cs="Times New Roman"/>
                <w:b w:val="0"/>
                <w:bCs w:val="0"/>
                <w:color w:val="auto"/>
                <w:kern w:val="2"/>
                <w:sz w:val="24"/>
                <w:highlight w:val="none"/>
                <w:lang w:val="en-US" w:eastAsia="zh-CN"/>
              </w:rPr>
              <w:t>、</w:t>
            </w:r>
            <w:r>
              <w:rPr>
                <w:rFonts w:hint="eastAsia" w:ascii="Times New Roman" w:hAnsi="Times New Roman" w:eastAsia="宋体" w:cs="Times New Roman"/>
                <w:b w:val="0"/>
                <w:bCs w:val="0"/>
                <w:color w:val="auto"/>
                <w:kern w:val="2"/>
                <w:sz w:val="24"/>
                <w:highlight w:val="none"/>
                <w:lang w:val="en-US" w:eastAsia="zh-CN"/>
              </w:rPr>
              <w:t>氮氧化物</w:t>
            </w:r>
            <w:r>
              <w:rPr>
                <w:rFonts w:hint="eastAsia"/>
                <w:color w:val="auto"/>
                <w:sz w:val="24"/>
                <w:highlight w:val="none"/>
                <w:lang w:val="en-US" w:eastAsia="zh-CN"/>
              </w:rPr>
              <w:t>排放浓度均满足</w:t>
            </w:r>
            <w:r>
              <w:rPr>
                <w:color w:val="auto"/>
                <w:sz w:val="24"/>
                <w:highlight w:val="none"/>
              </w:rPr>
              <w:t>《锅炉大气污染物排放标准》（GB 13271-2014）表</w:t>
            </w:r>
            <w:r>
              <w:rPr>
                <w:rFonts w:hint="eastAsia"/>
                <w:color w:val="auto"/>
                <w:sz w:val="24"/>
                <w:highlight w:val="none"/>
                <w:lang w:val="en-US" w:eastAsia="zh-CN"/>
              </w:rPr>
              <w:t>2</w:t>
            </w:r>
            <w:r>
              <w:rPr>
                <w:color w:val="auto"/>
                <w:sz w:val="24"/>
                <w:highlight w:val="none"/>
              </w:rPr>
              <w:t>中相关标准</w:t>
            </w:r>
            <w:r>
              <w:rPr>
                <w:rFonts w:hint="eastAsia"/>
                <w:color w:val="auto"/>
                <w:sz w:val="24"/>
                <w:highlight w:val="none"/>
                <w:lang w:eastAsia="zh-CN"/>
              </w:rPr>
              <w:t>。</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b w:val="0"/>
                <w:bCs w:val="0"/>
                <w:color w:val="auto"/>
                <w:kern w:val="0"/>
                <w:sz w:val="24"/>
                <w:highlight w:val="none"/>
                <w:lang w:val="en-US" w:eastAsia="zh-CN"/>
              </w:rPr>
            </w:pPr>
            <w:r>
              <w:rPr>
                <w:rFonts w:hint="eastAsia"/>
                <w:b/>
                <w:bCs/>
                <w:color w:val="auto"/>
                <w:kern w:val="0"/>
                <w:sz w:val="24"/>
                <w:highlight w:val="none"/>
                <w:lang w:val="en-US" w:eastAsia="zh-CN"/>
              </w:rPr>
              <w:t>存在的问题：</w:t>
            </w:r>
            <w:r>
              <w:rPr>
                <w:rFonts w:hint="eastAsia"/>
                <w:b w:val="0"/>
                <w:bCs w:val="0"/>
                <w:color w:val="auto"/>
                <w:kern w:val="0"/>
                <w:sz w:val="24"/>
                <w:highlight w:val="none"/>
                <w:lang w:val="en-US" w:eastAsia="zh-CN"/>
              </w:rPr>
              <w:t>无。</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eastAsia" w:eastAsia="宋体"/>
                <w:b w:val="0"/>
                <w:bCs w:val="0"/>
                <w:color w:val="auto"/>
                <w:highlight w:val="none"/>
                <w:lang w:val="en-US" w:eastAsia="zh-CN"/>
              </w:rPr>
            </w:pPr>
            <w:r>
              <w:rPr>
                <w:rFonts w:hint="eastAsia"/>
                <w:b/>
                <w:bCs/>
                <w:color w:val="auto"/>
                <w:kern w:val="0"/>
                <w:sz w:val="24"/>
                <w:highlight w:val="none"/>
                <w:lang w:val="en-US" w:eastAsia="zh-CN"/>
              </w:rPr>
              <w:t>整改</w:t>
            </w:r>
            <w:r>
              <w:rPr>
                <w:rFonts w:hint="eastAsia"/>
                <w:b/>
                <w:bCs/>
                <w:color w:val="auto"/>
                <w:kern w:val="0"/>
                <w:sz w:val="24"/>
                <w:highlight w:val="none"/>
              </w:rPr>
              <w:t>措施：</w:t>
            </w:r>
            <w:r>
              <w:rPr>
                <w:rFonts w:hint="eastAsia"/>
                <w:b w:val="0"/>
                <w:bCs w:val="0"/>
                <w:color w:val="auto"/>
                <w:kern w:val="0"/>
                <w:sz w:val="24"/>
                <w:highlight w:val="none"/>
                <w:lang w:val="en-US" w:eastAsia="zh-CN"/>
              </w:rPr>
              <w:t>无</w:t>
            </w:r>
            <w:r>
              <w:rPr>
                <w:rFonts w:hint="eastAsia"/>
                <w:color w:val="auto"/>
                <w:sz w:val="24"/>
                <w:highlight w:val="none"/>
                <w:lang w:eastAsia="zh-CN"/>
              </w:rPr>
              <w:t>。</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eastAsia" w:ascii="Times New Roman" w:hAnsi="Times New Roman" w:eastAsia="宋体" w:cs="Times New Roman"/>
                <w:b/>
                <w:bCs/>
                <w:color w:val="auto"/>
                <w:kern w:val="2"/>
                <w:sz w:val="24"/>
                <w:highlight w:val="none"/>
                <w:lang w:val="en-US" w:eastAsia="zh-CN"/>
              </w:rPr>
            </w:pPr>
            <w:r>
              <w:rPr>
                <w:rFonts w:hint="eastAsia" w:ascii="Times New Roman" w:hAnsi="Times New Roman" w:eastAsia="宋体" w:cs="Times New Roman"/>
                <w:b/>
                <w:bCs/>
                <w:color w:val="auto"/>
                <w:kern w:val="2"/>
                <w:sz w:val="24"/>
                <w:highlight w:val="none"/>
                <w:lang w:val="en-US" w:eastAsia="zh-CN"/>
              </w:rPr>
              <w:t>（2）油炸油烟</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color w:val="auto"/>
                <w:sz w:val="24"/>
                <w:highlight w:val="none"/>
                <w:lang w:val="en-US" w:eastAsia="zh-CN"/>
              </w:rPr>
            </w:pPr>
            <w:r>
              <w:rPr>
                <w:rFonts w:hint="eastAsia" w:ascii="Times New Roman" w:hAnsi="Times New Roman" w:eastAsia="宋体" w:cs="Times New Roman"/>
                <w:b w:val="0"/>
                <w:bCs w:val="0"/>
                <w:color w:val="auto"/>
                <w:kern w:val="2"/>
                <w:sz w:val="24"/>
                <w:highlight w:val="none"/>
                <w:lang w:val="en-US" w:eastAsia="zh-CN"/>
              </w:rPr>
              <w:t>本项目生产手撕素肉的油炸工序会产生油烟</w:t>
            </w:r>
            <w:r>
              <w:rPr>
                <w:color w:val="auto"/>
                <w:sz w:val="24"/>
                <w:highlight w:val="none"/>
              </w:rPr>
              <w:t>。</w:t>
            </w:r>
            <w:r>
              <w:rPr>
                <w:rFonts w:hint="eastAsia" w:ascii="Times New Roman" w:hAnsi="Times New Roman" w:eastAsia="宋体" w:cs="Times New Roman"/>
                <w:color w:val="auto"/>
                <w:kern w:val="2"/>
                <w:sz w:val="24"/>
                <w:highlight w:val="none"/>
                <w:lang w:val="en-US" w:eastAsia="zh-CN"/>
              </w:rPr>
              <w:t>现有项目</w:t>
            </w:r>
            <w:r>
              <w:rPr>
                <w:rFonts w:hint="eastAsia"/>
                <w:color w:val="auto"/>
                <w:sz w:val="24"/>
                <w:highlight w:val="none"/>
                <w:lang w:val="en-US" w:eastAsia="zh-CN"/>
              </w:rPr>
              <w:t>油炸工序</w:t>
            </w:r>
            <w:r>
              <w:rPr>
                <w:rFonts w:hint="eastAsia" w:ascii="Times New Roman" w:hAnsi="Times New Roman" w:eastAsia="宋体" w:cs="Times New Roman"/>
                <w:color w:val="auto"/>
                <w:kern w:val="2"/>
                <w:sz w:val="24"/>
                <w:highlight w:val="none"/>
                <w:lang w:val="en-US" w:eastAsia="zh-CN"/>
              </w:rPr>
              <w:t>植物油用量为</w:t>
            </w:r>
            <w:r>
              <w:rPr>
                <w:rFonts w:hint="eastAsia" w:cs="Times New Roman"/>
                <w:color w:val="auto"/>
                <w:kern w:val="2"/>
                <w:sz w:val="24"/>
                <w:highlight w:val="none"/>
                <w:lang w:val="en-US" w:eastAsia="zh-CN"/>
              </w:rPr>
              <w:t>1</w:t>
            </w:r>
            <w:r>
              <w:rPr>
                <w:rFonts w:hint="eastAsia" w:ascii="Times New Roman" w:hAnsi="Times New Roman" w:eastAsia="宋体" w:cs="Times New Roman"/>
                <w:color w:val="auto"/>
                <w:kern w:val="2"/>
                <w:sz w:val="24"/>
                <w:highlight w:val="none"/>
                <w:lang w:val="en-US" w:eastAsia="zh-CN"/>
              </w:rPr>
              <w:t>50t/a，根据现有项目验收监测报告，现有项目油炸油烟排放量为0.0117t/a</w:t>
            </w:r>
            <w:r>
              <w:rPr>
                <w:rFonts w:hint="eastAsia"/>
                <w:color w:val="auto"/>
                <w:sz w:val="24"/>
                <w:highlight w:val="none"/>
                <w:lang w:val="en-US" w:eastAsia="zh-CN"/>
              </w:rPr>
              <w:t>。</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本项目油炸工序新增植物油用量为30t/a，类比现有项目</w:t>
            </w:r>
            <w:r>
              <w:rPr>
                <w:rFonts w:hint="eastAsia" w:ascii="Times New Roman" w:hAnsi="Times New Roman" w:eastAsia="宋体" w:cs="Times New Roman"/>
                <w:color w:val="auto"/>
                <w:kern w:val="2"/>
                <w:sz w:val="24"/>
                <w:highlight w:val="none"/>
                <w:lang w:val="en-US" w:eastAsia="zh-CN"/>
              </w:rPr>
              <w:t>验收监测报告</w:t>
            </w:r>
            <w:r>
              <w:rPr>
                <w:rFonts w:hint="eastAsia"/>
                <w:color w:val="auto"/>
                <w:sz w:val="24"/>
                <w:highlight w:val="none"/>
                <w:lang w:val="en-US" w:eastAsia="zh-CN"/>
              </w:rPr>
              <w:t>，本项目油炸油烟排放量为0.0023t/a。</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b/>
                <w:bCs/>
                <w:color w:val="auto"/>
                <w:kern w:val="2"/>
                <w:sz w:val="24"/>
                <w:highlight w:val="none"/>
                <w:lang w:val="en-US" w:eastAsia="zh-CN"/>
              </w:rPr>
              <w:t>治理措施：</w:t>
            </w:r>
            <w:r>
              <w:rPr>
                <w:rFonts w:hint="eastAsia" w:ascii="Times New Roman" w:hAnsi="Times New Roman" w:eastAsia="宋体" w:cs="Times New Roman"/>
                <w:b w:val="0"/>
                <w:bCs w:val="0"/>
                <w:color w:val="auto"/>
                <w:kern w:val="2"/>
                <w:sz w:val="24"/>
                <w:highlight w:val="none"/>
                <w:lang w:val="en-US" w:eastAsia="zh-CN"/>
              </w:rPr>
              <w:t>本项目在油炸锅上方设置集气罩，油烟经集气罩收集后，经油烟净化装置处理后</w:t>
            </w:r>
            <w:r>
              <w:rPr>
                <w:rFonts w:hint="eastAsia"/>
                <w:color w:val="auto"/>
                <w:sz w:val="24"/>
                <w:highlight w:val="none"/>
              </w:rPr>
              <w:t>，通过</w:t>
            </w:r>
            <w:r>
              <w:rPr>
                <w:color w:val="auto"/>
                <w:sz w:val="24"/>
                <w:highlight w:val="none"/>
              </w:rPr>
              <w:t>15m的排气筒（</w:t>
            </w:r>
            <w:r>
              <w:rPr>
                <w:rFonts w:hint="eastAsia"/>
                <w:color w:val="auto"/>
                <w:sz w:val="24"/>
                <w:highlight w:val="none"/>
              </w:rPr>
              <w:t>排气筒编号DA00</w:t>
            </w:r>
            <w:r>
              <w:rPr>
                <w:rFonts w:hint="eastAsia"/>
                <w:color w:val="auto"/>
                <w:sz w:val="24"/>
                <w:highlight w:val="none"/>
                <w:lang w:val="en-US" w:eastAsia="zh-CN"/>
              </w:rPr>
              <w:t>5</w:t>
            </w:r>
            <w:r>
              <w:rPr>
                <w:color w:val="auto"/>
                <w:sz w:val="24"/>
                <w:highlight w:val="none"/>
              </w:rPr>
              <w:t>）排放</w:t>
            </w:r>
            <w:r>
              <w:rPr>
                <w:rFonts w:hint="eastAsia"/>
                <w:color w:val="auto"/>
                <w:sz w:val="24"/>
                <w:highlight w:val="none"/>
                <w:lang w:eastAsia="zh-CN"/>
              </w:rPr>
              <w:t>。</w:t>
            </w:r>
            <w:r>
              <w:rPr>
                <w:rFonts w:hint="eastAsia"/>
                <w:color w:val="auto"/>
                <w:sz w:val="24"/>
                <w:highlight w:val="none"/>
              </w:rPr>
              <w:t>收集效率以90%计，处理效率以</w:t>
            </w:r>
            <w:r>
              <w:rPr>
                <w:rFonts w:hint="eastAsia"/>
                <w:color w:val="auto"/>
                <w:sz w:val="24"/>
                <w:highlight w:val="none"/>
                <w:lang w:val="en-US" w:eastAsia="zh-CN"/>
              </w:rPr>
              <w:t>60</w:t>
            </w:r>
            <w:r>
              <w:rPr>
                <w:rFonts w:hint="eastAsia"/>
                <w:color w:val="auto"/>
                <w:sz w:val="24"/>
                <w:highlight w:val="none"/>
              </w:rPr>
              <w:t>%计，风量为</w:t>
            </w:r>
            <w:r>
              <w:rPr>
                <w:rFonts w:hint="eastAsia"/>
                <w:color w:val="auto"/>
                <w:sz w:val="24"/>
                <w:highlight w:val="none"/>
                <w:lang w:val="en-US" w:eastAsia="zh-CN"/>
              </w:rPr>
              <w:t>5</w:t>
            </w:r>
            <w:r>
              <w:rPr>
                <w:rFonts w:hint="eastAsia"/>
                <w:color w:val="auto"/>
                <w:sz w:val="24"/>
                <w:highlight w:val="none"/>
              </w:rPr>
              <w:t>000m</w:t>
            </w:r>
            <w:r>
              <w:rPr>
                <w:rFonts w:hint="eastAsia"/>
                <w:color w:val="auto"/>
                <w:sz w:val="24"/>
                <w:highlight w:val="none"/>
                <w:vertAlign w:val="superscript"/>
              </w:rPr>
              <w:t>3</w:t>
            </w:r>
            <w:r>
              <w:rPr>
                <w:rFonts w:hint="eastAsia"/>
                <w:color w:val="auto"/>
                <w:sz w:val="24"/>
                <w:highlight w:val="none"/>
              </w:rPr>
              <w:t>/h，</w:t>
            </w:r>
            <w:r>
              <w:rPr>
                <w:rFonts w:hint="eastAsia"/>
                <w:color w:val="auto"/>
                <w:sz w:val="24"/>
                <w:highlight w:val="none"/>
                <w:lang w:val="en-US" w:eastAsia="zh-CN"/>
              </w:rPr>
              <w:t>因此，油炸油烟产生量为0.0065t/a，产生</w:t>
            </w:r>
            <w:r>
              <w:rPr>
                <w:color w:val="auto"/>
                <w:sz w:val="24"/>
                <w:highlight w:val="none"/>
              </w:rPr>
              <w:t>速率为</w:t>
            </w:r>
            <w:r>
              <w:rPr>
                <w:rFonts w:hint="eastAsia"/>
                <w:color w:val="auto"/>
                <w:sz w:val="24"/>
                <w:highlight w:val="none"/>
                <w:lang w:val="en-US" w:eastAsia="zh-CN"/>
              </w:rPr>
              <w:t>0.0018</w:t>
            </w:r>
            <w:r>
              <w:rPr>
                <w:color w:val="auto"/>
                <w:sz w:val="24"/>
                <w:highlight w:val="none"/>
              </w:rPr>
              <w:t>kg/h</w:t>
            </w:r>
            <w:r>
              <w:rPr>
                <w:rFonts w:hint="eastAsia"/>
                <w:color w:val="auto"/>
                <w:sz w:val="24"/>
                <w:highlight w:val="none"/>
                <w:lang w:val="en-US" w:eastAsia="zh-CN"/>
              </w:rPr>
              <w:t>；有组织排放量为0.0023t/a，排放</w:t>
            </w:r>
            <w:r>
              <w:rPr>
                <w:color w:val="auto"/>
                <w:sz w:val="24"/>
                <w:highlight w:val="none"/>
              </w:rPr>
              <w:t>速率为</w:t>
            </w:r>
            <w:r>
              <w:rPr>
                <w:rFonts w:hint="eastAsia"/>
                <w:color w:val="auto"/>
                <w:sz w:val="24"/>
                <w:highlight w:val="none"/>
                <w:lang w:val="en-US" w:eastAsia="zh-CN"/>
              </w:rPr>
              <w:t>0.0007</w:t>
            </w:r>
            <w:r>
              <w:rPr>
                <w:color w:val="auto"/>
                <w:sz w:val="24"/>
                <w:highlight w:val="none"/>
              </w:rPr>
              <w:t>kg/h</w:t>
            </w:r>
            <w:r>
              <w:rPr>
                <w:rFonts w:hint="eastAsia"/>
                <w:color w:val="auto"/>
                <w:sz w:val="24"/>
                <w:highlight w:val="none"/>
                <w:lang w:eastAsia="zh-CN"/>
              </w:rPr>
              <w:t>，</w:t>
            </w:r>
            <w:r>
              <w:rPr>
                <w:rFonts w:hint="eastAsia"/>
                <w:color w:val="auto"/>
                <w:sz w:val="24"/>
                <w:highlight w:val="none"/>
                <w:lang w:val="en-US" w:eastAsia="zh-CN"/>
              </w:rPr>
              <w:t>排放浓度为0.12mg/</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vertAlign w:val="baseline"/>
                <w:lang w:eastAsia="zh-CN"/>
              </w:rPr>
              <w:t>，</w:t>
            </w:r>
            <w:r>
              <w:rPr>
                <w:rFonts w:hint="eastAsia"/>
                <w:color w:val="auto"/>
                <w:sz w:val="24"/>
                <w:highlight w:val="none"/>
                <w:vertAlign w:val="baseline"/>
                <w:lang w:val="en-US" w:eastAsia="zh-CN"/>
              </w:rPr>
              <w:t>无组织排放量为0.0007t/a，排放速率为0.0002kg/h</w:t>
            </w:r>
            <w:r>
              <w:rPr>
                <w:rFonts w:hint="eastAsia"/>
                <w:color w:val="auto"/>
                <w:sz w:val="24"/>
                <w:highlight w:val="none"/>
                <w:lang w:val="en-US" w:eastAsia="zh-CN"/>
              </w:rPr>
              <w:t>。排放浓度满足《饮食业油烟排放标准（试行）》（GB18483-2001）。</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eastAsia" w:ascii="Times New Roman" w:hAnsi="Times New Roman" w:eastAsia="宋体" w:cs="Times New Roman"/>
                <w:b/>
                <w:bCs/>
                <w:color w:val="auto"/>
                <w:kern w:val="2"/>
                <w:sz w:val="24"/>
                <w:highlight w:val="none"/>
                <w:lang w:eastAsia="zh-CN"/>
              </w:rPr>
            </w:pPr>
            <w:r>
              <w:rPr>
                <w:rFonts w:hint="eastAsia" w:ascii="Times New Roman" w:hAnsi="Times New Roman" w:eastAsia="宋体" w:cs="Times New Roman"/>
                <w:b/>
                <w:bCs/>
                <w:color w:val="auto"/>
                <w:kern w:val="2"/>
                <w:sz w:val="24"/>
                <w:highlight w:val="none"/>
                <w:lang w:eastAsia="zh-CN"/>
              </w:rPr>
              <w:t>（</w:t>
            </w:r>
            <w:r>
              <w:rPr>
                <w:rFonts w:hint="eastAsia" w:ascii="Times New Roman" w:hAnsi="Times New Roman" w:eastAsia="宋体" w:cs="Times New Roman"/>
                <w:b/>
                <w:bCs/>
                <w:color w:val="auto"/>
                <w:kern w:val="2"/>
                <w:sz w:val="24"/>
                <w:highlight w:val="none"/>
                <w:lang w:val="en-US" w:eastAsia="zh-CN"/>
              </w:rPr>
              <w:t>3</w:t>
            </w:r>
            <w:r>
              <w:rPr>
                <w:rFonts w:hint="eastAsia" w:ascii="Times New Roman" w:hAnsi="Times New Roman" w:eastAsia="宋体" w:cs="Times New Roman"/>
                <w:b/>
                <w:bCs/>
                <w:color w:val="auto"/>
                <w:kern w:val="2"/>
                <w:sz w:val="24"/>
                <w:highlight w:val="none"/>
                <w:lang w:eastAsia="zh-CN"/>
              </w:rPr>
              <w:t>）配料、</w:t>
            </w:r>
            <w:r>
              <w:rPr>
                <w:rFonts w:hint="eastAsia" w:ascii="Times New Roman" w:hAnsi="Times New Roman" w:eastAsia="宋体" w:cs="Times New Roman"/>
                <w:b/>
                <w:bCs/>
                <w:color w:val="auto"/>
                <w:kern w:val="2"/>
                <w:sz w:val="24"/>
                <w:highlight w:val="none"/>
                <w:lang w:val="en-US" w:eastAsia="zh-CN"/>
              </w:rPr>
              <w:t>斩拌、拌料</w:t>
            </w:r>
            <w:r>
              <w:rPr>
                <w:rFonts w:hint="eastAsia" w:ascii="Times New Roman" w:hAnsi="Times New Roman" w:eastAsia="宋体" w:cs="Times New Roman"/>
                <w:b/>
                <w:bCs/>
                <w:color w:val="auto"/>
                <w:kern w:val="2"/>
                <w:sz w:val="24"/>
                <w:highlight w:val="none"/>
                <w:lang w:eastAsia="zh-CN"/>
              </w:rPr>
              <w:t>粉尘</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b w:val="0"/>
                <w:bCs w:val="0"/>
                <w:color w:val="auto"/>
                <w:kern w:val="2"/>
                <w:sz w:val="24"/>
                <w:highlight w:val="none"/>
                <w:lang w:val="en-US" w:eastAsia="zh-CN"/>
              </w:rPr>
              <w:t>本项目手撕素肉和散装称量豆干拌料时均使用粉料，可能产生粉尘，且生产散装称量豆干使用大豆分离蛋白粉，称量配料、斩拌时可能产生粉尘。</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eastAsia="宋体"/>
                <w:color w:val="auto"/>
                <w:sz w:val="24"/>
                <w:highlight w:val="none"/>
                <w:lang w:val="en-US" w:eastAsia="zh-CN"/>
              </w:rPr>
            </w:pPr>
            <w:r>
              <w:rPr>
                <w:rFonts w:hint="eastAsia"/>
                <w:color w:val="auto"/>
                <w:sz w:val="24"/>
                <w:highlight w:val="none"/>
              </w:rPr>
              <w:t>参考《逸散性工业粉尘控制技术》中投料排污系数为0.01kg/t物料，本项目</w:t>
            </w:r>
            <w:r>
              <w:rPr>
                <w:rFonts w:hint="eastAsia" w:ascii="Times New Roman" w:hAnsi="Times New Roman" w:eastAsia="宋体" w:cs="Times New Roman"/>
                <w:b w:val="0"/>
                <w:bCs w:val="0"/>
                <w:color w:val="auto"/>
                <w:kern w:val="2"/>
                <w:sz w:val="24"/>
                <w:highlight w:val="none"/>
                <w:lang w:val="en-US" w:eastAsia="zh-CN"/>
              </w:rPr>
              <w:t>大豆分离蛋白粉、粉料（包括食用盐、白砂糖、味精）的使用量为42</w:t>
            </w:r>
            <w:r>
              <w:rPr>
                <w:rFonts w:hint="eastAsia" w:cs="Times New Roman"/>
                <w:b w:val="0"/>
                <w:bCs w:val="0"/>
                <w:color w:val="auto"/>
                <w:kern w:val="2"/>
                <w:sz w:val="24"/>
                <w:highlight w:val="none"/>
                <w:lang w:val="en-US" w:eastAsia="zh-CN"/>
              </w:rPr>
              <w:t>3</w:t>
            </w:r>
            <w:r>
              <w:rPr>
                <w:rFonts w:hint="eastAsia" w:ascii="Times New Roman" w:hAnsi="Times New Roman" w:eastAsia="宋体" w:cs="Times New Roman"/>
                <w:b w:val="0"/>
                <w:bCs w:val="0"/>
                <w:color w:val="auto"/>
                <w:kern w:val="2"/>
                <w:sz w:val="24"/>
                <w:highlight w:val="none"/>
                <w:lang w:val="en-US" w:eastAsia="zh-CN"/>
              </w:rPr>
              <w:t>.5t/a，则配料、斩拌、拌料粉尘产生量为0.004</w:t>
            </w:r>
            <w:r>
              <w:rPr>
                <w:rFonts w:hint="eastAsia" w:cs="Times New Roman"/>
                <w:b w:val="0"/>
                <w:bCs w:val="0"/>
                <w:color w:val="auto"/>
                <w:kern w:val="2"/>
                <w:sz w:val="24"/>
                <w:highlight w:val="none"/>
                <w:lang w:val="en-US" w:eastAsia="zh-CN"/>
              </w:rPr>
              <w:t>2</w:t>
            </w:r>
            <w:r>
              <w:rPr>
                <w:rFonts w:hint="eastAsia" w:ascii="Times New Roman" w:hAnsi="Times New Roman" w:eastAsia="宋体" w:cs="Times New Roman"/>
                <w:b w:val="0"/>
                <w:bCs w:val="0"/>
                <w:color w:val="auto"/>
                <w:kern w:val="2"/>
                <w:sz w:val="24"/>
                <w:highlight w:val="none"/>
                <w:lang w:val="en-US" w:eastAsia="zh-CN"/>
              </w:rPr>
              <w:t>t/a，产生速率为0.0012kg/h。</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b/>
                <w:bCs/>
                <w:color w:val="auto"/>
                <w:kern w:val="2"/>
                <w:sz w:val="24"/>
                <w:highlight w:val="none"/>
                <w:lang w:val="en-US" w:eastAsia="zh-CN"/>
              </w:rPr>
              <w:t>治理措施：</w:t>
            </w:r>
            <w:r>
              <w:rPr>
                <w:rFonts w:hint="eastAsia" w:ascii="Times New Roman" w:hAnsi="Times New Roman" w:eastAsia="宋体" w:cs="Times New Roman"/>
                <w:b w:val="0"/>
                <w:bCs w:val="0"/>
                <w:color w:val="auto"/>
                <w:kern w:val="2"/>
                <w:sz w:val="24"/>
                <w:highlight w:val="none"/>
                <w:lang w:val="en-US" w:eastAsia="zh-CN"/>
              </w:rPr>
              <w:t>本项目配料、斩拌、拌料产生的粉尘较少，通过</w:t>
            </w:r>
            <w:r>
              <w:rPr>
                <w:rFonts w:hint="eastAsia" w:ascii="Times New Roman" w:hAnsi="Times New Roman" w:cs="Times New Roman"/>
                <w:b w:val="0"/>
                <w:bCs/>
                <w:color w:val="auto"/>
                <w:sz w:val="24"/>
                <w:highlight w:val="none"/>
                <w:lang w:eastAsia="zh-CN"/>
              </w:rPr>
              <w:t>原料投加过程轻拿轻放，降低投料高度等</w:t>
            </w:r>
            <w:r>
              <w:rPr>
                <w:rFonts w:hint="eastAsia" w:ascii="Times New Roman" w:hAnsi="Times New Roman" w:cs="Times New Roman"/>
                <w:b w:val="0"/>
                <w:bCs/>
                <w:color w:val="auto"/>
                <w:sz w:val="24"/>
                <w:highlight w:val="none"/>
                <w:lang w:val="en-US" w:eastAsia="zh-CN"/>
              </w:rPr>
              <w:t>措施</w:t>
            </w:r>
            <w:r>
              <w:rPr>
                <w:rFonts w:hint="default" w:ascii="Times New Roman" w:hAnsi="Times New Roman" w:cs="Times New Roman"/>
                <w:b w:val="0"/>
                <w:bCs/>
                <w:color w:val="auto"/>
                <w:sz w:val="24"/>
                <w:highlight w:val="none"/>
                <w:lang w:eastAsia="zh-CN"/>
              </w:rPr>
              <w:t>减少粉尘产生量</w:t>
            </w:r>
            <w:r>
              <w:rPr>
                <w:rFonts w:hint="eastAsia"/>
                <w:color w:val="auto"/>
                <w:kern w:val="0"/>
                <w:sz w:val="24"/>
                <w:highlight w:val="none"/>
                <w:lang w:bidi="ar"/>
              </w:rPr>
              <w:t>，</w:t>
            </w:r>
            <w:r>
              <w:rPr>
                <w:rFonts w:hint="eastAsia" w:ascii="Times New Roman" w:hAnsi="Times New Roman" w:eastAsia="宋体" w:cs="Times New Roman"/>
                <w:b w:val="0"/>
                <w:bCs w:val="0"/>
                <w:color w:val="auto"/>
                <w:kern w:val="2"/>
                <w:sz w:val="24"/>
                <w:highlight w:val="none"/>
                <w:lang w:val="en-US" w:eastAsia="zh-CN"/>
              </w:rPr>
              <w:t>加强车间通风，无组织排放，排放量为0.004</w:t>
            </w:r>
            <w:r>
              <w:rPr>
                <w:rFonts w:hint="eastAsia" w:cs="Times New Roman"/>
                <w:b w:val="0"/>
                <w:bCs w:val="0"/>
                <w:color w:val="auto"/>
                <w:kern w:val="2"/>
                <w:sz w:val="24"/>
                <w:highlight w:val="none"/>
                <w:lang w:val="en-US" w:eastAsia="zh-CN"/>
              </w:rPr>
              <w:t>2</w:t>
            </w:r>
            <w:r>
              <w:rPr>
                <w:rFonts w:hint="eastAsia" w:ascii="Times New Roman" w:hAnsi="Times New Roman" w:eastAsia="宋体" w:cs="Times New Roman"/>
                <w:b w:val="0"/>
                <w:bCs w:val="0"/>
                <w:color w:val="auto"/>
                <w:kern w:val="2"/>
                <w:sz w:val="24"/>
                <w:highlight w:val="none"/>
                <w:lang w:val="en-US" w:eastAsia="zh-CN"/>
              </w:rPr>
              <w:t>t/a，排放速率为0.0012kg/h。</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eastAsia"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b/>
                <w:bCs/>
                <w:color w:val="auto"/>
                <w:kern w:val="2"/>
                <w:sz w:val="24"/>
                <w:highlight w:val="none"/>
                <w:lang w:val="en-US" w:eastAsia="zh-CN"/>
              </w:rPr>
              <w:t>（4）水蒸气</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b w:val="0"/>
                <w:bCs w:val="0"/>
                <w:color w:val="auto"/>
                <w:kern w:val="2"/>
                <w:sz w:val="24"/>
                <w:highlight w:val="none"/>
                <w:lang w:val="en-US" w:eastAsia="zh-CN"/>
              </w:rPr>
              <w:t>本项目卤制、烘烤和灭菌时使用蒸汽，会产生水蒸气，水蒸气冷凝后用于地面清洁，不会对环境空气产生影响。</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eastAsia" w:ascii="Times New Roman" w:hAnsi="Times New Roman" w:eastAsia="宋体" w:cs="Times New Roman"/>
                <w:b/>
                <w:bCs/>
                <w:color w:val="auto"/>
                <w:kern w:val="2"/>
                <w:sz w:val="24"/>
                <w:highlight w:val="none"/>
                <w:lang w:val="en-US" w:eastAsia="zh-CN"/>
              </w:rPr>
            </w:pPr>
            <w:r>
              <w:rPr>
                <w:rFonts w:hint="eastAsia" w:ascii="Times New Roman" w:hAnsi="Times New Roman" w:eastAsia="宋体" w:cs="Times New Roman"/>
                <w:b/>
                <w:bCs/>
                <w:color w:val="auto"/>
                <w:kern w:val="2"/>
                <w:sz w:val="24"/>
                <w:highlight w:val="none"/>
                <w:lang w:val="en-US" w:eastAsia="zh-CN"/>
              </w:rPr>
              <w:t>（5）异味</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ascii="Times New Roman" w:hAnsi="Times New Roman" w:eastAsia="宋体" w:cs="Times New Roman"/>
                <w:b w:val="0"/>
                <w:bCs w:val="0"/>
                <w:color w:val="auto"/>
                <w:kern w:val="2"/>
                <w:sz w:val="24"/>
                <w:highlight w:val="none"/>
                <w:lang w:val="en-US" w:eastAsia="zh-CN"/>
              </w:rPr>
            </w:pPr>
            <w:r>
              <w:rPr>
                <w:rFonts w:hint="eastAsia" w:ascii="Times New Roman" w:hAnsi="Times New Roman" w:eastAsia="宋体" w:cs="Times New Roman"/>
                <w:b w:val="0"/>
                <w:bCs w:val="0"/>
                <w:color w:val="auto"/>
                <w:kern w:val="2"/>
                <w:sz w:val="24"/>
                <w:highlight w:val="none"/>
                <w:lang w:val="en-US" w:eastAsia="zh-CN"/>
              </w:rPr>
              <w:t>本项目卤制和烘烤的异味来自于原辅材料本身，异味不含有毒有害物质，加强车间通风，自然扩散后不会对环境空气产生较大影响。</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b/>
                <w:bCs/>
                <w:color w:val="auto"/>
                <w:kern w:val="2"/>
                <w:sz w:val="24"/>
                <w:highlight w:val="none"/>
                <w:lang w:val="en-US" w:eastAsia="zh-CN"/>
              </w:rPr>
              <w:t>治理措施：</w:t>
            </w:r>
            <w:r>
              <w:rPr>
                <w:rFonts w:hint="eastAsia" w:ascii="Times New Roman" w:hAnsi="Times New Roman" w:eastAsia="宋体" w:cs="Times New Roman"/>
                <w:b w:val="0"/>
                <w:bCs w:val="0"/>
                <w:color w:val="auto"/>
                <w:kern w:val="2"/>
                <w:sz w:val="24"/>
                <w:highlight w:val="none"/>
                <w:lang w:val="en-US" w:eastAsia="zh-CN"/>
              </w:rPr>
              <w:t>无组织排放，加强车间通风。</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eastAsia" w:ascii="Times New Roman" w:hAnsi="Times New Roman" w:eastAsia="宋体" w:cs="Times New Roman"/>
                <w:b/>
                <w:bCs/>
                <w:color w:val="auto"/>
                <w:kern w:val="2"/>
                <w:sz w:val="24"/>
                <w:highlight w:val="none"/>
                <w:lang w:eastAsia="zh-CN"/>
              </w:rPr>
            </w:pPr>
            <w:r>
              <w:rPr>
                <w:rFonts w:hint="eastAsia" w:ascii="Times New Roman" w:hAnsi="Times New Roman" w:eastAsia="宋体" w:cs="Times New Roman"/>
                <w:b/>
                <w:bCs/>
                <w:color w:val="auto"/>
                <w:kern w:val="2"/>
                <w:sz w:val="24"/>
                <w:highlight w:val="none"/>
                <w:lang w:eastAsia="zh-CN"/>
              </w:rPr>
              <w:t>（</w:t>
            </w:r>
            <w:r>
              <w:rPr>
                <w:rFonts w:hint="eastAsia" w:ascii="Times New Roman" w:hAnsi="Times New Roman" w:eastAsia="宋体" w:cs="Times New Roman"/>
                <w:b/>
                <w:bCs/>
                <w:color w:val="auto"/>
                <w:kern w:val="2"/>
                <w:sz w:val="24"/>
                <w:highlight w:val="none"/>
                <w:lang w:val="en-US" w:eastAsia="zh-CN"/>
              </w:rPr>
              <w:t>6</w:t>
            </w:r>
            <w:r>
              <w:rPr>
                <w:rFonts w:hint="eastAsia" w:ascii="Times New Roman" w:hAnsi="Times New Roman" w:eastAsia="宋体" w:cs="Times New Roman"/>
                <w:b/>
                <w:bCs/>
                <w:color w:val="auto"/>
                <w:kern w:val="2"/>
                <w:sz w:val="24"/>
                <w:highlight w:val="none"/>
                <w:lang w:eastAsia="zh-CN"/>
              </w:rPr>
              <w:t>）</w:t>
            </w:r>
            <w:r>
              <w:rPr>
                <w:rFonts w:hint="eastAsia" w:ascii="Times New Roman" w:hAnsi="Times New Roman" w:eastAsia="宋体" w:cs="Times New Roman"/>
                <w:b/>
                <w:bCs/>
                <w:color w:val="auto"/>
                <w:kern w:val="2"/>
                <w:sz w:val="24"/>
                <w:highlight w:val="none"/>
                <w:lang w:val="en-US" w:eastAsia="zh-CN"/>
              </w:rPr>
              <w:t>喷码废气</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kern w:val="2"/>
                <w:sz w:val="24"/>
                <w:highlight w:val="none"/>
                <w:lang w:val="en-US" w:eastAsia="zh-CN"/>
              </w:rPr>
              <w:t>本项目</w:t>
            </w:r>
            <w:r>
              <w:rPr>
                <w:rFonts w:hint="eastAsia" w:ascii="Times New Roman" w:hAnsi="Times New Roman" w:eastAsia="宋体" w:cs="Times New Roman"/>
                <w:color w:val="auto"/>
                <w:sz w:val="24"/>
                <w:highlight w:val="none"/>
                <w:lang w:val="en-US" w:eastAsia="zh-CN"/>
              </w:rPr>
              <w:t>包装时进行喷码，使用油墨，会产生有机废气，</w:t>
            </w:r>
            <w:r>
              <w:rPr>
                <w:rFonts w:hint="eastAsia" w:cs="Times New Roman"/>
                <w:color w:val="auto"/>
                <w:sz w:val="24"/>
                <w:highlight w:val="none"/>
                <w:lang w:val="en-US" w:eastAsia="zh-CN"/>
              </w:rPr>
              <w:t>根据油墨检测报告，挥发性有机物和含量为22.3%计，本项目</w:t>
            </w:r>
            <w:r>
              <w:rPr>
                <w:rFonts w:hint="eastAsia" w:ascii="Times New Roman" w:hAnsi="Times New Roman" w:eastAsia="宋体" w:cs="Times New Roman"/>
                <w:color w:val="auto"/>
                <w:sz w:val="24"/>
                <w:highlight w:val="none"/>
                <w:lang w:val="en-US" w:eastAsia="zh-CN"/>
              </w:rPr>
              <w:t>油墨使用量为0.05t/a，</w:t>
            </w:r>
            <w:r>
              <w:rPr>
                <w:rFonts w:hint="eastAsia" w:cs="Times New Roman"/>
                <w:color w:val="auto"/>
                <w:sz w:val="24"/>
                <w:highlight w:val="none"/>
                <w:lang w:val="en-US" w:eastAsia="zh-CN"/>
              </w:rPr>
              <w:t>则喷码废气产生量为0.0112t/a，</w:t>
            </w:r>
            <w:r>
              <w:rPr>
                <w:rFonts w:hint="eastAsia" w:cs="Times New Roman"/>
                <w:color w:val="auto"/>
                <w:kern w:val="2"/>
                <w:sz w:val="24"/>
                <w:highlight w:val="none"/>
                <w:lang w:val="en-US" w:eastAsia="zh-CN"/>
              </w:rPr>
              <w:t>喷码</w:t>
            </w:r>
            <w:r>
              <w:rPr>
                <w:rFonts w:hint="eastAsia" w:ascii="Times New Roman" w:hAnsi="Times New Roman" w:eastAsia="宋体" w:cs="Times New Roman"/>
                <w:color w:val="auto"/>
                <w:kern w:val="2"/>
                <w:sz w:val="24"/>
                <w:highlight w:val="none"/>
                <w:lang w:val="en-US" w:eastAsia="zh-CN"/>
              </w:rPr>
              <w:t>时间约</w:t>
            </w:r>
            <w:r>
              <w:rPr>
                <w:rFonts w:hint="eastAsia" w:cs="Times New Roman"/>
                <w:color w:val="auto"/>
                <w:kern w:val="2"/>
                <w:sz w:val="24"/>
                <w:highlight w:val="none"/>
                <w:lang w:val="en-US" w:eastAsia="zh-CN"/>
              </w:rPr>
              <w:t>6</w:t>
            </w:r>
            <w:r>
              <w:rPr>
                <w:rFonts w:hint="eastAsia" w:ascii="Times New Roman" w:hAnsi="Times New Roman" w:eastAsia="宋体" w:cs="Times New Roman"/>
                <w:color w:val="auto"/>
                <w:kern w:val="2"/>
                <w:sz w:val="24"/>
                <w:highlight w:val="none"/>
                <w:lang w:val="en-US" w:eastAsia="zh-CN"/>
              </w:rPr>
              <w:t>h/d，产生速率为</w:t>
            </w:r>
            <w:r>
              <w:rPr>
                <w:rFonts w:hint="eastAsia" w:cs="Times New Roman"/>
                <w:color w:val="auto"/>
                <w:kern w:val="2"/>
                <w:sz w:val="24"/>
                <w:highlight w:val="none"/>
                <w:lang w:val="en-US" w:eastAsia="zh-CN"/>
              </w:rPr>
              <w:t>0.0062</w:t>
            </w:r>
            <w:r>
              <w:rPr>
                <w:rFonts w:hint="eastAsia" w:ascii="Times New Roman" w:hAnsi="Times New Roman" w:eastAsia="宋体" w:cs="Times New Roman"/>
                <w:color w:val="auto"/>
                <w:kern w:val="2"/>
                <w:sz w:val="24"/>
                <w:highlight w:val="none"/>
                <w:lang w:val="en-US" w:eastAsia="zh-CN"/>
              </w:rPr>
              <w:t>kg/h。</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b/>
                <w:bCs/>
                <w:color w:val="auto"/>
                <w:kern w:val="2"/>
                <w:sz w:val="24"/>
                <w:highlight w:val="none"/>
                <w:lang w:val="en-US" w:eastAsia="zh-CN"/>
              </w:rPr>
              <w:t>治理措施：</w:t>
            </w:r>
            <w:r>
              <w:rPr>
                <w:rFonts w:hint="eastAsia" w:cs="Times New Roman"/>
                <w:b w:val="0"/>
                <w:bCs w:val="0"/>
                <w:color w:val="auto"/>
                <w:kern w:val="2"/>
                <w:sz w:val="24"/>
                <w:highlight w:val="none"/>
                <w:lang w:val="en-US" w:eastAsia="zh-CN"/>
              </w:rPr>
              <w:t>喷码废气产生量较少，</w:t>
            </w:r>
            <w:r>
              <w:rPr>
                <w:rFonts w:hint="eastAsia" w:ascii="Times New Roman" w:hAnsi="Times New Roman" w:eastAsia="宋体" w:cs="Times New Roman"/>
                <w:b w:val="0"/>
                <w:bCs w:val="0"/>
                <w:color w:val="auto"/>
                <w:kern w:val="2"/>
                <w:sz w:val="24"/>
                <w:highlight w:val="none"/>
                <w:lang w:val="en-US" w:eastAsia="zh-CN"/>
              </w:rPr>
              <w:t>无组织</w:t>
            </w:r>
            <w:r>
              <w:rPr>
                <w:rFonts w:hint="eastAsia" w:cs="Times New Roman"/>
                <w:b w:val="0"/>
                <w:bCs w:val="0"/>
                <w:color w:val="auto"/>
                <w:kern w:val="2"/>
                <w:sz w:val="24"/>
                <w:highlight w:val="none"/>
                <w:lang w:val="en-US" w:eastAsia="zh-CN"/>
              </w:rPr>
              <w:t>能达标</w:t>
            </w:r>
            <w:r>
              <w:rPr>
                <w:rFonts w:hint="eastAsia" w:ascii="Times New Roman" w:hAnsi="Times New Roman" w:eastAsia="宋体" w:cs="Times New Roman"/>
                <w:b w:val="0"/>
                <w:bCs w:val="0"/>
                <w:color w:val="auto"/>
                <w:kern w:val="2"/>
                <w:sz w:val="24"/>
                <w:highlight w:val="none"/>
                <w:lang w:val="en-US" w:eastAsia="zh-CN"/>
              </w:rPr>
              <w:t>排放，加强车间通风</w:t>
            </w:r>
            <w:r>
              <w:rPr>
                <w:rFonts w:hint="eastAsia" w:cs="Times New Roman"/>
                <w:b w:val="0"/>
                <w:bCs w:val="0"/>
                <w:color w:val="auto"/>
                <w:kern w:val="2"/>
                <w:sz w:val="24"/>
                <w:highlight w:val="none"/>
                <w:lang w:val="en-US" w:eastAsia="zh-CN"/>
              </w:rPr>
              <w:t>，对环境空气影响较小</w:t>
            </w:r>
            <w:r>
              <w:rPr>
                <w:rFonts w:hint="eastAsia" w:ascii="Times New Roman" w:hAnsi="Times New Roman" w:eastAsia="宋体" w:cs="Times New Roman"/>
                <w:b w:val="0"/>
                <w:bCs w:val="0"/>
                <w:color w:val="auto"/>
                <w:kern w:val="2"/>
                <w:sz w:val="24"/>
                <w:highlight w:val="none"/>
                <w:lang w:val="en-US" w:eastAsia="zh-CN"/>
              </w:rPr>
              <w:t>。</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eastAsia" w:ascii="Times New Roman" w:hAnsi="Times New Roman" w:eastAsia="宋体" w:cs="Times New Roman"/>
                <w:color w:val="auto"/>
                <w:kern w:val="2"/>
                <w:sz w:val="24"/>
                <w:highlight w:val="none"/>
                <w:lang w:eastAsia="zh-CN"/>
              </w:rPr>
            </w:pPr>
            <w:r>
              <w:rPr>
                <w:rFonts w:hint="eastAsia" w:ascii="Times New Roman" w:hAnsi="Times New Roman" w:eastAsia="宋体" w:cs="Times New Roman"/>
                <w:b/>
                <w:bCs/>
                <w:color w:val="auto"/>
                <w:kern w:val="2"/>
                <w:sz w:val="24"/>
                <w:highlight w:val="none"/>
                <w:lang w:eastAsia="zh-CN"/>
              </w:rPr>
              <w:t>（</w:t>
            </w:r>
            <w:r>
              <w:rPr>
                <w:rFonts w:hint="eastAsia" w:ascii="Times New Roman" w:hAnsi="Times New Roman" w:eastAsia="宋体" w:cs="Times New Roman"/>
                <w:b/>
                <w:bCs/>
                <w:color w:val="auto"/>
                <w:kern w:val="2"/>
                <w:sz w:val="24"/>
                <w:highlight w:val="none"/>
                <w:lang w:val="en-US" w:eastAsia="zh-CN"/>
              </w:rPr>
              <w:t>7</w:t>
            </w:r>
            <w:r>
              <w:rPr>
                <w:rFonts w:hint="eastAsia" w:ascii="Times New Roman" w:hAnsi="Times New Roman" w:eastAsia="宋体" w:cs="Times New Roman"/>
                <w:b/>
                <w:bCs/>
                <w:color w:val="auto"/>
                <w:kern w:val="2"/>
                <w:sz w:val="24"/>
                <w:highlight w:val="none"/>
                <w:lang w:eastAsia="zh-CN"/>
              </w:rPr>
              <w:t>）</w:t>
            </w:r>
            <w:r>
              <w:rPr>
                <w:rFonts w:hint="eastAsia" w:ascii="Times New Roman" w:hAnsi="Times New Roman" w:eastAsia="宋体" w:cs="Times New Roman"/>
                <w:b/>
                <w:bCs/>
                <w:color w:val="auto"/>
                <w:kern w:val="2"/>
                <w:sz w:val="24"/>
                <w:highlight w:val="none"/>
                <w:lang w:val="en-US" w:eastAsia="zh-CN"/>
              </w:rPr>
              <w:t>热封废气</w:t>
            </w:r>
          </w:p>
          <w:p>
            <w:pPr>
              <w:keepNext w:val="0"/>
              <w:keepLines w:val="0"/>
              <w:pageBreakBefore w:val="0"/>
              <w:widowControl w:val="0"/>
              <w:kinsoku/>
              <w:wordWrap/>
              <w:overflowPunct/>
              <w:topLinePunct w:val="0"/>
              <w:autoSpaceDE/>
              <w:autoSpaceDN/>
              <w:bidi w:val="0"/>
              <w:spacing w:after="0" w:line="360" w:lineRule="auto"/>
              <w:ind w:firstLine="480" w:firstLineChars="200"/>
              <w:rPr>
                <w:color w:val="auto"/>
                <w:sz w:val="24"/>
                <w:highlight w:val="none"/>
              </w:rPr>
            </w:pPr>
            <w:r>
              <w:rPr>
                <w:rFonts w:hint="eastAsia"/>
                <w:color w:val="auto"/>
                <w:sz w:val="24"/>
                <w:highlight w:val="none"/>
              </w:rPr>
              <w:t>本项目</w:t>
            </w:r>
            <w:r>
              <w:rPr>
                <w:rFonts w:hint="eastAsia"/>
                <w:color w:val="auto"/>
                <w:sz w:val="24"/>
                <w:highlight w:val="none"/>
                <w:lang w:val="en-US" w:eastAsia="zh-CN"/>
              </w:rPr>
              <w:t>抽空前进行热封</w:t>
            </w:r>
            <w:r>
              <w:rPr>
                <w:rFonts w:hint="eastAsia"/>
                <w:color w:val="auto"/>
                <w:sz w:val="24"/>
                <w:highlight w:val="none"/>
              </w:rPr>
              <w:t>，</w:t>
            </w:r>
            <w:r>
              <w:rPr>
                <w:rFonts w:hint="eastAsia"/>
                <w:color w:val="auto"/>
                <w:sz w:val="24"/>
                <w:highlight w:val="none"/>
                <w:lang w:val="en-US" w:eastAsia="zh-CN"/>
              </w:rPr>
              <w:t>热封</w:t>
            </w:r>
            <w:r>
              <w:rPr>
                <w:color w:val="auto"/>
                <w:sz w:val="24"/>
                <w:highlight w:val="none"/>
              </w:rPr>
              <w:t>过程中温度约1</w:t>
            </w:r>
            <w:r>
              <w:rPr>
                <w:rFonts w:hint="eastAsia"/>
                <w:color w:val="auto"/>
                <w:sz w:val="24"/>
                <w:highlight w:val="none"/>
                <w:lang w:val="en-US" w:eastAsia="zh-CN"/>
              </w:rPr>
              <w:t>5</w:t>
            </w:r>
            <w:r>
              <w:rPr>
                <w:color w:val="auto"/>
                <w:sz w:val="24"/>
                <w:highlight w:val="none"/>
              </w:rPr>
              <w:t>0℃，</w:t>
            </w:r>
            <w:r>
              <w:rPr>
                <w:rFonts w:hint="eastAsia"/>
                <w:color w:val="auto"/>
                <w:sz w:val="24"/>
                <w:highlight w:val="none"/>
                <w:lang w:val="en-US" w:eastAsia="zh-CN"/>
              </w:rPr>
              <w:t>塑料</w:t>
            </w:r>
            <w:r>
              <w:rPr>
                <w:color w:val="auto"/>
                <w:sz w:val="24"/>
                <w:highlight w:val="none"/>
              </w:rPr>
              <w:t>不会进行裂解，</w:t>
            </w:r>
            <w:r>
              <w:rPr>
                <w:rFonts w:hint="eastAsia"/>
                <w:color w:val="auto"/>
                <w:sz w:val="24"/>
                <w:highlight w:val="none"/>
              </w:rPr>
              <w:t>少量未聚合的单体在高温下会有部分挥发出来，产生少量有机</w:t>
            </w:r>
            <w:r>
              <w:rPr>
                <w:rFonts w:hint="eastAsia"/>
                <w:color w:val="auto"/>
                <w:sz w:val="24"/>
                <w:highlight w:val="none"/>
                <w:lang w:val="en-US" w:eastAsia="zh-CN"/>
              </w:rPr>
              <w:t>废气</w:t>
            </w:r>
            <w:r>
              <w:rPr>
                <w:color w:val="auto"/>
                <w:sz w:val="24"/>
                <w:highlight w:val="none"/>
              </w:rPr>
              <w:t>，本次评价仅对</w:t>
            </w:r>
            <w:r>
              <w:rPr>
                <w:rFonts w:hint="eastAsia"/>
                <w:color w:val="auto"/>
                <w:sz w:val="24"/>
                <w:highlight w:val="none"/>
              </w:rPr>
              <w:t>热封废气</w:t>
            </w:r>
            <w:r>
              <w:rPr>
                <w:color w:val="auto"/>
                <w:sz w:val="24"/>
                <w:highlight w:val="none"/>
              </w:rPr>
              <w:t>进行定性分析。</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b/>
                <w:bCs/>
                <w:color w:val="auto"/>
                <w:kern w:val="2"/>
                <w:sz w:val="24"/>
                <w:highlight w:val="none"/>
                <w:lang w:val="en-US" w:eastAsia="zh-CN"/>
              </w:rPr>
              <w:t>治理措施：</w:t>
            </w:r>
            <w:r>
              <w:rPr>
                <w:rFonts w:hint="eastAsia" w:ascii="Times New Roman" w:hAnsi="Times New Roman" w:eastAsia="宋体" w:cs="Times New Roman"/>
                <w:b w:val="0"/>
                <w:bCs w:val="0"/>
                <w:color w:val="auto"/>
                <w:kern w:val="2"/>
                <w:sz w:val="24"/>
                <w:highlight w:val="none"/>
                <w:lang w:val="en-US" w:eastAsia="zh-CN"/>
              </w:rPr>
              <w:t>无组织排放，加强车间通风。</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b/>
                <w:bCs/>
                <w:color w:val="auto"/>
                <w:kern w:val="2"/>
                <w:sz w:val="24"/>
                <w:highlight w:val="none"/>
                <w:lang w:eastAsia="zh-CN"/>
              </w:rPr>
              <w:t>（</w:t>
            </w:r>
            <w:r>
              <w:rPr>
                <w:rFonts w:hint="eastAsia" w:ascii="Times New Roman" w:hAnsi="Times New Roman" w:eastAsia="宋体" w:cs="Times New Roman"/>
                <w:b/>
                <w:bCs/>
                <w:color w:val="auto"/>
                <w:kern w:val="2"/>
                <w:sz w:val="24"/>
                <w:highlight w:val="none"/>
                <w:lang w:val="en-US" w:eastAsia="zh-CN"/>
              </w:rPr>
              <w:t>8</w:t>
            </w:r>
            <w:r>
              <w:rPr>
                <w:rFonts w:hint="eastAsia" w:ascii="Times New Roman" w:hAnsi="Times New Roman" w:eastAsia="宋体" w:cs="Times New Roman"/>
                <w:b/>
                <w:bCs/>
                <w:color w:val="auto"/>
                <w:kern w:val="2"/>
                <w:sz w:val="24"/>
                <w:highlight w:val="none"/>
                <w:lang w:eastAsia="zh-CN"/>
              </w:rPr>
              <w:t>）</w:t>
            </w:r>
            <w:r>
              <w:rPr>
                <w:rFonts w:hint="eastAsia" w:ascii="Times New Roman" w:hAnsi="Times New Roman" w:eastAsia="宋体" w:cs="Times New Roman"/>
                <w:b/>
                <w:bCs/>
                <w:color w:val="auto"/>
                <w:kern w:val="2"/>
                <w:sz w:val="24"/>
                <w:highlight w:val="none"/>
                <w:lang w:val="en-US" w:eastAsia="zh-CN"/>
              </w:rPr>
              <w:t>酒精擦拭废气</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lang w:val="en-US" w:eastAsia="zh-CN"/>
              </w:rPr>
              <w:t>本项目使用酒精进行擦拭、消毒工具和台面等，会挥发出有机废气，以VOCs计、根据酒精的性质，按100%挥发计，本项目酒精用量为0.4t/a，则酒精擦拭废气产生量为0.4t/a，擦拭时间约4h/d，产生速率为0.3333kg/h。</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eastAsia"/>
                <w:color w:val="auto"/>
                <w:sz w:val="24"/>
                <w:highlight w:val="none"/>
              </w:rPr>
            </w:pPr>
            <w:r>
              <w:rPr>
                <w:rFonts w:hint="eastAsia" w:ascii="Times New Roman" w:hAnsi="Times New Roman" w:eastAsia="宋体" w:cs="Times New Roman"/>
                <w:b/>
                <w:bCs/>
                <w:color w:val="auto"/>
                <w:kern w:val="2"/>
                <w:sz w:val="24"/>
                <w:highlight w:val="none"/>
                <w:lang w:val="en-US" w:eastAsia="zh-CN"/>
              </w:rPr>
              <w:t>治理措施：</w:t>
            </w:r>
            <w:r>
              <w:rPr>
                <w:rFonts w:hint="eastAsia" w:ascii="Times New Roman" w:hAnsi="Times New Roman" w:eastAsia="宋体" w:cs="Times New Roman"/>
                <w:b w:val="0"/>
                <w:bCs w:val="0"/>
                <w:color w:val="auto"/>
                <w:kern w:val="2"/>
                <w:sz w:val="24"/>
                <w:highlight w:val="none"/>
                <w:lang w:val="en-US" w:eastAsia="zh-CN"/>
              </w:rPr>
              <w:t>本项目酒精擦拭废气产生量较小，且擦拭点分散，</w:t>
            </w:r>
            <w:r>
              <w:rPr>
                <w:rFonts w:hint="eastAsia"/>
                <w:color w:val="auto"/>
                <w:sz w:val="24"/>
                <w:highlight w:val="none"/>
              </w:rPr>
              <w:t>无法集中收集处理，通过加强车间通风，无组织排放。</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eastAsia="宋体"/>
                <w:b/>
                <w:bCs/>
                <w:color w:val="auto"/>
                <w:sz w:val="24"/>
                <w:highlight w:val="none"/>
                <w:lang w:val="en-US" w:eastAsia="zh-CN"/>
              </w:rPr>
            </w:pPr>
            <w:r>
              <w:rPr>
                <w:rFonts w:hint="eastAsia"/>
                <w:b/>
                <w:bCs/>
                <w:color w:val="auto"/>
                <w:sz w:val="24"/>
                <w:highlight w:val="none"/>
                <w:lang w:eastAsia="zh-CN"/>
              </w:rPr>
              <w:t>（</w:t>
            </w:r>
            <w:r>
              <w:rPr>
                <w:rFonts w:hint="eastAsia"/>
                <w:b/>
                <w:bCs/>
                <w:color w:val="auto"/>
                <w:sz w:val="24"/>
                <w:highlight w:val="none"/>
                <w:lang w:val="en-US" w:eastAsia="zh-CN"/>
              </w:rPr>
              <w:t>9</w:t>
            </w:r>
            <w:r>
              <w:rPr>
                <w:rFonts w:hint="eastAsia"/>
                <w:b/>
                <w:bCs/>
                <w:color w:val="auto"/>
                <w:sz w:val="24"/>
                <w:highlight w:val="none"/>
                <w:lang w:eastAsia="zh-CN"/>
              </w:rPr>
              <w:t>）</w:t>
            </w:r>
            <w:r>
              <w:rPr>
                <w:rFonts w:hint="eastAsia"/>
                <w:b/>
                <w:bCs/>
                <w:color w:val="auto"/>
                <w:sz w:val="24"/>
                <w:highlight w:val="none"/>
                <w:lang w:val="en-US" w:eastAsia="zh-CN"/>
              </w:rPr>
              <w:t>臭氧消毒废气</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本项目包装车间使用臭氧进行消毒，会产生臭氧废气，产生量较小，且臭氧在空气中会分解为氧气，因此，</w:t>
            </w:r>
            <w:r>
              <w:rPr>
                <w:rFonts w:hint="eastAsia" w:ascii="Times New Roman" w:hAnsi="Times New Roman" w:eastAsia="宋体" w:cs="Times New Roman"/>
                <w:color w:val="auto"/>
                <w:sz w:val="24"/>
                <w:highlight w:val="none"/>
                <w:lang w:val="en-US" w:eastAsia="zh-CN"/>
              </w:rPr>
              <w:t>本次环评仅定性分析。</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color w:val="auto"/>
                <w:sz w:val="24"/>
                <w:highlight w:val="none"/>
                <w:lang w:val="en-US" w:eastAsia="zh-CN"/>
              </w:rPr>
            </w:pPr>
            <w:r>
              <w:rPr>
                <w:rFonts w:hint="eastAsia" w:ascii="Times New Roman" w:hAnsi="Times New Roman" w:eastAsia="宋体" w:cs="Times New Roman"/>
                <w:b/>
                <w:bCs/>
                <w:color w:val="auto"/>
                <w:kern w:val="2"/>
                <w:sz w:val="24"/>
                <w:highlight w:val="none"/>
                <w:lang w:val="en-US" w:eastAsia="zh-CN"/>
              </w:rPr>
              <w:t>治理措施：</w:t>
            </w:r>
            <w:r>
              <w:rPr>
                <w:rFonts w:hint="eastAsia" w:ascii="Times New Roman" w:hAnsi="Times New Roman" w:eastAsia="宋体" w:cs="Times New Roman"/>
                <w:b w:val="0"/>
                <w:bCs w:val="0"/>
                <w:color w:val="auto"/>
                <w:kern w:val="2"/>
                <w:sz w:val="24"/>
                <w:highlight w:val="none"/>
                <w:lang w:val="en-US" w:eastAsia="zh-CN"/>
              </w:rPr>
              <w:t>无组织排放，加强车间通风。</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ascii="Times New Roman" w:hAnsi="Times New Roman" w:eastAsia="宋体" w:cs="Times New Roman"/>
                <w:b/>
                <w:bCs/>
                <w:color w:val="auto"/>
                <w:kern w:val="2"/>
                <w:sz w:val="24"/>
                <w:highlight w:val="none"/>
                <w:lang w:val="en-US" w:eastAsia="zh-CN"/>
              </w:rPr>
            </w:pPr>
            <w:r>
              <w:rPr>
                <w:rFonts w:hint="eastAsia" w:ascii="Times New Roman" w:hAnsi="Times New Roman" w:eastAsia="宋体" w:cs="Times New Roman"/>
                <w:b/>
                <w:bCs/>
                <w:color w:val="auto"/>
                <w:kern w:val="2"/>
                <w:sz w:val="24"/>
                <w:highlight w:val="none"/>
                <w:lang w:eastAsia="zh-CN"/>
              </w:rPr>
              <w:t>（</w:t>
            </w:r>
            <w:r>
              <w:rPr>
                <w:rFonts w:hint="eastAsia" w:ascii="Times New Roman" w:hAnsi="Times New Roman" w:eastAsia="宋体" w:cs="Times New Roman"/>
                <w:b/>
                <w:bCs/>
                <w:color w:val="auto"/>
                <w:kern w:val="2"/>
                <w:sz w:val="24"/>
                <w:highlight w:val="none"/>
                <w:lang w:val="en-US" w:eastAsia="zh-CN"/>
              </w:rPr>
              <w:t>10</w:t>
            </w:r>
            <w:r>
              <w:rPr>
                <w:rFonts w:hint="eastAsia" w:ascii="Times New Roman" w:hAnsi="Times New Roman" w:eastAsia="宋体" w:cs="Times New Roman"/>
                <w:b/>
                <w:bCs/>
                <w:color w:val="auto"/>
                <w:kern w:val="2"/>
                <w:sz w:val="24"/>
                <w:highlight w:val="none"/>
                <w:lang w:eastAsia="zh-CN"/>
              </w:rPr>
              <w:t>）</w:t>
            </w:r>
            <w:r>
              <w:rPr>
                <w:rFonts w:hint="eastAsia" w:ascii="Times New Roman" w:hAnsi="Times New Roman" w:eastAsia="宋体" w:cs="Times New Roman"/>
                <w:b/>
                <w:bCs/>
                <w:color w:val="auto"/>
                <w:kern w:val="2"/>
                <w:sz w:val="24"/>
                <w:highlight w:val="none"/>
                <w:lang w:val="en-US" w:eastAsia="zh-CN"/>
              </w:rPr>
              <w:t>污水处理站恶臭</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lang w:val="en-US" w:eastAsia="zh-CN"/>
              </w:rPr>
              <w:t>本项目依托</w:t>
            </w:r>
            <w:r>
              <w:rPr>
                <w:rFonts w:hint="eastAsia" w:cs="Times New Roman"/>
                <w:bCs/>
                <w:color w:val="auto"/>
                <w:sz w:val="24"/>
                <w:highlight w:val="none"/>
                <w:lang w:val="en-US" w:eastAsia="zh-CN"/>
              </w:rPr>
              <w:t>现有项目</w:t>
            </w:r>
            <w:r>
              <w:rPr>
                <w:rFonts w:hint="eastAsia" w:ascii="Times New Roman" w:hAnsi="Times New Roman" w:eastAsia="宋体" w:cs="Times New Roman"/>
                <w:color w:val="auto"/>
                <w:kern w:val="2"/>
                <w:sz w:val="24"/>
                <w:highlight w:val="none"/>
                <w:lang w:val="en-US" w:eastAsia="zh-CN"/>
              </w:rPr>
              <w:t>已建污水处理站，</w:t>
            </w:r>
            <w:r>
              <w:rPr>
                <w:rFonts w:hint="eastAsia"/>
                <w:bCs/>
                <w:color w:val="auto"/>
                <w:sz w:val="24"/>
                <w:highlight w:val="none"/>
              </w:rPr>
              <w:t>污水处理过程中产生的废气主要为硫化氢、氨</w:t>
            </w:r>
            <w:r>
              <w:rPr>
                <w:rFonts w:hint="eastAsia"/>
                <w:bCs/>
                <w:color w:val="auto"/>
                <w:sz w:val="24"/>
                <w:highlight w:val="none"/>
                <w:lang w:eastAsia="zh-CN"/>
              </w:rPr>
              <w:t>、</w:t>
            </w:r>
            <w:r>
              <w:rPr>
                <w:rFonts w:hint="eastAsia"/>
                <w:bCs/>
                <w:color w:val="auto"/>
                <w:sz w:val="24"/>
                <w:highlight w:val="none"/>
                <w:lang w:val="en-US" w:eastAsia="zh-CN"/>
              </w:rPr>
              <w:t>臭气浓度</w:t>
            </w:r>
            <w:r>
              <w:rPr>
                <w:rFonts w:hint="eastAsia"/>
                <w:bCs/>
                <w:color w:val="auto"/>
                <w:sz w:val="24"/>
                <w:highlight w:val="none"/>
              </w:rPr>
              <w:t>等。根据美国EPA对城市污水处理厂恶臭污染物产生情况的研究，每处理1g的BOD</w:t>
            </w:r>
            <w:r>
              <w:rPr>
                <w:rFonts w:hint="eastAsia"/>
                <w:bCs/>
                <w:color w:val="auto"/>
                <w:sz w:val="24"/>
                <w:highlight w:val="none"/>
                <w:vertAlign w:val="subscript"/>
              </w:rPr>
              <w:t>5</w:t>
            </w:r>
            <w:r>
              <w:rPr>
                <w:rFonts w:hint="eastAsia"/>
                <w:bCs/>
                <w:color w:val="auto"/>
                <w:sz w:val="24"/>
                <w:highlight w:val="none"/>
              </w:rPr>
              <w:t>，可产生0.0031g的NH</w:t>
            </w:r>
            <w:r>
              <w:rPr>
                <w:rFonts w:hint="eastAsia"/>
                <w:bCs/>
                <w:color w:val="auto"/>
                <w:sz w:val="24"/>
                <w:highlight w:val="none"/>
                <w:vertAlign w:val="subscript"/>
              </w:rPr>
              <w:t>3</w:t>
            </w:r>
            <w:r>
              <w:rPr>
                <w:rFonts w:hint="eastAsia"/>
                <w:bCs/>
                <w:color w:val="auto"/>
                <w:sz w:val="24"/>
                <w:highlight w:val="none"/>
              </w:rPr>
              <w:t>和0.00012g的H</w:t>
            </w:r>
            <w:r>
              <w:rPr>
                <w:rFonts w:hint="eastAsia"/>
                <w:bCs/>
                <w:color w:val="auto"/>
                <w:sz w:val="24"/>
                <w:highlight w:val="none"/>
                <w:vertAlign w:val="subscript"/>
              </w:rPr>
              <w:t>2</w:t>
            </w:r>
            <w:r>
              <w:rPr>
                <w:rFonts w:hint="eastAsia"/>
                <w:bCs/>
                <w:color w:val="auto"/>
                <w:sz w:val="24"/>
                <w:highlight w:val="none"/>
              </w:rPr>
              <w:t>S，</w:t>
            </w:r>
            <w:r>
              <w:rPr>
                <w:rFonts w:hint="eastAsia"/>
                <w:bCs/>
                <w:color w:val="auto"/>
                <w:sz w:val="24"/>
                <w:highlight w:val="none"/>
                <w:lang w:val="en-US" w:eastAsia="zh-CN"/>
              </w:rPr>
              <w:t>根据计算</w:t>
            </w:r>
            <w:r>
              <w:rPr>
                <w:rFonts w:hint="eastAsia"/>
                <w:bCs/>
                <w:color w:val="auto"/>
                <w:sz w:val="24"/>
                <w:highlight w:val="none"/>
              </w:rPr>
              <w:t>，</w:t>
            </w:r>
            <w:r>
              <w:rPr>
                <w:rFonts w:hint="eastAsia"/>
                <w:bCs/>
                <w:color w:val="auto"/>
                <w:sz w:val="24"/>
                <w:highlight w:val="none"/>
                <w:lang w:val="en-US" w:eastAsia="zh-CN"/>
              </w:rPr>
              <w:t>本项目</w:t>
            </w:r>
            <w:r>
              <w:rPr>
                <w:rFonts w:hint="eastAsia"/>
                <w:bCs/>
                <w:color w:val="auto"/>
                <w:sz w:val="24"/>
                <w:highlight w:val="none"/>
              </w:rPr>
              <w:t>BOD</w:t>
            </w:r>
            <w:r>
              <w:rPr>
                <w:rFonts w:hint="eastAsia"/>
                <w:bCs/>
                <w:color w:val="auto"/>
                <w:sz w:val="24"/>
                <w:highlight w:val="none"/>
                <w:vertAlign w:val="subscript"/>
              </w:rPr>
              <w:t>5</w:t>
            </w:r>
            <w:r>
              <w:rPr>
                <w:color w:val="auto"/>
                <w:sz w:val="24"/>
                <w:highlight w:val="none"/>
              </w:rPr>
              <w:t>去除量为</w:t>
            </w:r>
            <w:r>
              <w:rPr>
                <w:rFonts w:hint="eastAsia"/>
                <w:color w:val="auto"/>
                <w:sz w:val="24"/>
                <w:highlight w:val="none"/>
                <w:lang w:val="en-US" w:eastAsia="zh-CN"/>
              </w:rPr>
              <w:t>33.2668</w:t>
            </w:r>
            <w:r>
              <w:rPr>
                <w:color w:val="auto"/>
                <w:sz w:val="24"/>
                <w:highlight w:val="none"/>
              </w:rPr>
              <w:t>t/a，则NH</w:t>
            </w:r>
            <w:r>
              <w:rPr>
                <w:color w:val="auto"/>
                <w:sz w:val="24"/>
                <w:highlight w:val="none"/>
                <w:vertAlign w:val="subscript"/>
              </w:rPr>
              <w:t>3</w:t>
            </w:r>
            <w:r>
              <w:rPr>
                <w:color w:val="auto"/>
                <w:sz w:val="24"/>
                <w:highlight w:val="none"/>
              </w:rPr>
              <w:t>产生量为</w:t>
            </w:r>
            <w:r>
              <w:rPr>
                <w:rFonts w:hint="eastAsia"/>
                <w:color w:val="auto"/>
                <w:sz w:val="24"/>
                <w:highlight w:val="none"/>
                <w:lang w:val="en-US" w:eastAsia="zh-CN"/>
              </w:rPr>
              <w:t>0.1031</w:t>
            </w:r>
            <w:r>
              <w:rPr>
                <w:color w:val="auto"/>
                <w:sz w:val="24"/>
                <w:highlight w:val="none"/>
              </w:rPr>
              <w:t>t/a、H</w:t>
            </w:r>
            <w:r>
              <w:rPr>
                <w:color w:val="auto"/>
                <w:sz w:val="24"/>
                <w:highlight w:val="none"/>
                <w:vertAlign w:val="subscript"/>
              </w:rPr>
              <w:t>2</w:t>
            </w:r>
            <w:r>
              <w:rPr>
                <w:color w:val="auto"/>
                <w:sz w:val="24"/>
                <w:highlight w:val="none"/>
              </w:rPr>
              <w:t>S产生量为</w:t>
            </w:r>
            <w:r>
              <w:rPr>
                <w:rFonts w:hint="eastAsia"/>
                <w:color w:val="auto"/>
                <w:sz w:val="24"/>
                <w:highlight w:val="none"/>
                <w:lang w:val="en-US" w:eastAsia="zh-CN"/>
              </w:rPr>
              <w:t>0.004</w:t>
            </w:r>
            <w:r>
              <w:rPr>
                <w:color w:val="auto"/>
                <w:sz w:val="24"/>
                <w:highlight w:val="none"/>
              </w:rPr>
              <w:t>t/a。污水处理站的发酵过程不会随生产暂停而停止，因此，恶臭气体的产生为连续产生，产生时间按</w:t>
            </w:r>
            <w:r>
              <w:rPr>
                <w:rFonts w:hint="eastAsia"/>
                <w:color w:val="auto"/>
                <w:sz w:val="24"/>
                <w:highlight w:val="none"/>
                <w:lang w:val="en-US" w:eastAsia="zh-CN"/>
              </w:rPr>
              <w:t>一年</w:t>
            </w:r>
            <w:r>
              <w:rPr>
                <w:color w:val="auto"/>
                <w:sz w:val="24"/>
                <w:highlight w:val="none"/>
              </w:rPr>
              <w:t>8760小时计。</w:t>
            </w:r>
            <w:r>
              <w:rPr>
                <w:rFonts w:hint="eastAsia"/>
                <w:color w:val="auto"/>
                <w:sz w:val="24"/>
                <w:highlight w:val="none"/>
              </w:rPr>
              <w:t>则</w:t>
            </w:r>
            <w:r>
              <w:rPr>
                <w:color w:val="auto"/>
                <w:sz w:val="24"/>
                <w:highlight w:val="none"/>
              </w:rPr>
              <w:t>NH</w:t>
            </w:r>
            <w:r>
              <w:rPr>
                <w:color w:val="auto"/>
                <w:sz w:val="24"/>
                <w:highlight w:val="none"/>
                <w:vertAlign w:val="subscript"/>
              </w:rPr>
              <w:t>3</w:t>
            </w:r>
            <w:r>
              <w:rPr>
                <w:color w:val="auto"/>
                <w:sz w:val="24"/>
                <w:highlight w:val="none"/>
              </w:rPr>
              <w:t>产生</w:t>
            </w:r>
            <w:r>
              <w:rPr>
                <w:rFonts w:hint="eastAsia"/>
                <w:color w:val="auto"/>
                <w:sz w:val="24"/>
                <w:highlight w:val="none"/>
              </w:rPr>
              <w:t>速率</w:t>
            </w:r>
            <w:r>
              <w:rPr>
                <w:color w:val="auto"/>
                <w:sz w:val="24"/>
                <w:highlight w:val="none"/>
              </w:rPr>
              <w:t>为</w:t>
            </w:r>
            <w:r>
              <w:rPr>
                <w:rFonts w:hint="eastAsia"/>
                <w:color w:val="auto"/>
                <w:sz w:val="24"/>
                <w:highlight w:val="none"/>
                <w:lang w:val="en-US" w:eastAsia="zh-CN"/>
              </w:rPr>
              <w:t>0.0118</w:t>
            </w:r>
            <w:r>
              <w:rPr>
                <w:color w:val="auto"/>
                <w:sz w:val="24"/>
                <w:highlight w:val="none"/>
              </w:rPr>
              <w:t>kg/h、H</w:t>
            </w:r>
            <w:r>
              <w:rPr>
                <w:color w:val="auto"/>
                <w:sz w:val="24"/>
                <w:highlight w:val="none"/>
                <w:vertAlign w:val="subscript"/>
              </w:rPr>
              <w:t>2</w:t>
            </w:r>
            <w:r>
              <w:rPr>
                <w:color w:val="auto"/>
                <w:sz w:val="24"/>
                <w:highlight w:val="none"/>
              </w:rPr>
              <w:t>S产生</w:t>
            </w:r>
            <w:r>
              <w:rPr>
                <w:rFonts w:hint="eastAsia"/>
                <w:color w:val="auto"/>
                <w:sz w:val="24"/>
                <w:highlight w:val="none"/>
              </w:rPr>
              <w:t>速率</w:t>
            </w:r>
            <w:r>
              <w:rPr>
                <w:color w:val="auto"/>
                <w:sz w:val="24"/>
                <w:highlight w:val="none"/>
              </w:rPr>
              <w:t>为</w:t>
            </w:r>
            <w:r>
              <w:rPr>
                <w:rFonts w:hint="eastAsia"/>
                <w:color w:val="auto"/>
                <w:sz w:val="24"/>
                <w:highlight w:val="none"/>
                <w:lang w:val="en-US" w:eastAsia="zh-CN"/>
              </w:rPr>
              <w:t>0.0005</w:t>
            </w:r>
            <w:r>
              <w:rPr>
                <w:color w:val="auto"/>
                <w:sz w:val="24"/>
                <w:highlight w:val="none"/>
              </w:rPr>
              <w:t>kg/h</w:t>
            </w:r>
            <w:r>
              <w:rPr>
                <w:rFonts w:hint="eastAsia"/>
                <w:color w:val="auto"/>
                <w:sz w:val="24"/>
                <w:highlight w:val="none"/>
              </w:rPr>
              <w:t>。</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ascii="Times New Roman" w:hAnsi="Times New Roman" w:eastAsia="宋体" w:cs="Times New Roman"/>
                <w:color w:val="auto"/>
                <w:kern w:val="2"/>
                <w:sz w:val="24"/>
                <w:highlight w:val="none"/>
                <w:lang w:val="en-US" w:eastAsia="zh-CN"/>
              </w:rPr>
            </w:pPr>
            <w:r>
              <w:rPr>
                <w:rFonts w:hint="eastAsia"/>
                <w:b/>
                <w:bCs/>
                <w:color w:val="auto"/>
                <w:sz w:val="24"/>
                <w:szCs w:val="24"/>
                <w:highlight w:val="none"/>
                <w:lang w:val="en-US" w:eastAsia="zh-CN"/>
              </w:rPr>
              <w:t>现有治理措施：</w:t>
            </w:r>
            <w:r>
              <w:rPr>
                <w:rFonts w:hint="eastAsia" w:ascii="Times New Roman" w:hAnsi="Times New Roman" w:eastAsia="宋体" w:cs="Times New Roman"/>
                <w:color w:val="auto"/>
                <w:sz w:val="24"/>
                <w:highlight w:val="none"/>
                <w:lang w:val="en-US" w:eastAsia="zh-CN"/>
              </w:rPr>
              <w:t>污水处理站加盖板密闭，盖板上预留进、出气口，并在周围种植绿化带，通过植物的吸附和阻隔，降低恶臭影响。</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b/>
                <w:bCs/>
                <w:color w:val="auto"/>
                <w:kern w:val="0"/>
                <w:sz w:val="24"/>
                <w:highlight w:val="none"/>
                <w:lang w:val="en-US" w:eastAsia="zh-CN"/>
              </w:rPr>
            </w:pPr>
            <w:r>
              <w:rPr>
                <w:rFonts w:hint="eastAsia"/>
                <w:b/>
                <w:bCs/>
                <w:color w:val="auto"/>
                <w:kern w:val="0"/>
                <w:sz w:val="24"/>
                <w:highlight w:val="none"/>
                <w:lang w:val="en-US" w:eastAsia="zh-CN"/>
              </w:rPr>
              <w:t>存在的问题：</w:t>
            </w:r>
            <w:r>
              <w:rPr>
                <w:rFonts w:hint="eastAsia"/>
                <w:b w:val="0"/>
                <w:bCs w:val="0"/>
                <w:color w:val="auto"/>
                <w:kern w:val="0"/>
                <w:sz w:val="24"/>
                <w:highlight w:val="none"/>
                <w:lang w:val="en-US" w:eastAsia="zh-CN"/>
              </w:rPr>
              <w:t>目前污水处理站无除臭措施。</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eastAsia" w:eastAsia="宋体"/>
                <w:b/>
                <w:bCs/>
                <w:color w:val="auto"/>
                <w:kern w:val="0"/>
                <w:sz w:val="24"/>
                <w:highlight w:val="none"/>
                <w:lang w:val="en-US" w:eastAsia="zh-CN"/>
              </w:rPr>
            </w:pPr>
            <w:r>
              <w:rPr>
                <w:rFonts w:hint="eastAsia"/>
                <w:b/>
                <w:bCs/>
                <w:color w:val="auto"/>
                <w:kern w:val="0"/>
                <w:sz w:val="24"/>
                <w:highlight w:val="none"/>
                <w:lang w:val="en-US" w:eastAsia="zh-CN"/>
              </w:rPr>
              <w:t>整改</w:t>
            </w:r>
            <w:r>
              <w:rPr>
                <w:rFonts w:hint="eastAsia"/>
                <w:b/>
                <w:bCs/>
                <w:color w:val="auto"/>
                <w:kern w:val="0"/>
                <w:sz w:val="24"/>
                <w:highlight w:val="none"/>
              </w:rPr>
              <w:t>措施：</w:t>
            </w:r>
            <w:r>
              <w:rPr>
                <w:rFonts w:hint="eastAsia"/>
                <w:b w:val="0"/>
                <w:bCs w:val="0"/>
                <w:color w:val="auto"/>
                <w:kern w:val="0"/>
                <w:sz w:val="24"/>
                <w:highlight w:val="none"/>
                <w:lang w:val="en-US" w:eastAsia="zh-CN"/>
              </w:rPr>
              <w:t>在污水处理站周边喷洒生物除臭剂，进一步降低恶臭影响。</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ascii="Times New Roman" w:hAnsi="Times New Roman" w:eastAsia="宋体" w:cs="Times New Roman"/>
                <w:b/>
                <w:bCs/>
                <w:color w:val="auto"/>
                <w:kern w:val="2"/>
                <w:sz w:val="24"/>
                <w:highlight w:val="none"/>
                <w:lang w:val="en-US" w:eastAsia="zh-CN"/>
              </w:rPr>
            </w:pPr>
            <w:r>
              <w:rPr>
                <w:rFonts w:hint="eastAsia" w:ascii="Times New Roman" w:hAnsi="Times New Roman" w:eastAsia="宋体" w:cs="Times New Roman"/>
                <w:b/>
                <w:bCs/>
                <w:color w:val="auto"/>
                <w:kern w:val="2"/>
                <w:sz w:val="24"/>
                <w:highlight w:val="none"/>
                <w:lang w:eastAsia="zh-CN"/>
              </w:rPr>
              <w:t>（</w:t>
            </w:r>
            <w:r>
              <w:rPr>
                <w:rFonts w:hint="eastAsia" w:ascii="Times New Roman" w:hAnsi="Times New Roman" w:eastAsia="宋体" w:cs="Times New Roman"/>
                <w:b/>
                <w:bCs/>
                <w:color w:val="auto"/>
                <w:kern w:val="2"/>
                <w:sz w:val="24"/>
                <w:highlight w:val="none"/>
                <w:lang w:val="en-US" w:eastAsia="zh-CN"/>
              </w:rPr>
              <w:t>11</w:t>
            </w:r>
            <w:r>
              <w:rPr>
                <w:rFonts w:hint="eastAsia" w:ascii="Times New Roman" w:hAnsi="Times New Roman" w:eastAsia="宋体" w:cs="Times New Roman"/>
                <w:b/>
                <w:bCs/>
                <w:color w:val="auto"/>
                <w:kern w:val="2"/>
                <w:sz w:val="24"/>
                <w:highlight w:val="none"/>
                <w:lang w:eastAsia="zh-CN"/>
              </w:rPr>
              <w:t>）</w:t>
            </w:r>
            <w:r>
              <w:rPr>
                <w:rFonts w:hint="eastAsia" w:ascii="Times New Roman" w:hAnsi="Times New Roman" w:eastAsia="宋体" w:cs="Times New Roman"/>
                <w:b/>
                <w:bCs/>
                <w:color w:val="auto"/>
                <w:kern w:val="2"/>
                <w:sz w:val="24"/>
                <w:highlight w:val="none"/>
                <w:lang w:val="en-US" w:eastAsia="zh-CN"/>
              </w:rPr>
              <w:t>食堂油烟</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lang w:val="en-US" w:eastAsia="zh-CN"/>
              </w:rPr>
              <w:t>本项目依托现有项目已建食堂，现有项目目前240人用餐，根据现有项目验收监测报告，现有项目食堂油烟排放量为0.006t/a，类比现有项目例行监测数据，本项目新增80人用餐，因此本项目新增食堂油烟排放量为0.002t/a。</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ascii="Times New Roman" w:hAnsi="Times New Roman" w:eastAsia="宋体" w:cs="Times New Roman"/>
                <w:color w:val="auto"/>
                <w:kern w:val="2"/>
                <w:sz w:val="24"/>
                <w:highlight w:val="none"/>
                <w:lang w:val="en-US" w:eastAsia="zh-CN"/>
              </w:rPr>
            </w:pPr>
            <w:r>
              <w:rPr>
                <w:rFonts w:hint="eastAsia"/>
                <w:b/>
                <w:bCs/>
                <w:color w:val="auto"/>
                <w:sz w:val="24"/>
                <w:szCs w:val="24"/>
                <w:highlight w:val="none"/>
                <w:lang w:val="en-US" w:eastAsia="zh-CN"/>
              </w:rPr>
              <w:t>现有治理措施：</w:t>
            </w:r>
            <w:r>
              <w:rPr>
                <w:rFonts w:hint="eastAsia" w:ascii="Times New Roman" w:hAnsi="Times New Roman" w:eastAsia="宋体" w:cs="Times New Roman"/>
                <w:color w:val="auto"/>
                <w:sz w:val="24"/>
                <w:highlight w:val="none"/>
                <w:lang w:val="en-US" w:eastAsia="zh-CN"/>
              </w:rPr>
              <w:t>食堂油烟经</w:t>
            </w:r>
            <w:r>
              <w:rPr>
                <w:rFonts w:hint="eastAsia" w:ascii="Times New Roman" w:hAnsi="Times New Roman" w:eastAsia="宋体" w:cs="Times New Roman"/>
                <w:b w:val="0"/>
                <w:bCs w:val="0"/>
                <w:color w:val="auto"/>
                <w:kern w:val="2"/>
                <w:sz w:val="24"/>
                <w:highlight w:val="none"/>
                <w:lang w:val="en-US" w:eastAsia="zh-CN"/>
              </w:rPr>
              <w:t>油烟净化装置</w:t>
            </w:r>
            <w:r>
              <w:rPr>
                <w:rFonts w:hint="eastAsia" w:ascii="Times New Roman" w:hAnsi="Times New Roman" w:eastAsia="宋体" w:cs="Times New Roman"/>
                <w:color w:val="auto"/>
                <w:sz w:val="24"/>
                <w:highlight w:val="none"/>
                <w:lang w:val="en-US" w:eastAsia="zh-CN"/>
              </w:rPr>
              <w:t>处理后通过排气筒</w:t>
            </w:r>
            <w:r>
              <w:rPr>
                <w:color w:val="auto"/>
                <w:sz w:val="24"/>
                <w:highlight w:val="none"/>
              </w:rPr>
              <w:t>（</w:t>
            </w:r>
            <w:r>
              <w:rPr>
                <w:rFonts w:hint="eastAsia"/>
                <w:color w:val="auto"/>
                <w:sz w:val="24"/>
                <w:highlight w:val="none"/>
              </w:rPr>
              <w:t>排气筒编号DA00</w:t>
            </w:r>
            <w:r>
              <w:rPr>
                <w:rFonts w:hint="eastAsia"/>
                <w:color w:val="auto"/>
                <w:sz w:val="24"/>
                <w:highlight w:val="none"/>
                <w:lang w:val="en-US" w:eastAsia="zh-CN"/>
              </w:rPr>
              <w:t>2</w:t>
            </w:r>
            <w:r>
              <w:rPr>
                <w:color w:val="auto"/>
                <w:sz w:val="24"/>
                <w:highlight w:val="none"/>
              </w:rPr>
              <w:t>）</w:t>
            </w:r>
            <w:r>
              <w:rPr>
                <w:rFonts w:hint="eastAsia" w:ascii="Times New Roman" w:hAnsi="Times New Roman" w:eastAsia="宋体" w:cs="Times New Roman"/>
                <w:color w:val="auto"/>
                <w:sz w:val="24"/>
                <w:highlight w:val="none"/>
                <w:lang w:val="en-US" w:eastAsia="zh-CN"/>
              </w:rPr>
              <w:t>通往楼顶排放。油烟净化器</w:t>
            </w:r>
            <w:r>
              <w:rPr>
                <w:rFonts w:hint="eastAsia"/>
                <w:color w:val="auto"/>
                <w:sz w:val="24"/>
                <w:highlight w:val="none"/>
              </w:rPr>
              <w:t>处理效率以</w:t>
            </w:r>
            <w:r>
              <w:rPr>
                <w:rFonts w:hint="eastAsia"/>
                <w:color w:val="auto"/>
                <w:sz w:val="24"/>
                <w:highlight w:val="none"/>
                <w:lang w:val="en-US" w:eastAsia="zh-CN"/>
              </w:rPr>
              <w:t>75</w:t>
            </w:r>
            <w:r>
              <w:rPr>
                <w:rFonts w:hint="eastAsia"/>
                <w:color w:val="auto"/>
                <w:sz w:val="24"/>
                <w:highlight w:val="none"/>
              </w:rPr>
              <w:t>%计，</w:t>
            </w:r>
            <w:r>
              <w:rPr>
                <w:rFonts w:hint="eastAsia"/>
                <w:color w:val="auto"/>
                <w:sz w:val="24"/>
                <w:highlight w:val="none"/>
                <w:lang w:val="en-US" w:eastAsia="zh-CN"/>
              </w:rPr>
              <w:t>风量为9</w:t>
            </w:r>
            <w:r>
              <w:rPr>
                <w:rFonts w:hint="eastAsia"/>
                <w:color w:val="auto"/>
                <w:sz w:val="24"/>
                <w:highlight w:val="none"/>
              </w:rPr>
              <w:t>000m</w:t>
            </w:r>
            <w:r>
              <w:rPr>
                <w:rFonts w:hint="eastAsia"/>
                <w:color w:val="auto"/>
                <w:sz w:val="24"/>
                <w:highlight w:val="none"/>
                <w:vertAlign w:val="superscript"/>
              </w:rPr>
              <w:t>3</w:t>
            </w:r>
            <w:r>
              <w:rPr>
                <w:rFonts w:hint="eastAsia"/>
                <w:color w:val="auto"/>
                <w:sz w:val="24"/>
                <w:highlight w:val="none"/>
              </w:rPr>
              <w:t>/h，</w:t>
            </w:r>
            <w:r>
              <w:rPr>
                <w:rFonts w:hint="eastAsia"/>
                <w:color w:val="auto"/>
                <w:sz w:val="24"/>
                <w:highlight w:val="none"/>
                <w:lang w:val="en-US" w:eastAsia="zh-CN"/>
              </w:rPr>
              <w:t>因此，本项目食堂油烟产生量为0.008t/a，食堂使用时间每日约6h，则产生速率为0.0044kg/h；排放量为0.002t/a，排放</w:t>
            </w:r>
            <w:r>
              <w:rPr>
                <w:color w:val="auto"/>
                <w:sz w:val="24"/>
                <w:highlight w:val="none"/>
              </w:rPr>
              <w:t>速率为</w:t>
            </w:r>
            <w:r>
              <w:rPr>
                <w:rFonts w:hint="eastAsia"/>
                <w:color w:val="auto"/>
                <w:sz w:val="24"/>
                <w:highlight w:val="none"/>
                <w:lang w:val="en-US" w:eastAsia="zh-CN"/>
              </w:rPr>
              <w:t>0.0011</w:t>
            </w:r>
            <w:r>
              <w:rPr>
                <w:color w:val="auto"/>
                <w:sz w:val="24"/>
                <w:highlight w:val="none"/>
              </w:rPr>
              <w:t>kg/h</w:t>
            </w:r>
            <w:r>
              <w:rPr>
                <w:rFonts w:hint="eastAsia"/>
                <w:color w:val="auto"/>
                <w:sz w:val="24"/>
                <w:highlight w:val="none"/>
                <w:lang w:eastAsia="zh-CN"/>
              </w:rPr>
              <w:t>，</w:t>
            </w:r>
            <w:r>
              <w:rPr>
                <w:rFonts w:hint="eastAsia"/>
                <w:color w:val="auto"/>
                <w:sz w:val="24"/>
                <w:highlight w:val="none"/>
                <w:lang w:val="en-US" w:eastAsia="zh-CN"/>
              </w:rPr>
              <w:t>排放浓度为0.1213mg/</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vertAlign w:val="baseline"/>
                <w:lang w:val="en-US" w:eastAsia="zh-CN"/>
              </w:rPr>
              <w:t>。</w:t>
            </w:r>
            <w:r>
              <w:rPr>
                <w:rFonts w:hint="eastAsia" w:ascii="Times New Roman" w:hAnsi="Times New Roman" w:eastAsia="宋体" w:cs="Times New Roman"/>
                <w:color w:val="auto"/>
                <w:kern w:val="2"/>
                <w:sz w:val="24"/>
                <w:highlight w:val="none"/>
                <w:lang w:val="en-US" w:eastAsia="zh-CN"/>
              </w:rPr>
              <w:t>本项目建成后全厂食堂油烟排放量为0.008t/a，排放浓度为0.4853mg/m</w:t>
            </w:r>
            <w:r>
              <w:rPr>
                <w:rFonts w:hint="eastAsia" w:ascii="Times New Roman" w:hAnsi="Times New Roman" w:eastAsia="宋体" w:cs="Times New Roman"/>
                <w:color w:val="auto"/>
                <w:kern w:val="2"/>
                <w:sz w:val="24"/>
                <w:highlight w:val="none"/>
                <w:vertAlign w:val="superscript"/>
                <w:lang w:val="en-US" w:eastAsia="zh-CN"/>
              </w:rPr>
              <w:t>3</w:t>
            </w:r>
            <w:r>
              <w:rPr>
                <w:rFonts w:hint="eastAsia" w:ascii="Times New Roman" w:hAnsi="Times New Roman" w:eastAsia="宋体" w:cs="Times New Roman"/>
                <w:color w:val="auto"/>
                <w:kern w:val="2"/>
                <w:sz w:val="24"/>
                <w:highlight w:val="none"/>
                <w:lang w:val="en-US" w:eastAsia="zh-CN"/>
              </w:rPr>
              <w:t>，满足</w:t>
            </w:r>
            <w:r>
              <w:rPr>
                <w:color w:val="auto"/>
                <w:sz w:val="24"/>
                <w:highlight w:val="none"/>
              </w:rPr>
              <w:t>《饮食业油烟排放标准（试行）》（GB18483-2001）</w:t>
            </w:r>
            <w:r>
              <w:rPr>
                <w:rFonts w:hint="eastAsia"/>
                <w:color w:val="auto"/>
                <w:sz w:val="24"/>
                <w:highlight w:val="none"/>
                <w:lang w:val="en-US" w:eastAsia="zh-CN"/>
              </w:rPr>
              <w:t>要求。</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b/>
                <w:bCs/>
                <w:color w:val="auto"/>
                <w:kern w:val="0"/>
                <w:sz w:val="24"/>
                <w:highlight w:val="none"/>
                <w:lang w:val="en-US" w:eastAsia="zh-CN"/>
              </w:rPr>
            </w:pPr>
            <w:r>
              <w:rPr>
                <w:rFonts w:hint="eastAsia"/>
                <w:b/>
                <w:bCs/>
                <w:color w:val="auto"/>
                <w:kern w:val="0"/>
                <w:sz w:val="24"/>
                <w:highlight w:val="none"/>
                <w:lang w:val="en-US" w:eastAsia="zh-CN"/>
              </w:rPr>
              <w:t>存在的问题：</w:t>
            </w:r>
            <w:r>
              <w:rPr>
                <w:rFonts w:hint="eastAsia"/>
                <w:b w:val="0"/>
                <w:bCs w:val="0"/>
                <w:color w:val="auto"/>
                <w:kern w:val="0"/>
                <w:sz w:val="24"/>
                <w:highlight w:val="none"/>
                <w:lang w:val="en-US" w:eastAsia="zh-CN"/>
              </w:rPr>
              <w:t>无。</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eastAsia"/>
                <w:b w:val="0"/>
                <w:bCs w:val="0"/>
                <w:color w:val="auto"/>
                <w:kern w:val="0"/>
                <w:sz w:val="24"/>
                <w:highlight w:val="none"/>
                <w:lang w:val="en-US" w:eastAsia="zh-CN"/>
              </w:rPr>
            </w:pPr>
            <w:r>
              <w:rPr>
                <w:rFonts w:hint="eastAsia"/>
                <w:b/>
                <w:bCs/>
                <w:color w:val="auto"/>
                <w:kern w:val="0"/>
                <w:sz w:val="24"/>
                <w:highlight w:val="none"/>
                <w:lang w:val="en-US" w:eastAsia="zh-CN"/>
              </w:rPr>
              <w:t>整改</w:t>
            </w:r>
            <w:r>
              <w:rPr>
                <w:rFonts w:hint="eastAsia"/>
                <w:b/>
                <w:bCs/>
                <w:color w:val="auto"/>
                <w:kern w:val="0"/>
                <w:sz w:val="24"/>
                <w:highlight w:val="none"/>
              </w:rPr>
              <w:t>措施：</w:t>
            </w:r>
            <w:r>
              <w:rPr>
                <w:rFonts w:hint="eastAsia"/>
                <w:b w:val="0"/>
                <w:bCs w:val="0"/>
                <w:color w:val="auto"/>
                <w:kern w:val="0"/>
                <w:sz w:val="24"/>
                <w:highlight w:val="none"/>
                <w:lang w:val="en-US" w:eastAsia="zh-CN"/>
              </w:rPr>
              <w:t>无。</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b/>
                <w:bCs/>
                <w:color w:val="auto"/>
                <w:kern w:val="0"/>
                <w:sz w:val="24"/>
                <w:highlight w:val="none"/>
                <w:lang w:val="en-US" w:eastAsia="zh-CN"/>
              </w:rPr>
            </w:pPr>
            <w:r>
              <w:rPr>
                <w:rFonts w:hint="eastAsia"/>
                <w:b/>
                <w:bCs/>
                <w:color w:val="auto"/>
                <w:kern w:val="0"/>
                <w:sz w:val="24"/>
                <w:highlight w:val="none"/>
                <w:lang w:val="en-US" w:eastAsia="zh-CN"/>
              </w:rPr>
              <w:t>（12）化验室废气</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b w:val="0"/>
                <w:bCs w:val="0"/>
                <w:color w:val="auto"/>
                <w:kern w:val="0"/>
                <w:sz w:val="24"/>
                <w:highlight w:val="none"/>
                <w:lang w:val="en-US" w:eastAsia="zh-CN"/>
              </w:rPr>
            </w:pPr>
            <w:r>
              <w:rPr>
                <w:rFonts w:hint="eastAsia"/>
                <w:b w:val="0"/>
                <w:bCs w:val="0"/>
                <w:color w:val="auto"/>
                <w:kern w:val="0"/>
                <w:sz w:val="24"/>
                <w:highlight w:val="none"/>
                <w:lang w:val="en-US" w:eastAsia="zh-CN"/>
              </w:rPr>
              <w:t>本项目依托现有项目已建化验室，用于抽检产品的质量和菌落总数等，涉及的化验药品有硫酸、盐酸、酚酞、硼酸、甲基红等。硫酸、盐酸等具有挥发性，因本项目化验药品年使用量较小，因此，挥发量较小。</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ascii="Times New Roman" w:hAnsi="Times New Roman" w:eastAsia="宋体" w:cs="Times New Roman"/>
                <w:color w:val="auto"/>
                <w:kern w:val="2"/>
                <w:sz w:val="24"/>
                <w:highlight w:val="none"/>
                <w:lang w:val="en-US" w:eastAsia="zh-CN"/>
              </w:rPr>
            </w:pPr>
            <w:r>
              <w:rPr>
                <w:rFonts w:hint="eastAsia"/>
                <w:b/>
                <w:bCs/>
                <w:color w:val="auto"/>
                <w:sz w:val="24"/>
                <w:szCs w:val="24"/>
                <w:highlight w:val="none"/>
                <w:lang w:val="en-US" w:eastAsia="zh-CN"/>
              </w:rPr>
              <w:t>现有治理措施：</w:t>
            </w:r>
            <w:r>
              <w:rPr>
                <w:rFonts w:hint="eastAsia" w:ascii="Times New Roman" w:hAnsi="Times New Roman" w:eastAsia="宋体" w:cs="Times New Roman"/>
                <w:color w:val="auto"/>
                <w:kern w:val="2"/>
                <w:sz w:val="24"/>
                <w:highlight w:val="none"/>
                <w:lang w:val="en-US" w:eastAsia="zh-CN"/>
              </w:rPr>
              <w:t>抽风后排出，无组织排放。</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b/>
                <w:bCs/>
                <w:color w:val="auto"/>
                <w:kern w:val="0"/>
                <w:sz w:val="24"/>
                <w:highlight w:val="none"/>
                <w:lang w:val="en-US" w:eastAsia="zh-CN"/>
              </w:rPr>
            </w:pPr>
            <w:r>
              <w:rPr>
                <w:rFonts w:hint="eastAsia"/>
                <w:b/>
                <w:bCs/>
                <w:color w:val="auto"/>
                <w:kern w:val="0"/>
                <w:sz w:val="24"/>
                <w:highlight w:val="none"/>
                <w:lang w:val="en-US" w:eastAsia="zh-CN"/>
              </w:rPr>
              <w:t>存在的问题：</w:t>
            </w:r>
            <w:r>
              <w:rPr>
                <w:rFonts w:hint="eastAsia"/>
                <w:b w:val="0"/>
                <w:bCs w:val="0"/>
                <w:color w:val="auto"/>
                <w:kern w:val="0"/>
                <w:sz w:val="24"/>
                <w:highlight w:val="none"/>
                <w:lang w:val="en-US" w:eastAsia="zh-CN"/>
              </w:rPr>
              <w:t>无。</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eastAsia"/>
                <w:b w:val="0"/>
                <w:bCs w:val="0"/>
                <w:color w:val="auto"/>
                <w:kern w:val="0"/>
                <w:sz w:val="24"/>
                <w:highlight w:val="none"/>
                <w:lang w:val="en-US" w:eastAsia="zh-CN"/>
              </w:rPr>
            </w:pPr>
            <w:r>
              <w:rPr>
                <w:rFonts w:hint="eastAsia"/>
                <w:b/>
                <w:bCs/>
                <w:color w:val="auto"/>
                <w:kern w:val="0"/>
                <w:sz w:val="24"/>
                <w:highlight w:val="none"/>
                <w:lang w:val="en-US" w:eastAsia="zh-CN"/>
              </w:rPr>
              <w:t>整改</w:t>
            </w:r>
            <w:r>
              <w:rPr>
                <w:rFonts w:hint="eastAsia"/>
                <w:b/>
                <w:bCs/>
                <w:color w:val="auto"/>
                <w:kern w:val="0"/>
                <w:sz w:val="24"/>
                <w:highlight w:val="none"/>
              </w:rPr>
              <w:t>措施：</w:t>
            </w:r>
            <w:r>
              <w:rPr>
                <w:rFonts w:hint="eastAsia"/>
                <w:b w:val="0"/>
                <w:bCs w:val="0"/>
                <w:color w:val="auto"/>
                <w:kern w:val="0"/>
                <w:sz w:val="24"/>
                <w:highlight w:val="none"/>
                <w:lang w:val="en-US" w:eastAsia="zh-CN"/>
              </w:rPr>
              <w:t>无。</w:t>
            </w:r>
          </w:p>
          <w:p>
            <w:pPr>
              <w:pStyle w:val="58"/>
              <w:spacing w:line="360" w:lineRule="auto"/>
              <w:ind w:firstLine="482" w:firstLineChars="200"/>
              <w:jc w:val="both"/>
              <w:rPr>
                <w:rFonts w:ascii="Times New Roman" w:cs="Times New Roman"/>
                <w:b/>
                <w:color w:val="auto"/>
                <w:highlight w:val="none"/>
              </w:rPr>
            </w:pPr>
            <w:r>
              <w:rPr>
                <w:rFonts w:hint="eastAsia" w:ascii="Times New Roman" w:cs="Times New Roman"/>
                <w:b/>
                <w:color w:val="auto"/>
                <w:highlight w:val="none"/>
                <w:lang w:val="en-US" w:eastAsia="zh-CN"/>
              </w:rPr>
              <w:t>2</w:t>
            </w:r>
            <w:r>
              <w:rPr>
                <w:rFonts w:hint="eastAsia" w:ascii="Times New Roman" w:cs="Times New Roman"/>
                <w:b/>
                <w:color w:val="auto"/>
                <w:highlight w:val="none"/>
              </w:rPr>
              <w:t>、废气处理可行性分析</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lang w:val="en-US" w:eastAsia="zh-CN"/>
              </w:rPr>
              <w:t>油烟处理：本项目油烟产生于油炸工序和食堂，均使用油烟净化器进行处理，使油烟由风机吸入油烟净化器，其中部分较大的油雾滴、油污颗粒在均流板上由于机械碰撞、阻留而被捕集。当气流进入高压静电场时，在高压电场的作用下，油烟气体电离，油雾荷电，大部分得以降解炭化；少部分微小油粒在吸附电场的电场力及气流作用下向电场的正负极板运动被收集在极板上并在自身重力的作用下流到集油盘，经排油通道排出，余下的微米级油雾被电场降解成二氧化碳和水，最终排出洁净空气；同时在高压发生器的作用下，电场除去烟气中大部分的气味。</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lang w:val="en-US" w:eastAsia="zh-CN"/>
              </w:rPr>
              <w:t>根据前文分析，本项目油炸油烟和食堂油烟经油烟净化器处理后可达到</w:t>
            </w:r>
            <w:r>
              <w:rPr>
                <w:rFonts w:hint="eastAsia"/>
                <w:color w:val="auto"/>
                <w:sz w:val="24"/>
                <w:highlight w:val="none"/>
                <w:lang w:val="en-US" w:eastAsia="zh-CN"/>
              </w:rPr>
              <w:t>《饮食业油烟排放标准（试行）》（GB18483-2001）。因此，本项目使用油烟净化器处理油烟可行。</w:t>
            </w:r>
          </w:p>
          <w:p>
            <w:pPr>
              <w:spacing w:line="360" w:lineRule="auto"/>
              <w:ind w:firstLine="482" w:firstLineChars="200"/>
              <w:rPr>
                <w:b/>
                <w:bCs/>
                <w:color w:val="auto"/>
                <w:sz w:val="24"/>
                <w:highlight w:val="none"/>
              </w:rPr>
            </w:pPr>
            <w:r>
              <w:rPr>
                <w:b/>
                <w:bCs/>
                <w:color w:val="auto"/>
                <w:sz w:val="24"/>
                <w:highlight w:val="none"/>
              </w:rPr>
              <w:t>3、排放口情况</w:t>
            </w:r>
          </w:p>
          <w:p>
            <w:pPr>
              <w:spacing w:line="360" w:lineRule="auto"/>
              <w:ind w:firstLine="480" w:firstLineChars="200"/>
              <w:rPr>
                <w:color w:val="auto"/>
                <w:sz w:val="24"/>
                <w:highlight w:val="none"/>
              </w:rPr>
            </w:pPr>
            <w:r>
              <w:rPr>
                <w:color w:val="auto"/>
                <w:sz w:val="24"/>
                <w:highlight w:val="none"/>
              </w:rPr>
              <w:t>本项目废气排放口基本情况如表4-</w:t>
            </w:r>
            <w:r>
              <w:rPr>
                <w:rFonts w:hint="eastAsia"/>
                <w:color w:val="auto"/>
                <w:sz w:val="24"/>
                <w:highlight w:val="none"/>
                <w:lang w:val="en-US" w:eastAsia="zh-CN"/>
              </w:rPr>
              <w:t>4</w:t>
            </w:r>
            <w:r>
              <w:rPr>
                <w:color w:val="auto"/>
                <w:sz w:val="24"/>
                <w:highlight w:val="none"/>
              </w:rPr>
              <w:t>。</w:t>
            </w:r>
          </w:p>
          <w:p>
            <w:pPr>
              <w:pStyle w:val="41"/>
              <w:bidi w:val="0"/>
              <w:rPr>
                <w:color w:val="auto"/>
                <w:highlight w:val="none"/>
              </w:rPr>
            </w:pPr>
            <w:r>
              <w:rPr>
                <w:color w:val="auto"/>
                <w:highlight w:val="none"/>
              </w:rPr>
              <w:t>表4-</w:t>
            </w:r>
            <w:r>
              <w:rPr>
                <w:rFonts w:hint="eastAsia"/>
                <w:color w:val="auto"/>
                <w:highlight w:val="none"/>
                <w:lang w:val="en-US" w:eastAsia="zh-CN"/>
              </w:rPr>
              <w:t>4</w:t>
            </w:r>
            <w:r>
              <w:rPr>
                <w:color w:val="auto"/>
                <w:highlight w:val="none"/>
              </w:rPr>
              <w:t xml:space="preserve">  排气筒参数一览表</w:t>
            </w:r>
          </w:p>
          <w:tbl>
            <w:tblPr>
              <w:tblStyle w:val="21"/>
              <w:tblW w:w="41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982"/>
              <w:gridCol w:w="1016"/>
              <w:gridCol w:w="1272"/>
              <w:gridCol w:w="1259"/>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690" w:type="pct"/>
                  <w:noWrap w:val="0"/>
                  <w:vAlign w:val="center"/>
                </w:tcPr>
                <w:p>
                  <w:pPr>
                    <w:adjustRightInd w:val="0"/>
                    <w:snapToGrid w:val="0"/>
                    <w:jc w:val="center"/>
                    <w:rPr>
                      <w:b/>
                      <w:bCs/>
                      <w:color w:val="auto"/>
                      <w:highlight w:val="none"/>
                    </w:rPr>
                  </w:pPr>
                  <w:r>
                    <w:rPr>
                      <w:b/>
                      <w:bCs/>
                      <w:color w:val="auto"/>
                      <w:highlight w:val="none"/>
                    </w:rPr>
                    <w:t>编号</w:t>
                  </w:r>
                </w:p>
              </w:tc>
              <w:tc>
                <w:tcPr>
                  <w:tcW w:w="719" w:type="pct"/>
                  <w:noWrap w:val="0"/>
                  <w:vAlign w:val="center"/>
                </w:tcPr>
                <w:p>
                  <w:pPr>
                    <w:adjustRightInd w:val="0"/>
                    <w:snapToGrid w:val="0"/>
                    <w:jc w:val="center"/>
                    <w:rPr>
                      <w:b/>
                      <w:bCs/>
                      <w:color w:val="auto"/>
                      <w:highlight w:val="none"/>
                    </w:rPr>
                  </w:pPr>
                  <w:r>
                    <w:rPr>
                      <w:b/>
                      <w:bCs/>
                      <w:color w:val="auto"/>
                      <w:highlight w:val="none"/>
                    </w:rPr>
                    <w:t>污染物</w:t>
                  </w:r>
                </w:p>
              </w:tc>
              <w:tc>
                <w:tcPr>
                  <w:tcW w:w="744" w:type="pct"/>
                  <w:noWrap w:val="0"/>
                  <w:vAlign w:val="center"/>
                </w:tcPr>
                <w:p>
                  <w:pPr>
                    <w:adjustRightInd w:val="0"/>
                    <w:snapToGrid w:val="0"/>
                    <w:jc w:val="center"/>
                    <w:rPr>
                      <w:b/>
                      <w:bCs/>
                      <w:color w:val="auto"/>
                      <w:highlight w:val="none"/>
                    </w:rPr>
                  </w:pPr>
                  <w:r>
                    <w:rPr>
                      <w:b/>
                      <w:bCs/>
                      <w:color w:val="auto"/>
                      <w:highlight w:val="none"/>
                    </w:rPr>
                    <w:t>高度</w:t>
                  </w:r>
                </w:p>
                <w:p>
                  <w:pPr>
                    <w:adjustRightInd w:val="0"/>
                    <w:snapToGrid w:val="0"/>
                    <w:jc w:val="center"/>
                    <w:rPr>
                      <w:b/>
                      <w:bCs/>
                      <w:color w:val="auto"/>
                      <w:highlight w:val="none"/>
                    </w:rPr>
                  </w:pPr>
                  <w:r>
                    <w:rPr>
                      <w:b/>
                      <w:bCs/>
                      <w:color w:val="auto"/>
                      <w:highlight w:val="none"/>
                    </w:rPr>
                    <w:t>（m）</w:t>
                  </w:r>
                </w:p>
              </w:tc>
              <w:tc>
                <w:tcPr>
                  <w:tcW w:w="931" w:type="pct"/>
                  <w:noWrap w:val="0"/>
                  <w:vAlign w:val="center"/>
                </w:tcPr>
                <w:p>
                  <w:pPr>
                    <w:adjustRightInd w:val="0"/>
                    <w:snapToGrid w:val="0"/>
                    <w:jc w:val="center"/>
                    <w:rPr>
                      <w:b/>
                      <w:bCs/>
                      <w:color w:val="auto"/>
                      <w:highlight w:val="none"/>
                    </w:rPr>
                  </w:pPr>
                  <w:r>
                    <w:rPr>
                      <w:b/>
                      <w:bCs/>
                      <w:color w:val="auto"/>
                      <w:highlight w:val="none"/>
                    </w:rPr>
                    <w:t>内径</w:t>
                  </w:r>
                </w:p>
                <w:p>
                  <w:pPr>
                    <w:adjustRightInd w:val="0"/>
                    <w:snapToGrid w:val="0"/>
                    <w:jc w:val="center"/>
                    <w:rPr>
                      <w:b/>
                      <w:bCs/>
                      <w:color w:val="auto"/>
                      <w:highlight w:val="none"/>
                    </w:rPr>
                  </w:pPr>
                  <w:r>
                    <w:rPr>
                      <w:b/>
                      <w:bCs/>
                      <w:color w:val="auto"/>
                      <w:highlight w:val="none"/>
                    </w:rPr>
                    <w:t>（m）</w:t>
                  </w:r>
                </w:p>
              </w:tc>
              <w:tc>
                <w:tcPr>
                  <w:tcW w:w="922" w:type="pct"/>
                  <w:noWrap w:val="0"/>
                  <w:vAlign w:val="center"/>
                </w:tcPr>
                <w:p>
                  <w:pPr>
                    <w:adjustRightInd w:val="0"/>
                    <w:snapToGrid w:val="0"/>
                    <w:jc w:val="center"/>
                    <w:rPr>
                      <w:b/>
                      <w:bCs/>
                      <w:color w:val="auto"/>
                      <w:highlight w:val="none"/>
                    </w:rPr>
                  </w:pPr>
                  <w:r>
                    <w:rPr>
                      <w:b/>
                      <w:bCs/>
                      <w:color w:val="auto"/>
                      <w:highlight w:val="none"/>
                    </w:rPr>
                    <w:t>温度</w:t>
                  </w:r>
                </w:p>
                <w:p>
                  <w:pPr>
                    <w:adjustRightInd w:val="0"/>
                    <w:snapToGrid w:val="0"/>
                    <w:jc w:val="center"/>
                    <w:rPr>
                      <w:b/>
                      <w:bCs/>
                      <w:color w:val="auto"/>
                      <w:highlight w:val="none"/>
                    </w:rPr>
                  </w:pPr>
                  <w:r>
                    <w:rPr>
                      <w:b/>
                      <w:bCs/>
                      <w:color w:val="auto"/>
                      <w:highlight w:val="none"/>
                    </w:rPr>
                    <w:t>（℃）</w:t>
                  </w:r>
                </w:p>
              </w:tc>
              <w:tc>
                <w:tcPr>
                  <w:tcW w:w="991" w:type="pct"/>
                  <w:noWrap w:val="0"/>
                  <w:vAlign w:val="center"/>
                </w:tcPr>
                <w:p>
                  <w:pPr>
                    <w:adjustRightInd w:val="0"/>
                    <w:snapToGrid w:val="0"/>
                    <w:jc w:val="center"/>
                    <w:rPr>
                      <w:b/>
                      <w:bCs/>
                      <w:color w:val="auto"/>
                      <w:highlight w:val="none"/>
                    </w:rPr>
                  </w:pPr>
                  <w:r>
                    <w:rPr>
                      <w:b/>
                      <w:bCs/>
                      <w:color w:val="auto"/>
                      <w:highlight w:val="none"/>
                    </w:rPr>
                    <w:t>排放口</w:t>
                  </w:r>
                </w:p>
                <w:p>
                  <w:pPr>
                    <w:adjustRightInd w:val="0"/>
                    <w:snapToGrid w:val="0"/>
                    <w:jc w:val="center"/>
                    <w:rPr>
                      <w:b/>
                      <w:bCs/>
                      <w:color w:val="auto"/>
                      <w:highlight w:val="none"/>
                    </w:rPr>
                  </w:pPr>
                  <w:r>
                    <w:rPr>
                      <w:b/>
                      <w:bCs/>
                      <w:color w:val="auto"/>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0"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DA001</w:t>
                  </w:r>
                </w:p>
              </w:tc>
              <w:tc>
                <w:tcPr>
                  <w:tcW w:w="719"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SO</w:t>
                  </w:r>
                  <w:r>
                    <w:rPr>
                      <w:rFonts w:hint="eastAsia"/>
                      <w:color w:val="auto"/>
                      <w:highlight w:val="none"/>
                      <w:vertAlign w:val="subscript"/>
                    </w:rPr>
                    <w:t>2</w:t>
                  </w:r>
                  <w:r>
                    <w:rPr>
                      <w:rFonts w:hint="eastAsia"/>
                      <w:color w:val="auto"/>
                      <w:highlight w:val="none"/>
                    </w:rPr>
                    <w:t>、NOx、颗粒物</w:t>
                  </w:r>
                </w:p>
              </w:tc>
              <w:tc>
                <w:tcPr>
                  <w:tcW w:w="744"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10</w:t>
                  </w:r>
                </w:p>
              </w:tc>
              <w:tc>
                <w:tcPr>
                  <w:tcW w:w="931"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0.3</w:t>
                  </w:r>
                </w:p>
              </w:tc>
              <w:tc>
                <w:tcPr>
                  <w:tcW w:w="922"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50</w:t>
                  </w:r>
                </w:p>
              </w:tc>
              <w:tc>
                <w:tcPr>
                  <w:tcW w:w="991" w:type="pct"/>
                  <w:noWrap w:val="0"/>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0"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DA002</w:t>
                  </w:r>
                </w:p>
              </w:tc>
              <w:tc>
                <w:tcPr>
                  <w:tcW w:w="719" w:type="pct"/>
                  <w:noWrap w:val="0"/>
                  <w:vAlign w:val="center"/>
                </w:tcPr>
                <w:p>
                  <w:pPr>
                    <w:adjustRightInd w:val="0"/>
                    <w:snapToGrid w:val="0"/>
                    <w:jc w:val="center"/>
                    <w:rPr>
                      <w:rFonts w:hint="eastAsia" w:eastAsia="宋体"/>
                      <w:color w:val="auto"/>
                      <w:highlight w:val="none"/>
                      <w:lang w:val="en-US" w:eastAsia="zh-CN"/>
                    </w:rPr>
                  </w:pPr>
                  <w:r>
                    <w:rPr>
                      <w:rFonts w:hint="eastAsia"/>
                      <w:color w:val="auto"/>
                      <w:highlight w:val="none"/>
                      <w:lang w:val="en-US" w:eastAsia="zh-CN"/>
                    </w:rPr>
                    <w:t>食堂油烟</w:t>
                  </w:r>
                </w:p>
              </w:tc>
              <w:tc>
                <w:tcPr>
                  <w:tcW w:w="744"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15</w:t>
                  </w:r>
                </w:p>
              </w:tc>
              <w:tc>
                <w:tcPr>
                  <w:tcW w:w="931"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0.3</w:t>
                  </w:r>
                </w:p>
              </w:tc>
              <w:tc>
                <w:tcPr>
                  <w:tcW w:w="922"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50</w:t>
                  </w:r>
                </w:p>
              </w:tc>
              <w:tc>
                <w:tcPr>
                  <w:tcW w:w="991" w:type="pct"/>
                  <w:noWrap w:val="0"/>
                  <w:vAlign w:val="center"/>
                </w:tcPr>
                <w:p>
                  <w:pPr>
                    <w:adjustRightInd w:val="0"/>
                    <w:snapToGrid w:val="0"/>
                    <w:jc w:val="center"/>
                    <w:rPr>
                      <w:rFonts w:hint="eastAsia"/>
                      <w:color w:val="auto"/>
                      <w:highlight w:val="none"/>
                      <w:lang w:val="en-US" w:eastAsia="zh-CN"/>
                    </w:rPr>
                  </w:pPr>
                  <w:r>
                    <w:rPr>
                      <w:rFonts w:hint="eastAsia"/>
                      <w:color w:val="auto"/>
                      <w:highlight w:val="none"/>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0"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DA005</w:t>
                  </w:r>
                </w:p>
              </w:tc>
              <w:tc>
                <w:tcPr>
                  <w:tcW w:w="719" w:type="pct"/>
                  <w:noWrap w:val="0"/>
                  <w:vAlign w:val="center"/>
                </w:tcPr>
                <w:p>
                  <w:pPr>
                    <w:adjustRightInd w:val="0"/>
                    <w:snapToGrid w:val="0"/>
                    <w:jc w:val="center"/>
                    <w:rPr>
                      <w:rFonts w:hint="eastAsia" w:eastAsia="宋体"/>
                      <w:color w:val="auto"/>
                      <w:highlight w:val="none"/>
                      <w:lang w:val="en-US" w:eastAsia="zh-CN"/>
                    </w:rPr>
                  </w:pPr>
                  <w:r>
                    <w:rPr>
                      <w:rFonts w:hint="eastAsia"/>
                      <w:color w:val="auto"/>
                      <w:highlight w:val="none"/>
                      <w:lang w:val="en-US" w:eastAsia="zh-CN"/>
                    </w:rPr>
                    <w:t>油炸油烟</w:t>
                  </w:r>
                </w:p>
              </w:tc>
              <w:tc>
                <w:tcPr>
                  <w:tcW w:w="744"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15</w:t>
                  </w:r>
                </w:p>
              </w:tc>
              <w:tc>
                <w:tcPr>
                  <w:tcW w:w="931"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0.3</w:t>
                  </w:r>
                </w:p>
              </w:tc>
              <w:tc>
                <w:tcPr>
                  <w:tcW w:w="922"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50</w:t>
                  </w:r>
                </w:p>
              </w:tc>
              <w:tc>
                <w:tcPr>
                  <w:tcW w:w="991" w:type="pct"/>
                  <w:noWrap w:val="0"/>
                  <w:vAlign w:val="center"/>
                </w:tcPr>
                <w:p>
                  <w:pPr>
                    <w:adjustRightInd w:val="0"/>
                    <w:snapToGrid w:val="0"/>
                    <w:jc w:val="center"/>
                    <w:rPr>
                      <w:rFonts w:hint="eastAsia"/>
                      <w:color w:val="auto"/>
                      <w:highlight w:val="none"/>
                      <w:lang w:val="en-US" w:eastAsia="zh-CN"/>
                    </w:rPr>
                  </w:pPr>
                  <w:r>
                    <w:rPr>
                      <w:rFonts w:hint="eastAsia"/>
                      <w:color w:val="auto"/>
                      <w:highlight w:val="none"/>
                      <w:lang w:val="en-US" w:eastAsia="zh-CN"/>
                    </w:rPr>
                    <w:t>一般排放口</w:t>
                  </w:r>
                </w:p>
              </w:tc>
            </w:tr>
          </w:tbl>
          <w:p>
            <w:pPr>
              <w:spacing w:line="360" w:lineRule="auto"/>
              <w:ind w:firstLine="482" w:firstLineChars="200"/>
              <w:rPr>
                <w:b/>
                <w:bCs/>
                <w:color w:val="auto"/>
                <w:sz w:val="24"/>
                <w:highlight w:val="none"/>
              </w:rPr>
            </w:pPr>
            <w:r>
              <w:rPr>
                <w:b/>
                <w:bCs/>
                <w:color w:val="auto"/>
                <w:sz w:val="24"/>
                <w:highlight w:val="none"/>
              </w:rPr>
              <w:t>4、监测要求</w:t>
            </w:r>
          </w:p>
          <w:p>
            <w:pPr>
              <w:spacing w:line="360" w:lineRule="auto"/>
              <w:ind w:firstLine="480" w:firstLineChars="200"/>
              <w:rPr>
                <w:color w:val="auto"/>
                <w:sz w:val="24"/>
                <w:highlight w:val="none"/>
              </w:rPr>
            </w:pPr>
            <w:r>
              <w:rPr>
                <w:rFonts w:hint="eastAsia"/>
                <w:color w:val="auto"/>
                <w:sz w:val="24"/>
                <w:highlight w:val="none"/>
              </w:rPr>
              <w:t>项目投产后，</w:t>
            </w:r>
            <w:r>
              <w:rPr>
                <w:rFonts w:hint="eastAsia"/>
                <w:color w:val="auto"/>
                <w:sz w:val="24"/>
                <w:highlight w:val="none"/>
                <w:lang w:val="en-US" w:eastAsia="zh-CN"/>
              </w:rPr>
              <w:t>根据《排污单位自行监测技术指南 总则》（HJ 819-2017）、《排污单位自行监测技术指南 农副食品加工业》（HJ 986-2018）和《排污单位自行监测技术指南 火力发电及锅炉》（HJ 820-2017），</w:t>
            </w:r>
            <w:r>
              <w:rPr>
                <w:rFonts w:hint="eastAsia"/>
                <w:color w:val="auto"/>
                <w:sz w:val="24"/>
                <w:highlight w:val="none"/>
              </w:rPr>
              <w:t>企业应定期委托组织具有监测资质的单位开展</w:t>
            </w:r>
            <w:r>
              <w:rPr>
                <w:rFonts w:hint="eastAsia"/>
                <w:color w:val="auto"/>
                <w:sz w:val="24"/>
                <w:highlight w:val="none"/>
                <w:lang w:val="en-US" w:eastAsia="zh-CN"/>
              </w:rPr>
              <w:t>废气</w:t>
            </w:r>
            <w:r>
              <w:rPr>
                <w:rFonts w:hint="eastAsia"/>
                <w:color w:val="auto"/>
                <w:sz w:val="24"/>
                <w:highlight w:val="none"/>
              </w:rPr>
              <w:t>监测。项目废气监测要求具体如下表所示。</w:t>
            </w:r>
          </w:p>
          <w:p>
            <w:pPr>
              <w:pStyle w:val="41"/>
              <w:bidi w:val="0"/>
              <w:rPr>
                <w:color w:val="auto"/>
                <w:highlight w:val="none"/>
              </w:rPr>
            </w:pPr>
            <w:r>
              <w:rPr>
                <w:color w:val="auto"/>
                <w:highlight w:val="none"/>
              </w:rPr>
              <w:t>表4-</w:t>
            </w:r>
            <w:r>
              <w:rPr>
                <w:rFonts w:hint="eastAsia"/>
                <w:color w:val="auto"/>
                <w:highlight w:val="none"/>
                <w:lang w:val="en-US" w:eastAsia="zh-CN"/>
              </w:rPr>
              <w:t>5</w:t>
            </w:r>
            <w:r>
              <w:rPr>
                <w:color w:val="auto"/>
                <w:highlight w:val="none"/>
              </w:rPr>
              <w:t xml:space="preserve">  废气监测要求 </w:t>
            </w:r>
          </w:p>
          <w:tbl>
            <w:tblPr>
              <w:tblStyle w:val="21"/>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618"/>
              <w:gridCol w:w="1336"/>
              <w:gridCol w:w="1221"/>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noWrap w:val="0"/>
                  <w:vAlign w:val="center"/>
                </w:tcPr>
                <w:p>
                  <w:pPr>
                    <w:jc w:val="center"/>
                    <w:rPr>
                      <w:b/>
                      <w:bCs/>
                      <w:color w:val="auto"/>
                      <w:highlight w:val="none"/>
                    </w:rPr>
                  </w:pPr>
                  <w:r>
                    <w:rPr>
                      <w:b/>
                      <w:bCs/>
                      <w:color w:val="auto"/>
                      <w:highlight w:val="none"/>
                    </w:rPr>
                    <w:t>类别</w:t>
                  </w:r>
                </w:p>
              </w:tc>
              <w:tc>
                <w:tcPr>
                  <w:tcW w:w="982" w:type="pct"/>
                  <w:noWrap w:val="0"/>
                  <w:vAlign w:val="center"/>
                </w:tcPr>
                <w:p>
                  <w:pPr>
                    <w:jc w:val="center"/>
                    <w:rPr>
                      <w:b/>
                      <w:bCs/>
                      <w:color w:val="auto"/>
                      <w:highlight w:val="none"/>
                    </w:rPr>
                  </w:pPr>
                  <w:r>
                    <w:rPr>
                      <w:b/>
                      <w:bCs/>
                      <w:color w:val="auto"/>
                      <w:highlight w:val="none"/>
                    </w:rPr>
                    <w:t>监测点位</w:t>
                  </w:r>
                </w:p>
              </w:tc>
              <w:tc>
                <w:tcPr>
                  <w:tcW w:w="811" w:type="pct"/>
                  <w:noWrap w:val="0"/>
                  <w:vAlign w:val="center"/>
                </w:tcPr>
                <w:p>
                  <w:pPr>
                    <w:jc w:val="center"/>
                    <w:rPr>
                      <w:b/>
                      <w:bCs/>
                      <w:color w:val="auto"/>
                      <w:highlight w:val="none"/>
                    </w:rPr>
                  </w:pPr>
                  <w:r>
                    <w:rPr>
                      <w:b/>
                      <w:bCs/>
                      <w:color w:val="auto"/>
                      <w:highlight w:val="none"/>
                    </w:rPr>
                    <w:t>监测因子</w:t>
                  </w:r>
                </w:p>
              </w:tc>
              <w:tc>
                <w:tcPr>
                  <w:tcW w:w="741" w:type="pct"/>
                  <w:noWrap w:val="0"/>
                  <w:vAlign w:val="center"/>
                </w:tcPr>
                <w:p>
                  <w:pPr>
                    <w:jc w:val="center"/>
                    <w:rPr>
                      <w:b/>
                      <w:bCs/>
                      <w:color w:val="auto"/>
                      <w:highlight w:val="none"/>
                    </w:rPr>
                  </w:pPr>
                  <w:r>
                    <w:rPr>
                      <w:b/>
                      <w:bCs/>
                      <w:color w:val="auto"/>
                      <w:highlight w:val="none"/>
                    </w:rPr>
                    <w:t>监测频次</w:t>
                  </w:r>
                </w:p>
              </w:tc>
              <w:tc>
                <w:tcPr>
                  <w:tcW w:w="1924" w:type="pct"/>
                  <w:noWrap w:val="0"/>
                  <w:vAlign w:val="center"/>
                </w:tcPr>
                <w:p>
                  <w:pPr>
                    <w:jc w:val="center"/>
                    <w:rPr>
                      <w:b/>
                      <w:bCs/>
                      <w:color w:val="auto"/>
                      <w:highlight w:val="none"/>
                    </w:rPr>
                  </w:pPr>
                  <w:r>
                    <w:rPr>
                      <w:b/>
                      <w:bCs/>
                      <w:color w:val="auto"/>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vMerge w:val="restart"/>
                  <w:noWrap w:val="0"/>
                  <w:vAlign w:val="center"/>
                </w:tcPr>
                <w:p>
                  <w:pPr>
                    <w:jc w:val="center"/>
                    <w:rPr>
                      <w:color w:val="auto"/>
                      <w:highlight w:val="none"/>
                    </w:rPr>
                  </w:pPr>
                  <w:r>
                    <w:rPr>
                      <w:color w:val="auto"/>
                      <w:highlight w:val="none"/>
                    </w:rPr>
                    <w:t>有组织</w:t>
                  </w:r>
                </w:p>
              </w:tc>
              <w:tc>
                <w:tcPr>
                  <w:tcW w:w="982" w:type="pct"/>
                  <w:vMerge w:val="restart"/>
                  <w:noWrap w:val="0"/>
                  <w:vAlign w:val="center"/>
                </w:tcPr>
                <w:p>
                  <w:pPr>
                    <w:jc w:val="center"/>
                    <w:rPr>
                      <w:rFonts w:hint="default"/>
                      <w:color w:val="auto"/>
                      <w:kern w:val="2"/>
                      <w:sz w:val="21"/>
                      <w:szCs w:val="24"/>
                      <w:highlight w:val="none"/>
                      <w:lang w:val="en-US" w:eastAsia="zh-CN" w:bidi="ar-SA"/>
                    </w:rPr>
                  </w:pPr>
                  <w:r>
                    <w:rPr>
                      <w:rFonts w:hint="eastAsia"/>
                      <w:color w:val="auto"/>
                      <w:kern w:val="2"/>
                      <w:sz w:val="21"/>
                      <w:szCs w:val="24"/>
                      <w:highlight w:val="none"/>
                      <w:lang w:val="en-US" w:eastAsia="zh-CN" w:bidi="ar-SA"/>
                    </w:rPr>
                    <w:t>锅炉排气筒</w:t>
                  </w:r>
                </w:p>
              </w:tc>
              <w:tc>
                <w:tcPr>
                  <w:tcW w:w="811" w:type="pct"/>
                  <w:noWrap w:val="0"/>
                  <w:vAlign w:val="center"/>
                </w:tcPr>
                <w:p>
                  <w:pPr>
                    <w:jc w:val="center"/>
                    <w:rPr>
                      <w:rFonts w:hint="default"/>
                      <w:color w:val="auto"/>
                      <w:kern w:val="2"/>
                      <w:sz w:val="21"/>
                      <w:szCs w:val="24"/>
                      <w:highlight w:val="none"/>
                      <w:lang w:val="en-US" w:eastAsia="zh-CN" w:bidi="ar-SA"/>
                    </w:rPr>
                  </w:pPr>
                  <w:r>
                    <w:rPr>
                      <w:rFonts w:hint="eastAsia"/>
                      <w:color w:val="auto"/>
                      <w:highlight w:val="none"/>
                      <w:lang w:val="en-US" w:eastAsia="zh-CN"/>
                    </w:rPr>
                    <w:t>氮氧化物</w:t>
                  </w:r>
                </w:p>
              </w:tc>
              <w:tc>
                <w:tcPr>
                  <w:tcW w:w="741" w:type="pct"/>
                  <w:noWrap w:val="0"/>
                  <w:vAlign w:val="center"/>
                </w:tcPr>
                <w:p>
                  <w:pPr>
                    <w:jc w:val="center"/>
                    <w:rPr>
                      <w:rFonts w:hint="default"/>
                      <w:color w:val="auto"/>
                      <w:kern w:val="2"/>
                      <w:sz w:val="21"/>
                      <w:szCs w:val="24"/>
                      <w:highlight w:val="none"/>
                      <w:lang w:val="en-US" w:eastAsia="zh-CN" w:bidi="ar-SA"/>
                    </w:rPr>
                  </w:pPr>
                  <w:r>
                    <w:rPr>
                      <w:rFonts w:hint="eastAsia"/>
                      <w:color w:val="auto"/>
                      <w:kern w:val="2"/>
                      <w:sz w:val="21"/>
                      <w:szCs w:val="24"/>
                      <w:highlight w:val="none"/>
                      <w:lang w:val="en-US" w:eastAsia="zh-CN" w:bidi="ar-SA"/>
                    </w:rPr>
                    <w:t>月</w:t>
                  </w:r>
                </w:p>
              </w:tc>
              <w:tc>
                <w:tcPr>
                  <w:tcW w:w="1924" w:type="pct"/>
                  <w:vMerge w:val="restart"/>
                  <w:noWrap w:val="0"/>
                  <w:vAlign w:val="center"/>
                </w:tcPr>
                <w:p>
                  <w:pPr>
                    <w:jc w:val="center"/>
                    <w:rPr>
                      <w:color w:val="auto"/>
                      <w:highlight w:val="none"/>
                    </w:rPr>
                  </w:pPr>
                  <w:r>
                    <w:rPr>
                      <w:color w:val="auto"/>
                      <w:highlight w:val="none"/>
                    </w:rPr>
                    <w:t>《锅炉大气污染物排放标准》（GB 13271-2014）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vMerge w:val="continue"/>
                  <w:noWrap w:val="0"/>
                  <w:vAlign w:val="center"/>
                </w:tcPr>
                <w:p>
                  <w:pPr>
                    <w:jc w:val="center"/>
                    <w:rPr>
                      <w:color w:val="auto"/>
                      <w:highlight w:val="none"/>
                    </w:rPr>
                  </w:pPr>
                </w:p>
              </w:tc>
              <w:tc>
                <w:tcPr>
                  <w:tcW w:w="982" w:type="pct"/>
                  <w:vMerge w:val="continue"/>
                  <w:noWrap w:val="0"/>
                  <w:vAlign w:val="center"/>
                </w:tcPr>
                <w:p>
                  <w:pPr>
                    <w:jc w:val="center"/>
                    <w:rPr>
                      <w:rFonts w:hint="eastAsia"/>
                      <w:color w:val="auto"/>
                      <w:kern w:val="2"/>
                      <w:sz w:val="21"/>
                      <w:szCs w:val="24"/>
                      <w:highlight w:val="none"/>
                      <w:lang w:val="en-US" w:eastAsia="zh-CN" w:bidi="ar-SA"/>
                    </w:rPr>
                  </w:pPr>
                </w:p>
              </w:tc>
              <w:tc>
                <w:tcPr>
                  <w:tcW w:w="811" w:type="pct"/>
                  <w:noWrap w:val="0"/>
                  <w:vAlign w:val="center"/>
                </w:tcPr>
                <w:p>
                  <w:pPr>
                    <w:jc w:val="center"/>
                    <w:rPr>
                      <w:rFonts w:hint="default"/>
                      <w:color w:val="auto"/>
                      <w:highlight w:val="none"/>
                      <w:lang w:val="en-US" w:eastAsia="zh-CN"/>
                    </w:rPr>
                  </w:pPr>
                  <w:r>
                    <w:rPr>
                      <w:rFonts w:hint="eastAsia"/>
                      <w:color w:val="auto"/>
                      <w:highlight w:val="none"/>
                      <w:lang w:val="en-US" w:eastAsia="zh-CN"/>
                    </w:rPr>
                    <w:t>颗粒物、二氧化硫、林格曼黑度</w:t>
                  </w:r>
                </w:p>
              </w:tc>
              <w:tc>
                <w:tcPr>
                  <w:tcW w:w="741" w:type="pct"/>
                  <w:noWrap w:val="0"/>
                  <w:vAlign w:val="center"/>
                </w:tcPr>
                <w:p>
                  <w:pPr>
                    <w:jc w:val="center"/>
                    <w:rPr>
                      <w:rFonts w:hint="default"/>
                      <w:color w:val="auto"/>
                      <w:kern w:val="2"/>
                      <w:sz w:val="21"/>
                      <w:szCs w:val="24"/>
                      <w:highlight w:val="none"/>
                      <w:lang w:val="en-US" w:eastAsia="zh-CN" w:bidi="ar-SA"/>
                    </w:rPr>
                  </w:pPr>
                  <w:r>
                    <w:rPr>
                      <w:rFonts w:hint="eastAsia"/>
                      <w:color w:val="auto"/>
                      <w:kern w:val="2"/>
                      <w:sz w:val="21"/>
                      <w:szCs w:val="24"/>
                      <w:highlight w:val="none"/>
                      <w:lang w:val="en-US" w:eastAsia="zh-CN" w:bidi="ar-SA"/>
                    </w:rPr>
                    <w:t>年</w:t>
                  </w:r>
                </w:p>
              </w:tc>
              <w:tc>
                <w:tcPr>
                  <w:tcW w:w="1924" w:type="pct"/>
                  <w:vMerge w:val="continue"/>
                  <w:noWrap w:val="0"/>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vMerge w:val="continue"/>
                  <w:noWrap w:val="0"/>
                  <w:vAlign w:val="center"/>
                </w:tcPr>
                <w:p>
                  <w:pPr>
                    <w:jc w:val="center"/>
                    <w:rPr>
                      <w:color w:val="auto"/>
                      <w:highlight w:val="none"/>
                    </w:rPr>
                  </w:pPr>
                </w:p>
              </w:tc>
              <w:tc>
                <w:tcPr>
                  <w:tcW w:w="982" w:type="pct"/>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油炸油烟排气筒</w:t>
                  </w:r>
                </w:p>
              </w:tc>
              <w:tc>
                <w:tcPr>
                  <w:tcW w:w="811" w:type="pct"/>
                  <w:noWrap w:val="0"/>
                  <w:vAlign w:val="center"/>
                </w:tcPr>
                <w:p>
                  <w:pPr>
                    <w:jc w:val="center"/>
                    <w:rPr>
                      <w:rFonts w:hint="eastAsia" w:eastAsia="宋体"/>
                      <w:color w:val="auto"/>
                      <w:highlight w:val="none"/>
                      <w:lang w:val="en-US" w:eastAsia="zh-CN"/>
                    </w:rPr>
                  </w:pPr>
                  <w:r>
                    <w:rPr>
                      <w:rFonts w:hint="eastAsia"/>
                      <w:color w:val="auto"/>
                      <w:highlight w:val="none"/>
                      <w:lang w:val="en-US" w:eastAsia="zh-CN"/>
                    </w:rPr>
                    <w:t>油烟</w:t>
                  </w:r>
                </w:p>
              </w:tc>
              <w:tc>
                <w:tcPr>
                  <w:tcW w:w="741" w:type="pct"/>
                  <w:noWrap w:val="0"/>
                  <w:vAlign w:val="center"/>
                </w:tcPr>
                <w:p>
                  <w:pPr>
                    <w:jc w:val="center"/>
                    <w:rPr>
                      <w:rFonts w:hint="eastAsia" w:eastAsia="宋体"/>
                      <w:color w:val="auto"/>
                      <w:highlight w:val="none"/>
                      <w:lang w:val="en-US" w:eastAsia="zh-CN"/>
                    </w:rPr>
                  </w:pPr>
                  <w:r>
                    <w:rPr>
                      <w:rFonts w:hint="eastAsia"/>
                      <w:color w:val="auto"/>
                      <w:highlight w:val="none"/>
                      <w:lang w:val="en-US" w:eastAsia="zh-CN"/>
                    </w:rPr>
                    <w:t>半年</w:t>
                  </w:r>
                </w:p>
              </w:tc>
              <w:tc>
                <w:tcPr>
                  <w:tcW w:w="1924" w:type="pct"/>
                  <w:noWrap w:val="0"/>
                  <w:vAlign w:val="center"/>
                </w:tcPr>
                <w:p>
                  <w:pPr>
                    <w:jc w:val="center"/>
                    <w:rPr>
                      <w:color w:val="auto"/>
                      <w:highlight w:val="none"/>
                    </w:rPr>
                  </w:pPr>
                  <w:r>
                    <w:rPr>
                      <w:color w:val="auto"/>
                      <w:highlight w:val="none"/>
                    </w:rPr>
                    <w:t>《饮食业油烟排放标准（试行）》（GB18483-2001）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vMerge w:val="restart"/>
                  <w:noWrap w:val="0"/>
                  <w:vAlign w:val="center"/>
                </w:tcPr>
                <w:p>
                  <w:pPr>
                    <w:jc w:val="center"/>
                    <w:rPr>
                      <w:color w:val="auto"/>
                      <w:highlight w:val="none"/>
                    </w:rPr>
                  </w:pPr>
                  <w:r>
                    <w:rPr>
                      <w:color w:val="auto"/>
                      <w:highlight w:val="none"/>
                    </w:rPr>
                    <w:t>无组织</w:t>
                  </w:r>
                </w:p>
              </w:tc>
              <w:tc>
                <w:tcPr>
                  <w:tcW w:w="982" w:type="pct"/>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厂界</w:t>
                  </w:r>
                </w:p>
              </w:tc>
              <w:tc>
                <w:tcPr>
                  <w:tcW w:w="811" w:type="pct"/>
                  <w:noWrap w:val="0"/>
                  <w:vAlign w:val="center"/>
                </w:tcPr>
                <w:p>
                  <w:pPr>
                    <w:jc w:val="center"/>
                    <w:rPr>
                      <w:rFonts w:hint="default"/>
                      <w:color w:val="auto"/>
                      <w:highlight w:val="none"/>
                      <w:lang w:val="en-US"/>
                    </w:rPr>
                  </w:pPr>
                  <w:r>
                    <w:rPr>
                      <w:rFonts w:hint="eastAsia"/>
                      <w:color w:val="auto"/>
                      <w:highlight w:val="none"/>
                      <w:lang w:val="en-US" w:eastAsia="zh-CN"/>
                    </w:rPr>
                    <w:t>臭气浓度</w:t>
                  </w:r>
                </w:p>
              </w:tc>
              <w:tc>
                <w:tcPr>
                  <w:tcW w:w="741" w:type="pct"/>
                  <w:noWrap w:val="0"/>
                  <w:vAlign w:val="center"/>
                </w:tcPr>
                <w:p>
                  <w:pPr>
                    <w:jc w:val="center"/>
                    <w:rPr>
                      <w:rFonts w:hint="eastAsia" w:eastAsia="宋体"/>
                      <w:color w:val="auto"/>
                      <w:highlight w:val="none"/>
                      <w:lang w:val="en-US" w:eastAsia="zh-CN"/>
                    </w:rPr>
                  </w:pPr>
                  <w:r>
                    <w:rPr>
                      <w:rFonts w:hint="eastAsia"/>
                      <w:color w:val="auto"/>
                      <w:highlight w:val="none"/>
                      <w:lang w:val="en-US" w:eastAsia="zh-CN"/>
                    </w:rPr>
                    <w:t>半年</w:t>
                  </w:r>
                </w:p>
              </w:tc>
              <w:tc>
                <w:tcPr>
                  <w:tcW w:w="1924" w:type="pct"/>
                  <w:noWrap w:val="0"/>
                  <w:vAlign w:val="center"/>
                </w:tcPr>
                <w:p>
                  <w:pPr>
                    <w:jc w:val="center"/>
                    <w:rPr>
                      <w:color w:val="auto"/>
                      <w:highlight w:val="none"/>
                    </w:rPr>
                  </w:pPr>
                  <w:r>
                    <w:rPr>
                      <w:rFonts w:hint="eastAsia"/>
                      <w:color w:val="auto"/>
                      <w:highlight w:val="none"/>
                      <w:lang w:val="en-US" w:eastAsia="zh-CN"/>
                    </w:rPr>
                    <w:t>《恶臭污染物排放标准》（GB14554-1993）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vMerge w:val="continue"/>
                  <w:noWrap w:val="0"/>
                  <w:vAlign w:val="center"/>
                </w:tcPr>
                <w:p>
                  <w:pPr>
                    <w:jc w:val="center"/>
                    <w:rPr>
                      <w:color w:val="auto"/>
                      <w:highlight w:val="none"/>
                    </w:rPr>
                  </w:pPr>
                </w:p>
              </w:tc>
              <w:tc>
                <w:tcPr>
                  <w:tcW w:w="982" w:type="pct"/>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厂界</w:t>
                  </w:r>
                </w:p>
              </w:tc>
              <w:tc>
                <w:tcPr>
                  <w:tcW w:w="811" w:type="pct"/>
                  <w:noWrap w:val="0"/>
                  <w:vAlign w:val="center"/>
                </w:tcPr>
                <w:p>
                  <w:pPr>
                    <w:jc w:val="center"/>
                    <w:rPr>
                      <w:rFonts w:hint="default"/>
                      <w:color w:val="auto"/>
                      <w:highlight w:val="none"/>
                      <w:lang w:val="en-US" w:eastAsia="zh-CN"/>
                    </w:rPr>
                  </w:pPr>
                  <w:r>
                    <w:rPr>
                      <w:rFonts w:hint="eastAsia"/>
                      <w:color w:val="auto"/>
                      <w:highlight w:val="none"/>
                      <w:lang w:val="en-US" w:eastAsia="zh-CN"/>
                    </w:rPr>
                    <w:t>颗粒物</w:t>
                  </w:r>
                </w:p>
              </w:tc>
              <w:tc>
                <w:tcPr>
                  <w:tcW w:w="741" w:type="pct"/>
                  <w:noWrap w:val="0"/>
                  <w:vAlign w:val="center"/>
                </w:tcPr>
                <w:p>
                  <w:pPr>
                    <w:jc w:val="center"/>
                    <w:rPr>
                      <w:rFonts w:hint="eastAsia"/>
                      <w:color w:val="auto"/>
                      <w:highlight w:val="none"/>
                      <w:lang w:val="en-US" w:eastAsia="zh-CN"/>
                    </w:rPr>
                  </w:pPr>
                  <w:r>
                    <w:rPr>
                      <w:rFonts w:hint="eastAsia"/>
                      <w:color w:val="auto"/>
                      <w:highlight w:val="none"/>
                      <w:lang w:val="en-US" w:eastAsia="zh-CN"/>
                    </w:rPr>
                    <w:t>半年</w:t>
                  </w:r>
                </w:p>
              </w:tc>
              <w:tc>
                <w:tcPr>
                  <w:tcW w:w="1924" w:type="pct"/>
                  <w:noWrap w:val="0"/>
                  <w:vAlign w:val="center"/>
                </w:tcPr>
                <w:p>
                  <w:pPr>
                    <w:jc w:val="center"/>
                    <w:rPr>
                      <w:color w:val="auto"/>
                      <w:highlight w:val="none"/>
                    </w:rPr>
                  </w:pPr>
                  <w:r>
                    <w:rPr>
                      <w:rFonts w:hint="eastAsia"/>
                      <w:color w:val="auto"/>
                      <w:highlight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vMerge w:val="continue"/>
                  <w:noWrap w:val="0"/>
                  <w:vAlign w:val="center"/>
                </w:tcPr>
                <w:p>
                  <w:pPr>
                    <w:jc w:val="center"/>
                    <w:rPr>
                      <w:color w:val="auto"/>
                      <w:highlight w:val="none"/>
                    </w:rPr>
                  </w:pPr>
                </w:p>
              </w:tc>
              <w:tc>
                <w:tcPr>
                  <w:tcW w:w="982" w:type="pct"/>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厂界</w:t>
                  </w:r>
                </w:p>
              </w:tc>
              <w:tc>
                <w:tcPr>
                  <w:tcW w:w="811" w:type="pct"/>
                  <w:noWrap w:val="0"/>
                  <w:vAlign w:val="center"/>
                </w:tcPr>
                <w:p>
                  <w:pPr>
                    <w:jc w:val="center"/>
                    <w:rPr>
                      <w:rFonts w:hint="default"/>
                      <w:color w:val="auto"/>
                      <w:highlight w:val="none"/>
                      <w:lang w:val="en-US" w:eastAsia="zh-CN"/>
                    </w:rPr>
                  </w:pPr>
                  <w:r>
                    <w:rPr>
                      <w:rFonts w:hint="eastAsia"/>
                      <w:color w:val="auto"/>
                      <w:highlight w:val="none"/>
                      <w:lang w:val="en-US" w:eastAsia="zh-CN"/>
                    </w:rPr>
                    <w:t>非甲烷总烃</w:t>
                  </w:r>
                </w:p>
              </w:tc>
              <w:tc>
                <w:tcPr>
                  <w:tcW w:w="741" w:type="pct"/>
                  <w:noWrap w:val="0"/>
                  <w:vAlign w:val="center"/>
                </w:tcPr>
                <w:p>
                  <w:pPr>
                    <w:jc w:val="center"/>
                    <w:rPr>
                      <w:rFonts w:hint="eastAsia"/>
                      <w:color w:val="auto"/>
                      <w:highlight w:val="none"/>
                      <w:lang w:val="en-US" w:eastAsia="zh-CN"/>
                    </w:rPr>
                  </w:pPr>
                  <w:r>
                    <w:rPr>
                      <w:rFonts w:hint="eastAsia"/>
                      <w:color w:val="auto"/>
                      <w:highlight w:val="none"/>
                      <w:lang w:val="en-US" w:eastAsia="zh-CN"/>
                    </w:rPr>
                    <w:t>半年</w:t>
                  </w:r>
                </w:p>
              </w:tc>
              <w:tc>
                <w:tcPr>
                  <w:tcW w:w="1924" w:type="pct"/>
                  <w:noWrap w:val="0"/>
                  <w:vAlign w:val="center"/>
                </w:tcPr>
                <w:p>
                  <w:pPr>
                    <w:jc w:val="center"/>
                    <w:rPr>
                      <w:color w:val="auto"/>
                      <w:highlight w:val="none"/>
                    </w:rPr>
                  </w:pPr>
                  <w:r>
                    <w:rPr>
                      <w:rFonts w:hint="eastAsia"/>
                      <w:color w:val="auto"/>
                      <w:highlight w:val="none"/>
                      <w:lang w:val="en-US" w:eastAsia="zh-CN"/>
                    </w:rPr>
                    <w:t>《四川省固定污染源大气挥发性有机物排放标准》（DB51/2377-2017）、《合成树脂工业污染物排放标准》（GB31572-2015）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vMerge w:val="continue"/>
                  <w:noWrap w:val="0"/>
                  <w:vAlign w:val="center"/>
                </w:tcPr>
                <w:p>
                  <w:pPr>
                    <w:jc w:val="center"/>
                    <w:rPr>
                      <w:color w:val="auto"/>
                      <w:highlight w:val="none"/>
                    </w:rPr>
                  </w:pPr>
                </w:p>
              </w:tc>
              <w:tc>
                <w:tcPr>
                  <w:tcW w:w="982" w:type="pct"/>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厂界</w:t>
                  </w:r>
                </w:p>
              </w:tc>
              <w:tc>
                <w:tcPr>
                  <w:tcW w:w="811" w:type="pct"/>
                  <w:noWrap w:val="0"/>
                  <w:vAlign w:val="center"/>
                </w:tcPr>
                <w:p>
                  <w:pPr>
                    <w:jc w:val="center"/>
                    <w:rPr>
                      <w:rFonts w:hint="default"/>
                      <w:color w:val="auto"/>
                      <w:highlight w:val="none"/>
                      <w:lang w:val="en-US" w:eastAsia="zh-CN"/>
                    </w:rPr>
                  </w:pPr>
                  <w:r>
                    <w:rPr>
                      <w:rFonts w:hint="eastAsia"/>
                      <w:color w:val="auto"/>
                      <w:highlight w:val="none"/>
                      <w:lang w:val="en-US" w:eastAsia="zh-CN"/>
                    </w:rPr>
                    <w:t>氨、硫化氢</w:t>
                  </w:r>
                </w:p>
              </w:tc>
              <w:tc>
                <w:tcPr>
                  <w:tcW w:w="741" w:type="pct"/>
                  <w:noWrap w:val="0"/>
                  <w:vAlign w:val="center"/>
                </w:tcPr>
                <w:p>
                  <w:pPr>
                    <w:jc w:val="center"/>
                    <w:rPr>
                      <w:rFonts w:hint="eastAsia"/>
                      <w:color w:val="auto"/>
                      <w:highlight w:val="none"/>
                      <w:lang w:val="en-US" w:eastAsia="zh-CN"/>
                    </w:rPr>
                  </w:pPr>
                  <w:r>
                    <w:rPr>
                      <w:rFonts w:hint="eastAsia"/>
                      <w:color w:val="auto"/>
                      <w:highlight w:val="none"/>
                      <w:lang w:val="en-US" w:eastAsia="zh-CN"/>
                    </w:rPr>
                    <w:t>半年</w:t>
                  </w:r>
                </w:p>
              </w:tc>
              <w:tc>
                <w:tcPr>
                  <w:tcW w:w="1924" w:type="pct"/>
                  <w:noWrap w:val="0"/>
                  <w:vAlign w:val="center"/>
                </w:tcPr>
                <w:p>
                  <w:pPr>
                    <w:jc w:val="center"/>
                    <w:rPr>
                      <w:color w:val="auto"/>
                      <w:highlight w:val="none"/>
                    </w:rPr>
                  </w:pPr>
                  <w:r>
                    <w:rPr>
                      <w:rFonts w:hint="eastAsia"/>
                      <w:color w:val="auto"/>
                      <w:highlight w:val="none"/>
                    </w:rPr>
                    <w:t>《恶臭污染物排放标准》（GB14554-1993）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0" w:type="pct"/>
                  <w:vMerge w:val="continue"/>
                  <w:noWrap w:val="0"/>
                  <w:vAlign w:val="center"/>
                </w:tcPr>
                <w:p>
                  <w:pPr>
                    <w:jc w:val="center"/>
                    <w:rPr>
                      <w:color w:val="auto"/>
                      <w:highlight w:val="none"/>
                    </w:rPr>
                  </w:pPr>
                </w:p>
              </w:tc>
              <w:tc>
                <w:tcPr>
                  <w:tcW w:w="982" w:type="pct"/>
                  <w:noWrap w:val="0"/>
                  <w:vAlign w:val="center"/>
                </w:tcPr>
                <w:p>
                  <w:pPr>
                    <w:jc w:val="center"/>
                    <w:rPr>
                      <w:rFonts w:hint="default"/>
                      <w:color w:val="auto"/>
                      <w:highlight w:val="none"/>
                      <w:lang w:val="en-US" w:eastAsia="zh-CN"/>
                    </w:rPr>
                  </w:pPr>
                  <w:r>
                    <w:rPr>
                      <w:rFonts w:hint="eastAsia"/>
                      <w:color w:val="auto"/>
                      <w:highlight w:val="none"/>
                      <w:lang w:val="en-US" w:eastAsia="zh-CN"/>
                    </w:rPr>
                    <w:t>污水处理设施周边厂界下风向侧或有臭气方位的边界线上</w:t>
                  </w:r>
                </w:p>
              </w:tc>
              <w:tc>
                <w:tcPr>
                  <w:tcW w:w="811" w:type="pct"/>
                  <w:noWrap w:val="0"/>
                  <w:vAlign w:val="center"/>
                </w:tcPr>
                <w:p>
                  <w:pPr>
                    <w:jc w:val="center"/>
                    <w:rPr>
                      <w:rFonts w:hint="eastAsia"/>
                      <w:color w:val="auto"/>
                      <w:highlight w:val="none"/>
                      <w:lang w:val="en-US" w:eastAsia="zh-CN"/>
                    </w:rPr>
                  </w:pPr>
                  <w:r>
                    <w:rPr>
                      <w:rFonts w:hint="eastAsia"/>
                      <w:color w:val="auto"/>
                      <w:highlight w:val="none"/>
                      <w:lang w:val="en-US" w:eastAsia="zh-CN"/>
                    </w:rPr>
                    <w:t>臭气浓度、氨、硫化氢</w:t>
                  </w:r>
                </w:p>
              </w:tc>
              <w:tc>
                <w:tcPr>
                  <w:tcW w:w="741" w:type="pct"/>
                  <w:noWrap w:val="0"/>
                  <w:vAlign w:val="center"/>
                </w:tcPr>
                <w:p>
                  <w:pPr>
                    <w:jc w:val="center"/>
                    <w:rPr>
                      <w:rFonts w:hint="eastAsia"/>
                      <w:color w:val="auto"/>
                      <w:highlight w:val="none"/>
                      <w:lang w:val="en-US" w:eastAsia="zh-CN"/>
                    </w:rPr>
                  </w:pPr>
                  <w:r>
                    <w:rPr>
                      <w:rFonts w:hint="eastAsia"/>
                      <w:color w:val="auto"/>
                      <w:highlight w:val="none"/>
                      <w:lang w:val="en-US" w:eastAsia="zh-CN"/>
                    </w:rPr>
                    <w:t>半年</w:t>
                  </w:r>
                </w:p>
              </w:tc>
              <w:tc>
                <w:tcPr>
                  <w:tcW w:w="1924" w:type="pct"/>
                  <w:noWrap w:val="0"/>
                  <w:vAlign w:val="center"/>
                </w:tcPr>
                <w:p>
                  <w:pPr>
                    <w:jc w:val="center"/>
                    <w:rPr>
                      <w:color w:val="auto"/>
                      <w:highlight w:val="none"/>
                    </w:rPr>
                  </w:pPr>
                  <w:r>
                    <w:rPr>
                      <w:rFonts w:hint="eastAsia"/>
                      <w:color w:val="auto"/>
                      <w:highlight w:val="none"/>
                    </w:rPr>
                    <w:t>《恶臭污染物排放标准》（GB14554-1993）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5"/>
                  <w:noWrap w:val="0"/>
                  <w:vAlign w:val="center"/>
                </w:tcPr>
                <w:p>
                  <w:pPr>
                    <w:jc w:val="both"/>
                    <w:rPr>
                      <w:rFonts w:hint="default" w:eastAsia="宋体"/>
                      <w:color w:val="auto"/>
                      <w:highlight w:val="none"/>
                      <w:lang w:val="en-US" w:eastAsia="zh-CN"/>
                    </w:rPr>
                  </w:pPr>
                  <w:r>
                    <w:rPr>
                      <w:rFonts w:hint="eastAsia"/>
                      <w:color w:val="auto"/>
                      <w:highlight w:val="none"/>
                      <w:lang w:val="en-US" w:eastAsia="zh-CN"/>
                    </w:rPr>
                    <w:t>注：废气监测须按照相应监测分析方法、技术规范同步监测烟气参数；无组织废气监测须同步监测气象因子。</w:t>
                  </w:r>
                </w:p>
              </w:tc>
            </w:tr>
          </w:tbl>
          <w:p>
            <w:pPr>
              <w:spacing w:line="360" w:lineRule="auto"/>
              <w:ind w:firstLine="482" w:firstLineChars="200"/>
              <w:rPr>
                <w:b/>
                <w:bCs/>
                <w:color w:val="auto"/>
                <w:sz w:val="24"/>
                <w:highlight w:val="none"/>
              </w:rPr>
            </w:pPr>
            <w:r>
              <w:rPr>
                <w:b/>
                <w:bCs/>
                <w:color w:val="auto"/>
                <w:sz w:val="24"/>
                <w:highlight w:val="none"/>
              </w:rPr>
              <w:t>5、非正常工况下废气的排放情况</w:t>
            </w:r>
          </w:p>
          <w:p>
            <w:pPr>
              <w:spacing w:line="360" w:lineRule="auto"/>
              <w:ind w:firstLine="480" w:firstLineChars="200"/>
              <w:rPr>
                <w:color w:val="auto"/>
                <w:sz w:val="24"/>
                <w:highlight w:val="none"/>
              </w:rPr>
            </w:pPr>
            <w:r>
              <w:rPr>
                <w:color w:val="auto"/>
                <w:sz w:val="24"/>
                <w:highlight w:val="none"/>
              </w:rPr>
              <w:t>非正常排放主要是指生产过程中开、停车、检修、发生故障情况下污染物的排放。非正常排放大小及频率与生产装置的工艺水平、操作管理水平等因素有密切关系，若没有严格的处理措施，往往是造成污染的重要因素。本项目非正常工况下情况分析如下：</w:t>
            </w:r>
          </w:p>
          <w:p>
            <w:pPr>
              <w:spacing w:line="360" w:lineRule="auto"/>
              <w:ind w:firstLine="480" w:firstLineChars="200"/>
              <w:rPr>
                <w:color w:val="auto"/>
                <w:sz w:val="24"/>
                <w:highlight w:val="none"/>
              </w:rPr>
            </w:pPr>
            <w:r>
              <w:rPr>
                <w:color w:val="auto"/>
                <w:sz w:val="24"/>
                <w:highlight w:val="none"/>
              </w:rPr>
              <w:t>（1）开停车</w:t>
            </w:r>
            <w:r>
              <w:rPr>
                <w:rFonts w:hint="eastAsia"/>
                <w:color w:val="auto"/>
                <w:sz w:val="24"/>
                <w:highlight w:val="none"/>
              </w:rPr>
              <w:t>、</w:t>
            </w:r>
            <w:r>
              <w:rPr>
                <w:color w:val="auto"/>
                <w:sz w:val="24"/>
                <w:highlight w:val="none"/>
              </w:rPr>
              <w:t>检修</w:t>
            </w:r>
          </w:p>
          <w:p>
            <w:pPr>
              <w:spacing w:line="360" w:lineRule="auto"/>
              <w:ind w:firstLine="480" w:firstLineChars="200"/>
              <w:rPr>
                <w:color w:val="auto"/>
                <w:sz w:val="24"/>
                <w:highlight w:val="none"/>
              </w:rPr>
            </w:pPr>
            <w:r>
              <w:rPr>
                <w:color w:val="auto"/>
                <w:sz w:val="24"/>
                <w:highlight w:val="none"/>
              </w:rPr>
              <w:t>项目计划停车，装置首先要停工，生产装置及环保设施等同步进行检修、维护和保养后，再开工生产。</w:t>
            </w:r>
          </w:p>
          <w:p>
            <w:pPr>
              <w:spacing w:line="360" w:lineRule="auto"/>
              <w:ind w:firstLine="480" w:firstLineChars="200"/>
              <w:rPr>
                <w:color w:val="auto"/>
                <w:sz w:val="24"/>
                <w:highlight w:val="none"/>
              </w:rPr>
            </w:pPr>
            <w:r>
              <w:rPr>
                <w:color w:val="auto"/>
                <w:sz w:val="24"/>
                <w:highlight w:val="none"/>
              </w:rPr>
              <w:t>（2）设备故障</w:t>
            </w:r>
          </w:p>
          <w:p>
            <w:pPr>
              <w:spacing w:line="360" w:lineRule="auto"/>
              <w:ind w:firstLine="480" w:firstLineChars="200"/>
              <w:rPr>
                <w:color w:val="auto"/>
                <w:sz w:val="24"/>
                <w:highlight w:val="none"/>
              </w:rPr>
            </w:pPr>
            <w:r>
              <w:rPr>
                <w:color w:val="auto"/>
                <w:sz w:val="24"/>
                <w:highlight w:val="none"/>
              </w:rPr>
              <w:t>当生产系统出现故障如停电故障，由于本项目采用双回路供电，出现停电的概率极低，因此出现上述情况的概率较低。</w:t>
            </w:r>
          </w:p>
          <w:p>
            <w:pPr>
              <w:spacing w:line="360" w:lineRule="auto"/>
              <w:ind w:firstLine="480" w:firstLineChars="200"/>
              <w:rPr>
                <w:color w:val="auto"/>
                <w:sz w:val="24"/>
                <w:highlight w:val="none"/>
              </w:rPr>
            </w:pPr>
            <w:r>
              <w:rPr>
                <w:color w:val="auto"/>
                <w:sz w:val="24"/>
                <w:highlight w:val="none"/>
              </w:rPr>
              <w:t>由于开停车、</w:t>
            </w:r>
            <w:r>
              <w:rPr>
                <w:rFonts w:hint="eastAsia"/>
                <w:color w:val="auto"/>
                <w:sz w:val="24"/>
                <w:highlight w:val="none"/>
              </w:rPr>
              <w:t>检修、</w:t>
            </w:r>
            <w:r>
              <w:rPr>
                <w:color w:val="auto"/>
                <w:sz w:val="24"/>
                <w:highlight w:val="none"/>
              </w:rPr>
              <w:t>设备故障等非正常工况产生的废气量均比正常工况的小，污染物也比正常工况时产生量少，废气经尾气处理装置处理后排放对周围环境的影响也相应地比正常工况轻。因此本次评价不考虑开停车及设备检修产生的污染物影响。</w:t>
            </w:r>
          </w:p>
          <w:p>
            <w:pPr>
              <w:spacing w:line="360" w:lineRule="auto"/>
              <w:ind w:firstLine="480" w:firstLineChars="200"/>
              <w:rPr>
                <w:color w:val="auto"/>
                <w:sz w:val="24"/>
                <w:highlight w:val="none"/>
              </w:rPr>
            </w:pPr>
            <w:r>
              <w:rPr>
                <w:color w:val="auto"/>
                <w:sz w:val="24"/>
                <w:highlight w:val="none"/>
              </w:rPr>
              <w:t>（3）废气处置效率降低</w:t>
            </w:r>
          </w:p>
          <w:p>
            <w:pPr>
              <w:spacing w:line="360" w:lineRule="auto"/>
              <w:ind w:firstLine="480" w:firstLineChars="200"/>
              <w:rPr>
                <w:color w:val="auto"/>
                <w:sz w:val="24"/>
                <w:highlight w:val="none"/>
              </w:rPr>
            </w:pPr>
            <w:r>
              <w:rPr>
                <w:rFonts w:hint="eastAsia"/>
                <w:color w:val="auto"/>
                <w:sz w:val="24"/>
                <w:highlight w:val="none"/>
              </w:rPr>
              <w:t>本</w:t>
            </w:r>
            <w:r>
              <w:rPr>
                <w:color w:val="auto"/>
                <w:sz w:val="24"/>
                <w:highlight w:val="none"/>
              </w:rPr>
              <w:t>项目非正常工况为配套的废气处理装置处理效率无法达到设计效率时，</w:t>
            </w:r>
            <w:r>
              <w:rPr>
                <w:rFonts w:hint="eastAsia"/>
                <w:color w:val="auto"/>
                <w:sz w:val="24"/>
                <w:highlight w:val="none"/>
              </w:rPr>
              <w:t>考虑</w:t>
            </w:r>
            <w:r>
              <w:rPr>
                <w:rFonts w:hint="eastAsia"/>
                <w:color w:val="auto"/>
                <w:kern w:val="0"/>
                <w:sz w:val="24"/>
                <w:highlight w:val="none"/>
              </w:rPr>
              <w:t>处理效率降低到设计处理效率的一半</w:t>
            </w:r>
            <w:r>
              <w:rPr>
                <w:color w:val="auto"/>
                <w:sz w:val="24"/>
                <w:highlight w:val="none"/>
              </w:rPr>
              <w:t>，废气在未经有效处理的情况通过排气筒排放，非正常工况下废气排放详见下表。</w:t>
            </w:r>
          </w:p>
          <w:p>
            <w:pPr>
              <w:pStyle w:val="41"/>
              <w:bidi w:val="0"/>
              <w:rPr>
                <w:color w:val="auto"/>
                <w:highlight w:val="none"/>
              </w:rPr>
            </w:pPr>
            <w:r>
              <w:rPr>
                <w:color w:val="auto"/>
                <w:highlight w:val="none"/>
              </w:rPr>
              <w:t>表4-</w:t>
            </w:r>
            <w:r>
              <w:rPr>
                <w:rFonts w:hint="eastAsia"/>
                <w:color w:val="auto"/>
                <w:highlight w:val="none"/>
                <w:lang w:val="en-US" w:eastAsia="zh-CN"/>
              </w:rPr>
              <w:t>6</w:t>
            </w:r>
            <w:r>
              <w:rPr>
                <w:color w:val="auto"/>
                <w:highlight w:val="none"/>
              </w:rPr>
              <w:t xml:space="preserve">  非正常工况下大气污染物排放情况表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629"/>
              <w:gridCol w:w="1088"/>
              <w:gridCol w:w="1045"/>
              <w:gridCol w:w="1007"/>
              <w:gridCol w:w="1057"/>
              <w:gridCol w:w="1068"/>
              <w:gridCol w:w="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310" w:type="pct"/>
                  <w:vMerge w:val="restart"/>
                  <w:noWrap w:val="0"/>
                  <w:vAlign w:val="center"/>
                </w:tcPr>
                <w:p>
                  <w:pPr>
                    <w:adjustRightInd w:val="0"/>
                    <w:snapToGrid w:val="0"/>
                    <w:jc w:val="center"/>
                    <w:rPr>
                      <w:b/>
                      <w:bCs/>
                      <w:color w:val="auto"/>
                      <w:highlight w:val="none"/>
                    </w:rPr>
                  </w:pPr>
                  <w:r>
                    <w:rPr>
                      <w:b/>
                      <w:bCs/>
                      <w:color w:val="auto"/>
                      <w:highlight w:val="none"/>
                    </w:rPr>
                    <w:t>序号</w:t>
                  </w:r>
                </w:p>
              </w:tc>
              <w:tc>
                <w:tcPr>
                  <w:tcW w:w="988" w:type="pct"/>
                  <w:vMerge w:val="restart"/>
                  <w:noWrap w:val="0"/>
                  <w:vAlign w:val="center"/>
                </w:tcPr>
                <w:p>
                  <w:pPr>
                    <w:adjustRightInd w:val="0"/>
                    <w:snapToGrid w:val="0"/>
                    <w:jc w:val="center"/>
                    <w:rPr>
                      <w:b/>
                      <w:bCs/>
                      <w:color w:val="auto"/>
                      <w:highlight w:val="none"/>
                    </w:rPr>
                  </w:pPr>
                  <w:r>
                    <w:rPr>
                      <w:b/>
                      <w:bCs/>
                      <w:color w:val="auto"/>
                      <w:highlight w:val="none"/>
                    </w:rPr>
                    <w:t>污染源</w:t>
                  </w:r>
                </w:p>
              </w:tc>
              <w:tc>
                <w:tcPr>
                  <w:tcW w:w="660" w:type="pct"/>
                  <w:noWrap w:val="0"/>
                  <w:vAlign w:val="center"/>
                </w:tcPr>
                <w:p>
                  <w:pPr>
                    <w:adjustRightInd w:val="0"/>
                    <w:snapToGrid w:val="0"/>
                    <w:jc w:val="center"/>
                    <w:rPr>
                      <w:b/>
                      <w:bCs/>
                      <w:color w:val="auto"/>
                      <w:highlight w:val="none"/>
                    </w:rPr>
                  </w:pPr>
                  <w:r>
                    <w:rPr>
                      <w:b/>
                      <w:bCs/>
                      <w:color w:val="auto"/>
                      <w:highlight w:val="none"/>
                    </w:rPr>
                    <w:t>污染物</w:t>
                  </w:r>
                </w:p>
              </w:tc>
              <w:tc>
                <w:tcPr>
                  <w:tcW w:w="634" w:type="pct"/>
                  <w:noWrap w:val="0"/>
                  <w:vAlign w:val="center"/>
                </w:tcPr>
                <w:p>
                  <w:pPr>
                    <w:adjustRightInd w:val="0"/>
                    <w:snapToGrid w:val="0"/>
                    <w:jc w:val="center"/>
                    <w:rPr>
                      <w:rFonts w:hint="default" w:eastAsia="宋体"/>
                      <w:b/>
                      <w:bCs/>
                      <w:color w:val="auto"/>
                      <w:highlight w:val="none"/>
                      <w:lang w:val="en-US" w:eastAsia="zh-CN"/>
                    </w:rPr>
                  </w:pPr>
                  <w:r>
                    <w:rPr>
                      <w:rFonts w:hint="eastAsia"/>
                      <w:b/>
                      <w:bCs/>
                      <w:color w:val="auto"/>
                      <w:highlight w:val="none"/>
                      <w:lang w:val="en-US" w:eastAsia="zh-CN"/>
                    </w:rPr>
                    <w:t>排放量kg/次</w:t>
                  </w:r>
                </w:p>
              </w:tc>
              <w:tc>
                <w:tcPr>
                  <w:tcW w:w="611" w:type="pct"/>
                  <w:noWrap w:val="0"/>
                  <w:vAlign w:val="center"/>
                </w:tcPr>
                <w:p>
                  <w:pPr>
                    <w:adjustRightInd w:val="0"/>
                    <w:snapToGrid w:val="0"/>
                    <w:jc w:val="center"/>
                    <w:rPr>
                      <w:b/>
                      <w:bCs/>
                      <w:color w:val="auto"/>
                      <w:highlight w:val="none"/>
                    </w:rPr>
                  </w:pPr>
                  <w:r>
                    <w:rPr>
                      <w:rFonts w:hint="eastAsia"/>
                      <w:b/>
                      <w:bCs/>
                      <w:color w:val="auto"/>
                      <w:highlight w:val="none"/>
                      <w:lang w:val="en-US" w:eastAsia="zh-CN"/>
                    </w:rPr>
                    <w:t>排放浓度</w:t>
                  </w:r>
                  <w:r>
                    <w:rPr>
                      <w:rFonts w:hint="eastAsia"/>
                      <w:b/>
                      <w:bCs/>
                      <w:color w:val="auto"/>
                      <w:highlight w:val="none"/>
                    </w:rPr>
                    <w:t>mg/m</w:t>
                  </w:r>
                  <w:r>
                    <w:rPr>
                      <w:rFonts w:hint="eastAsia"/>
                      <w:b/>
                      <w:bCs/>
                      <w:color w:val="auto"/>
                      <w:highlight w:val="none"/>
                      <w:vertAlign w:val="superscript"/>
                    </w:rPr>
                    <w:t>3</w:t>
                  </w:r>
                </w:p>
              </w:tc>
              <w:tc>
                <w:tcPr>
                  <w:tcW w:w="641" w:type="pct"/>
                  <w:noWrap w:val="0"/>
                  <w:vAlign w:val="center"/>
                </w:tcPr>
                <w:p>
                  <w:pPr>
                    <w:adjustRightInd w:val="0"/>
                    <w:snapToGrid w:val="0"/>
                    <w:jc w:val="center"/>
                    <w:rPr>
                      <w:b/>
                      <w:bCs/>
                      <w:color w:val="auto"/>
                      <w:highlight w:val="none"/>
                    </w:rPr>
                  </w:pPr>
                  <w:r>
                    <w:rPr>
                      <w:b/>
                      <w:bCs/>
                      <w:color w:val="auto"/>
                      <w:highlight w:val="none"/>
                    </w:rPr>
                    <w:t>单次持续时间</w:t>
                  </w:r>
                </w:p>
              </w:tc>
              <w:tc>
                <w:tcPr>
                  <w:tcW w:w="648" w:type="pct"/>
                  <w:noWrap w:val="0"/>
                  <w:vAlign w:val="center"/>
                </w:tcPr>
                <w:p>
                  <w:pPr>
                    <w:adjustRightInd w:val="0"/>
                    <w:snapToGrid w:val="0"/>
                    <w:jc w:val="center"/>
                    <w:rPr>
                      <w:b/>
                      <w:bCs/>
                      <w:color w:val="auto"/>
                      <w:highlight w:val="none"/>
                    </w:rPr>
                  </w:pPr>
                  <w:r>
                    <w:rPr>
                      <w:b/>
                      <w:bCs/>
                      <w:color w:val="auto"/>
                      <w:highlight w:val="none"/>
                    </w:rPr>
                    <w:t>发生频次</w:t>
                  </w:r>
                </w:p>
              </w:tc>
              <w:tc>
                <w:tcPr>
                  <w:tcW w:w="504" w:type="pct"/>
                  <w:vMerge w:val="restart"/>
                  <w:noWrap w:val="0"/>
                  <w:vAlign w:val="center"/>
                </w:tcPr>
                <w:p>
                  <w:pPr>
                    <w:adjustRightInd w:val="0"/>
                    <w:snapToGrid w:val="0"/>
                    <w:jc w:val="center"/>
                    <w:rPr>
                      <w:b/>
                      <w:bCs/>
                      <w:color w:val="auto"/>
                      <w:highlight w:val="none"/>
                    </w:rPr>
                  </w:pPr>
                  <w:r>
                    <w:rPr>
                      <w:b/>
                      <w:bCs/>
                      <w:color w:val="auto"/>
                      <w:highlight w:val="none"/>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0" w:type="pct"/>
                  <w:noWrap w:val="0"/>
                  <w:vAlign w:val="center"/>
                </w:tcPr>
                <w:p>
                  <w:pPr>
                    <w:adjustRightInd w:val="0"/>
                    <w:snapToGrid w:val="0"/>
                    <w:jc w:val="center"/>
                    <w:rPr>
                      <w:color w:val="auto"/>
                      <w:highlight w:val="none"/>
                    </w:rPr>
                  </w:pPr>
                  <w:r>
                    <w:rPr>
                      <w:color w:val="auto"/>
                      <w:highlight w:val="none"/>
                    </w:rPr>
                    <w:t>1</w:t>
                  </w:r>
                </w:p>
              </w:tc>
              <w:tc>
                <w:tcPr>
                  <w:tcW w:w="988" w:type="pct"/>
                  <w:noWrap w:val="0"/>
                  <w:vAlign w:val="center"/>
                </w:tcPr>
                <w:p>
                  <w:pPr>
                    <w:adjustRightInd w:val="0"/>
                    <w:snapToGrid w:val="0"/>
                    <w:jc w:val="center"/>
                    <w:rPr>
                      <w:rFonts w:hint="default" w:ascii="Times New Roman" w:hAnsi="Times New Roman" w:eastAsia="宋体"/>
                      <w:color w:val="auto"/>
                      <w:kern w:val="2"/>
                      <w:sz w:val="21"/>
                      <w:szCs w:val="24"/>
                      <w:highlight w:val="none"/>
                      <w:lang w:val="en-US" w:eastAsia="zh-CN" w:bidi="ar-SA"/>
                    </w:rPr>
                  </w:pPr>
                  <w:r>
                    <w:rPr>
                      <w:rFonts w:hint="eastAsia"/>
                      <w:color w:val="auto"/>
                      <w:highlight w:val="none"/>
                      <w:lang w:val="en-US" w:eastAsia="zh-CN"/>
                    </w:rPr>
                    <w:t>油炸油烟排气筒DA005</w:t>
                  </w:r>
                </w:p>
              </w:tc>
              <w:tc>
                <w:tcPr>
                  <w:tcW w:w="660" w:type="pct"/>
                  <w:noWrap w:val="0"/>
                  <w:vAlign w:val="center"/>
                </w:tcPr>
                <w:p>
                  <w:pPr>
                    <w:adjustRightInd w:val="0"/>
                    <w:snapToGrid w:val="0"/>
                    <w:jc w:val="center"/>
                    <w:rPr>
                      <w:rFonts w:hint="eastAsia" w:ascii="Times New Roman" w:hAnsi="Times New Roman" w:eastAsia="宋体"/>
                      <w:color w:val="auto"/>
                      <w:kern w:val="2"/>
                      <w:sz w:val="21"/>
                      <w:szCs w:val="24"/>
                      <w:highlight w:val="none"/>
                      <w:lang w:val="en-US" w:eastAsia="zh-CN" w:bidi="ar-SA"/>
                    </w:rPr>
                  </w:pPr>
                  <w:r>
                    <w:rPr>
                      <w:rFonts w:hint="eastAsia"/>
                      <w:color w:val="auto"/>
                      <w:highlight w:val="none"/>
                      <w:lang w:val="en-US" w:eastAsia="zh-CN"/>
                    </w:rPr>
                    <w:t>油烟</w:t>
                  </w:r>
                </w:p>
              </w:tc>
              <w:tc>
                <w:tcPr>
                  <w:tcW w:w="634"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0.0011</w:t>
                  </w:r>
                </w:p>
              </w:tc>
              <w:tc>
                <w:tcPr>
                  <w:tcW w:w="611"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r>
                    <w:rPr>
                      <w:rFonts w:hint="eastAsia" w:cs="Times New Roman"/>
                      <w:color w:val="auto"/>
                      <w:highlight w:val="none"/>
                      <w:lang w:val="en-US" w:eastAsia="zh-CN"/>
                    </w:rPr>
                    <w:t>2275</w:t>
                  </w:r>
                </w:p>
              </w:tc>
              <w:tc>
                <w:tcPr>
                  <w:tcW w:w="641" w:type="pct"/>
                  <w:noWrap w:val="0"/>
                  <w:vAlign w:val="center"/>
                </w:tcPr>
                <w:p>
                  <w:pPr>
                    <w:adjustRightInd w:val="0"/>
                    <w:snapToGrid w:val="0"/>
                    <w:jc w:val="center"/>
                    <w:rPr>
                      <w:rFonts w:hint="default" w:ascii="Times New Roman" w:hAnsi="Times New Roman" w:eastAsia="宋体"/>
                      <w:color w:val="auto"/>
                      <w:kern w:val="2"/>
                      <w:sz w:val="21"/>
                      <w:szCs w:val="24"/>
                      <w:highlight w:val="none"/>
                      <w:lang w:val="en-US" w:eastAsia="zh-CN" w:bidi="ar-SA"/>
                    </w:rPr>
                  </w:pPr>
                  <w:r>
                    <w:rPr>
                      <w:rFonts w:hint="eastAsia"/>
                      <w:color w:val="auto"/>
                      <w:highlight w:val="none"/>
                      <w:lang w:val="en-US" w:eastAsia="zh-CN"/>
                    </w:rPr>
                    <w:t>1h</w:t>
                  </w:r>
                </w:p>
              </w:tc>
              <w:tc>
                <w:tcPr>
                  <w:tcW w:w="648" w:type="pct"/>
                  <w:noWrap w:val="0"/>
                  <w:vAlign w:val="center"/>
                </w:tcPr>
                <w:p>
                  <w:pPr>
                    <w:pStyle w:val="59"/>
                    <w:ind w:firstLine="0" w:firstLineChars="0"/>
                    <w:rPr>
                      <w:rFonts w:ascii="Times New Roman" w:hAnsi="Times New Roman" w:eastAsia="宋体"/>
                      <w:color w:val="auto"/>
                      <w:kern w:val="0"/>
                      <w:sz w:val="21"/>
                      <w:szCs w:val="21"/>
                      <w:highlight w:val="none"/>
                      <w:lang w:val="en-US" w:eastAsia="zh-CN" w:bidi="ar-SA"/>
                    </w:rPr>
                  </w:pPr>
                  <w:r>
                    <w:rPr>
                      <w:color w:val="auto"/>
                      <w:highlight w:val="none"/>
                    </w:rPr>
                    <w:t>1次/年</w:t>
                  </w:r>
                </w:p>
              </w:tc>
              <w:tc>
                <w:tcPr>
                  <w:tcW w:w="504" w:type="pct"/>
                  <w:vMerge w:val="restart"/>
                  <w:noWrap w:val="0"/>
                  <w:vAlign w:val="center"/>
                </w:tcPr>
                <w:p>
                  <w:pPr>
                    <w:adjustRightInd w:val="0"/>
                    <w:snapToGrid w:val="0"/>
                    <w:jc w:val="center"/>
                    <w:rPr>
                      <w:color w:val="auto"/>
                      <w:highlight w:val="none"/>
                    </w:rPr>
                  </w:pPr>
                  <w:r>
                    <w:rPr>
                      <w:color w:val="auto"/>
                      <w:highlight w:val="none"/>
                    </w:rPr>
                    <w:t>关停设施，及时检修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noWrap w:val="0"/>
                  <w:vAlign w:val="center"/>
                </w:tcPr>
                <w:p>
                  <w:pPr>
                    <w:adjustRightInd w:val="0"/>
                    <w:snapToGrid w:val="0"/>
                    <w:jc w:val="center"/>
                    <w:rPr>
                      <w:rFonts w:hint="default" w:eastAsia="宋体"/>
                      <w:color w:val="auto"/>
                      <w:highlight w:val="none"/>
                      <w:lang w:val="en-US" w:eastAsia="zh-CN"/>
                    </w:rPr>
                  </w:pPr>
                  <w:r>
                    <w:rPr>
                      <w:rFonts w:hint="eastAsia" w:eastAsia="宋体"/>
                      <w:color w:val="auto"/>
                      <w:highlight w:val="none"/>
                      <w:lang w:val="en-US" w:eastAsia="zh-CN"/>
                    </w:rPr>
                    <w:t>2</w:t>
                  </w:r>
                </w:p>
              </w:tc>
              <w:tc>
                <w:tcPr>
                  <w:tcW w:w="988" w:type="pct"/>
                  <w:noWrap w:val="0"/>
                  <w:vAlign w:val="center"/>
                </w:tcPr>
                <w:p>
                  <w:pPr>
                    <w:adjustRightInd w:val="0"/>
                    <w:snapToGrid w:val="0"/>
                    <w:jc w:val="center"/>
                    <w:rPr>
                      <w:rFonts w:hint="default" w:ascii="Times New Roman" w:hAnsi="Times New Roman" w:eastAsia="宋体"/>
                      <w:color w:val="auto"/>
                      <w:kern w:val="2"/>
                      <w:sz w:val="21"/>
                      <w:szCs w:val="24"/>
                      <w:highlight w:val="none"/>
                      <w:lang w:val="en-US" w:eastAsia="zh-CN" w:bidi="ar-SA"/>
                    </w:rPr>
                  </w:pPr>
                  <w:r>
                    <w:rPr>
                      <w:rFonts w:hint="eastAsia"/>
                      <w:color w:val="auto"/>
                      <w:highlight w:val="none"/>
                      <w:lang w:val="en-US" w:eastAsia="zh-CN"/>
                    </w:rPr>
                    <w:t>食堂油烟排气筒DA002</w:t>
                  </w:r>
                </w:p>
              </w:tc>
              <w:tc>
                <w:tcPr>
                  <w:tcW w:w="660" w:type="pct"/>
                  <w:noWrap w:val="0"/>
                  <w:vAlign w:val="center"/>
                </w:tcPr>
                <w:p>
                  <w:pPr>
                    <w:adjustRightInd w:val="0"/>
                    <w:snapToGrid w:val="0"/>
                    <w:jc w:val="center"/>
                    <w:rPr>
                      <w:rFonts w:hint="eastAsia" w:ascii="Times New Roman" w:hAnsi="Times New Roman" w:eastAsia="宋体"/>
                      <w:color w:val="auto"/>
                      <w:kern w:val="2"/>
                      <w:sz w:val="21"/>
                      <w:szCs w:val="24"/>
                      <w:highlight w:val="none"/>
                      <w:lang w:val="en-US" w:eastAsia="zh-CN" w:bidi="ar-SA"/>
                    </w:rPr>
                  </w:pPr>
                  <w:r>
                    <w:rPr>
                      <w:rFonts w:hint="eastAsia"/>
                      <w:color w:val="auto"/>
                      <w:highlight w:val="none"/>
                      <w:lang w:val="en-US" w:eastAsia="zh-CN"/>
                    </w:rPr>
                    <w:t>油烟</w:t>
                  </w:r>
                </w:p>
              </w:tc>
              <w:tc>
                <w:tcPr>
                  <w:tcW w:w="634"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0.0017</w:t>
                  </w:r>
                </w:p>
              </w:tc>
              <w:tc>
                <w:tcPr>
                  <w:tcW w:w="611"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0.1929</w:t>
                  </w:r>
                </w:p>
              </w:tc>
              <w:tc>
                <w:tcPr>
                  <w:tcW w:w="641" w:type="pct"/>
                  <w:noWrap w:val="0"/>
                  <w:vAlign w:val="center"/>
                </w:tcPr>
                <w:p>
                  <w:pPr>
                    <w:adjustRightInd w:val="0"/>
                    <w:snapToGrid w:val="0"/>
                    <w:jc w:val="center"/>
                    <w:rPr>
                      <w:rFonts w:hint="default" w:ascii="Times New Roman" w:hAnsi="Times New Roman" w:eastAsia="宋体"/>
                      <w:color w:val="auto"/>
                      <w:kern w:val="2"/>
                      <w:sz w:val="21"/>
                      <w:szCs w:val="24"/>
                      <w:highlight w:val="none"/>
                      <w:lang w:val="en-US" w:eastAsia="zh-CN" w:bidi="ar-SA"/>
                    </w:rPr>
                  </w:pPr>
                  <w:r>
                    <w:rPr>
                      <w:rFonts w:hint="eastAsia"/>
                      <w:color w:val="auto"/>
                      <w:highlight w:val="none"/>
                      <w:lang w:val="en-US" w:eastAsia="zh-CN"/>
                    </w:rPr>
                    <w:t>1h</w:t>
                  </w:r>
                </w:p>
              </w:tc>
              <w:tc>
                <w:tcPr>
                  <w:tcW w:w="648" w:type="pct"/>
                  <w:noWrap w:val="0"/>
                  <w:vAlign w:val="center"/>
                </w:tcPr>
                <w:p>
                  <w:pPr>
                    <w:pStyle w:val="59"/>
                    <w:ind w:firstLine="0" w:firstLineChars="0"/>
                    <w:rPr>
                      <w:rFonts w:ascii="Times New Roman" w:hAnsi="Times New Roman" w:eastAsia="宋体"/>
                      <w:color w:val="auto"/>
                      <w:kern w:val="0"/>
                      <w:sz w:val="21"/>
                      <w:szCs w:val="21"/>
                      <w:highlight w:val="none"/>
                      <w:lang w:val="en-US" w:eastAsia="zh-CN" w:bidi="ar-SA"/>
                    </w:rPr>
                  </w:pPr>
                  <w:r>
                    <w:rPr>
                      <w:color w:val="auto"/>
                      <w:highlight w:val="none"/>
                    </w:rPr>
                    <w:t>1次/年</w:t>
                  </w:r>
                </w:p>
              </w:tc>
              <w:tc>
                <w:tcPr>
                  <w:tcW w:w="504" w:type="pct"/>
                  <w:vMerge w:val="continue"/>
                  <w:noWrap w:val="0"/>
                  <w:vAlign w:val="center"/>
                </w:tcPr>
                <w:p>
                  <w:pPr>
                    <w:adjustRightInd w:val="0"/>
                    <w:snapToGrid w:val="0"/>
                    <w:jc w:val="center"/>
                    <w:rPr>
                      <w:color w:val="auto"/>
                      <w:highlight w:val="none"/>
                    </w:rPr>
                  </w:pPr>
                </w:p>
              </w:tc>
            </w:tr>
          </w:tbl>
          <w:p>
            <w:pPr>
              <w:spacing w:line="360" w:lineRule="auto"/>
              <w:ind w:firstLine="480" w:firstLineChars="200"/>
              <w:rPr>
                <w:rFonts w:hint="eastAsia"/>
                <w:b w:val="0"/>
                <w:bCs w:val="0"/>
                <w:color w:val="auto"/>
                <w:sz w:val="24"/>
                <w:highlight w:val="none"/>
                <w:lang w:val="en-US" w:eastAsia="zh-CN"/>
              </w:rPr>
            </w:pPr>
            <w:r>
              <w:rPr>
                <w:rFonts w:hint="eastAsia"/>
                <w:b w:val="0"/>
                <w:bCs w:val="0"/>
                <w:color w:val="auto"/>
                <w:sz w:val="24"/>
                <w:highlight w:val="none"/>
                <w:lang w:val="en-US" w:eastAsia="zh-CN"/>
              </w:rPr>
              <w:t>建设单位应严格控制废气非正常排放，并采取以下措施：</w:t>
            </w:r>
          </w:p>
          <w:p>
            <w:pPr>
              <w:spacing w:line="360" w:lineRule="auto"/>
              <w:ind w:firstLine="480" w:firstLineChars="200"/>
              <w:rPr>
                <w:rFonts w:hint="eastAsia"/>
                <w:b w:val="0"/>
                <w:bCs w:val="0"/>
                <w:color w:val="auto"/>
                <w:sz w:val="24"/>
                <w:highlight w:val="none"/>
                <w:lang w:val="en-US" w:eastAsia="zh-CN"/>
              </w:rPr>
            </w:pPr>
            <w:r>
              <w:rPr>
                <w:rFonts w:hint="eastAsia"/>
                <w:b w:val="0"/>
                <w:bCs w:val="0"/>
                <w:color w:val="auto"/>
                <w:sz w:val="24"/>
                <w:highlight w:val="none"/>
                <w:lang w:val="en-US" w:eastAsia="zh-CN"/>
              </w:rPr>
              <w:t>①制定环保设备例行检查制度，加强定期维护保养，发现风机故障、损坏或排风管道破损时，应立即停止生产活动，对设备或管道进行维修，待恢复正常后方正常运行。</w:t>
            </w:r>
          </w:p>
          <w:p>
            <w:pPr>
              <w:spacing w:line="360" w:lineRule="auto"/>
              <w:ind w:firstLine="480" w:firstLineChars="200"/>
              <w:rPr>
                <w:rFonts w:hint="eastAsia"/>
                <w:b w:val="0"/>
                <w:bCs w:val="0"/>
                <w:color w:val="auto"/>
                <w:sz w:val="24"/>
                <w:highlight w:val="none"/>
                <w:lang w:val="en-US" w:eastAsia="zh-CN"/>
              </w:rPr>
            </w:pPr>
            <w:r>
              <w:rPr>
                <w:rFonts w:hint="eastAsia"/>
                <w:b w:val="0"/>
                <w:bCs w:val="0"/>
                <w:color w:val="auto"/>
                <w:sz w:val="24"/>
                <w:highlight w:val="none"/>
                <w:lang w:val="en-US" w:eastAsia="zh-CN"/>
              </w:rPr>
              <w:t>②定期检修环保装置等，确保净化效率符合要求；检修时应停止生产活动，杜绝废气未经处理直接排放。</w:t>
            </w:r>
          </w:p>
          <w:p>
            <w:pPr>
              <w:spacing w:line="360" w:lineRule="auto"/>
              <w:ind w:firstLine="480" w:firstLineChars="200"/>
              <w:rPr>
                <w:rFonts w:hint="eastAsia"/>
                <w:b w:val="0"/>
                <w:bCs w:val="0"/>
                <w:color w:val="auto"/>
                <w:sz w:val="24"/>
                <w:highlight w:val="none"/>
                <w:lang w:val="en-US" w:eastAsia="zh-CN"/>
              </w:rPr>
            </w:pPr>
            <w:r>
              <w:rPr>
                <w:rFonts w:hint="eastAsia"/>
                <w:b w:val="0"/>
                <w:bCs w:val="0"/>
                <w:color w:val="auto"/>
                <w:sz w:val="24"/>
                <w:highlight w:val="none"/>
                <w:lang w:val="en-US" w:eastAsia="zh-CN"/>
              </w:rPr>
              <w:t>③设环保管理专员，对环保管理人员及技术人员进行岗位培训，委托具有专业资质的环境检测单位对项目排放的各类废气污染物进行定期监测。</w:t>
            </w:r>
          </w:p>
          <w:p>
            <w:pPr>
              <w:spacing w:line="360" w:lineRule="auto"/>
              <w:ind w:firstLine="482" w:firstLineChars="200"/>
              <w:rPr>
                <w:b/>
                <w:bCs/>
                <w:color w:val="auto"/>
                <w:sz w:val="24"/>
                <w:highlight w:val="none"/>
              </w:rPr>
            </w:pPr>
            <w:r>
              <w:rPr>
                <w:rFonts w:hint="eastAsia"/>
                <w:b/>
                <w:bCs/>
                <w:color w:val="auto"/>
                <w:sz w:val="24"/>
                <w:highlight w:val="none"/>
                <w:lang w:val="en-US" w:eastAsia="zh-CN"/>
              </w:rPr>
              <w:t>6</w:t>
            </w:r>
            <w:r>
              <w:rPr>
                <w:b/>
                <w:bCs/>
                <w:color w:val="auto"/>
                <w:sz w:val="24"/>
                <w:highlight w:val="none"/>
              </w:rPr>
              <w:t>、环境空气影响分析</w:t>
            </w:r>
          </w:p>
          <w:p>
            <w:pPr>
              <w:spacing w:line="360" w:lineRule="auto"/>
              <w:ind w:firstLine="480" w:firstLineChars="200"/>
              <w:rPr>
                <w:color w:val="auto"/>
                <w:sz w:val="24"/>
                <w:highlight w:val="none"/>
              </w:rPr>
            </w:pPr>
            <w:r>
              <w:rPr>
                <w:color w:val="auto"/>
                <w:sz w:val="24"/>
                <w:highlight w:val="none"/>
              </w:rPr>
              <w:t>通过本次环境影响评价可知，本项目排放的废气主要为颗粒物</w:t>
            </w:r>
            <w:r>
              <w:rPr>
                <w:rFonts w:hint="eastAsia"/>
                <w:color w:val="auto"/>
                <w:sz w:val="24"/>
                <w:highlight w:val="none"/>
              </w:rPr>
              <w:t>、SO</w:t>
            </w:r>
            <w:r>
              <w:rPr>
                <w:rFonts w:hint="eastAsia"/>
                <w:color w:val="auto"/>
                <w:sz w:val="24"/>
                <w:highlight w:val="none"/>
                <w:vertAlign w:val="subscript"/>
              </w:rPr>
              <w:t>2</w:t>
            </w:r>
            <w:r>
              <w:rPr>
                <w:rFonts w:hint="eastAsia"/>
                <w:color w:val="auto"/>
                <w:sz w:val="24"/>
                <w:highlight w:val="none"/>
              </w:rPr>
              <w:t>、NOx</w:t>
            </w:r>
            <w:r>
              <w:rPr>
                <w:rFonts w:hint="eastAsia"/>
                <w:color w:val="auto"/>
                <w:sz w:val="24"/>
                <w:highlight w:val="none"/>
                <w:lang w:eastAsia="zh-CN"/>
              </w:rPr>
              <w:t>、</w:t>
            </w:r>
            <w:r>
              <w:rPr>
                <w:rFonts w:hint="eastAsia"/>
                <w:color w:val="auto"/>
                <w:sz w:val="24"/>
                <w:highlight w:val="none"/>
                <w:lang w:val="en-US" w:eastAsia="zh-CN"/>
              </w:rPr>
              <w:t>油烟</w:t>
            </w:r>
            <w:r>
              <w:rPr>
                <w:color w:val="auto"/>
                <w:sz w:val="24"/>
                <w:highlight w:val="none"/>
              </w:rPr>
              <w:t>、</w:t>
            </w:r>
            <w:r>
              <w:rPr>
                <w:rFonts w:hint="eastAsia"/>
                <w:color w:val="auto"/>
                <w:sz w:val="24"/>
                <w:highlight w:val="none"/>
              </w:rPr>
              <w:t>VOCs</w:t>
            </w:r>
            <w:r>
              <w:rPr>
                <w:rFonts w:hint="eastAsia"/>
                <w:color w:val="auto"/>
                <w:sz w:val="24"/>
                <w:highlight w:val="none"/>
                <w:lang w:eastAsia="zh-CN"/>
              </w:rPr>
              <w:t>、</w:t>
            </w:r>
            <w:r>
              <w:rPr>
                <w:rFonts w:hint="eastAsia"/>
                <w:color w:val="auto"/>
                <w:sz w:val="24"/>
                <w:highlight w:val="none"/>
                <w:lang w:val="en-US" w:eastAsia="zh-CN"/>
              </w:rPr>
              <w:t>非甲烷总烃、NH</w:t>
            </w:r>
            <w:r>
              <w:rPr>
                <w:rFonts w:hint="eastAsia"/>
                <w:color w:val="auto"/>
                <w:sz w:val="24"/>
                <w:highlight w:val="none"/>
                <w:vertAlign w:val="subscript"/>
                <w:lang w:val="en-US" w:eastAsia="zh-CN"/>
              </w:rPr>
              <w:t>3</w:t>
            </w:r>
            <w:r>
              <w:rPr>
                <w:rFonts w:hint="eastAsia"/>
                <w:color w:val="auto"/>
                <w:sz w:val="24"/>
                <w:highlight w:val="none"/>
                <w:lang w:val="en-US" w:eastAsia="zh-CN"/>
              </w:rPr>
              <w:t>、H</w:t>
            </w:r>
            <w:r>
              <w:rPr>
                <w:rFonts w:hint="eastAsia"/>
                <w:color w:val="auto"/>
                <w:sz w:val="24"/>
                <w:highlight w:val="none"/>
                <w:vertAlign w:val="subscript"/>
                <w:lang w:val="en-US" w:eastAsia="zh-CN"/>
              </w:rPr>
              <w:t>2</w:t>
            </w:r>
            <w:r>
              <w:rPr>
                <w:rFonts w:hint="eastAsia"/>
                <w:color w:val="auto"/>
                <w:sz w:val="24"/>
                <w:highlight w:val="none"/>
                <w:lang w:val="en-US" w:eastAsia="zh-CN"/>
              </w:rPr>
              <w:t>S、臭气浓度等</w:t>
            </w:r>
            <w:r>
              <w:rPr>
                <w:color w:val="auto"/>
                <w:sz w:val="24"/>
                <w:highlight w:val="none"/>
              </w:rPr>
              <w:t>，通过采取相关措施后</w:t>
            </w:r>
            <w:r>
              <w:rPr>
                <w:rFonts w:hint="eastAsia"/>
                <w:color w:val="auto"/>
                <w:sz w:val="24"/>
                <w:highlight w:val="none"/>
                <w:lang w:eastAsia="zh-CN"/>
              </w:rPr>
              <w:t>，</w:t>
            </w:r>
            <w:r>
              <w:rPr>
                <w:color w:val="auto"/>
                <w:sz w:val="24"/>
                <w:highlight w:val="none"/>
              </w:rPr>
              <w:t>污染物排放均可满足现行规定及标准要求；通过调查区域环境质量现状数据，本项目所在区域环境质量较好，</w:t>
            </w:r>
            <w:r>
              <w:rPr>
                <w:rFonts w:hint="eastAsia"/>
                <w:color w:val="auto"/>
                <w:sz w:val="24"/>
                <w:highlight w:val="none"/>
                <w:lang w:val="en-US" w:eastAsia="zh-CN"/>
              </w:rPr>
              <w:t>本项目排放的污染物</w:t>
            </w:r>
            <w:r>
              <w:rPr>
                <w:color w:val="auto"/>
                <w:sz w:val="24"/>
                <w:highlight w:val="none"/>
              </w:rPr>
              <w:t>经大气环境扩散后不会对区域环境保护目标造成较大不利影响。</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kern w:val="2"/>
                <w:sz w:val="24"/>
                <w:highlight w:val="none"/>
              </w:rPr>
            </w:pPr>
            <w:r>
              <w:rPr>
                <w:color w:val="auto"/>
                <w:sz w:val="24"/>
                <w:highlight w:val="none"/>
              </w:rPr>
              <w:t>因此，本项目的建成运营对区域环境空气质量的影响可接受。</w:t>
            </w:r>
          </w:p>
          <w:p>
            <w:pPr>
              <w:widowControl/>
              <w:snapToGrid w:val="0"/>
              <w:spacing w:line="360" w:lineRule="auto"/>
              <w:rPr>
                <w:rFonts w:hint="eastAsia"/>
                <w:b/>
                <w:bCs/>
                <w:color w:val="auto"/>
                <w:sz w:val="24"/>
                <w:highlight w:val="none"/>
              </w:rPr>
            </w:pPr>
            <w:r>
              <w:rPr>
                <w:rFonts w:hint="eastAsia"/>
                <w:b/>
                <w:bCs/>
                <w:color w:val="auto"/>
                <w:sz w:val="24"/>
                <w:highlight w:val="none"/>
              </w:rPr>
              <w:t>二、废水环境影响和保护措施</w:t>
            </w:r>
          </w:p>
          <w:p>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1、废水排放情况</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ascii="Times New Roman" w:hAnsi="Times New Roman" w:eastAsia="宋体" w:cs="Times New Roman"/>
                <w:i w:val="0"/>
                <w:iCs w:val="0"/>
                <w:color w:val="auto"/>
                <w:sz w:val="24"/>
                <w:highlight w:val="none"/>
              </w:rPr>
              <w:t>根据前文计算可知，本</w:t>
            </w:r>
            <w:r>
              <w:rPr>
                <w:rFonts w:ascii="Times New Roman" w:hAnsi="Times New Roman" w:eastAsia="宋体" w:cs="Times New Roman"/>
                <w:bCs/>
                <w:i w:val="0"/>
                <w:iCs w:val="0"/>
                <w:color w:val="auto"/>
                <w:sz w:val="24"/>
                <w:highlight w:val="none"/>
              </w:rPr>
              <w:t>项目</w:t>
            </w:r>
            <w:r>
              <w:rPr>
                <w:rFonts w:ascii="Times New Roman" w:hAnsi="Times New Roman" w:eastAsia="宋体" w:cs="Times New Roman"/>
                <w:i w:val="0"/>
                <w:iCs w:val="0"/>
                <w:color w:val="auto"/>
                <w:sz w:val="24"/>
                <w:highlight w:val="none"/>
              </w:rPr>
              <w:t>生活污水量为</w:t>
            </w:r>
            <w:r>
              <w:rPr>
                <w:rFonts w:hint="eastAsia"/>
                <w:bCs/>
                <w:i w:val="0"/>
                <w:iCs w:val="0"/>
                <w:color w:val="auto"/>
                <w:sz w:val="24"/>
                <w:highlight w:val="none"/>
                <w:lang w:val="en-US" w:eastAsia="zh-CN"/>
              </w:rPr>
              <w:t>6.8</w:t>
            </w:r>
            <w:r>
              <w:rPr>
                <w:bCs/>
                <w:i w:val="0"/>
                <w:iCs w:val="0"/>
                <w:color w:val="auto"/>
                <w:sz w:val="24"/>
                <w:highlight w:val="none"/>
              </w:rPr>
              <w:t>m</w:t>
            </w:r>
            <w:r>
              <w:rPr>
                <w:bCs/>
                <w:i w:val="0"/>
                <w:iCs w:val="0"/>
                <w:color w:val="auto"/>
                <w:sz w:val="24"/>
                <w:highlight w:val="none"/>
                <w:vertAlign w:val="superscript"/>
              </w:rPr>
              <w:t>3</w:t>
            </w:r>
            <w:r>
              <w:rPr>
                <w:bCs/>
                <w:i w:val="0"/>
                <w:iCs w:val="0"/>
                <w:color w:val="auto"/>
                <w:sz w:val="24"/>
                <w:highlight w:val="none"/>
              </w:rPr>
              <w:t>/d，</w:t>
            </w:r>
            <w:r>
              <w:rPr>
                <w:rFonts w:hint="eastAsia"/>
                <w:bCs/>
                <w:i w:val="0"/>
                <w:iCs w:val="0"/>
                <w:color w:val="auto"/>
                <w:sz w:val="24"/>
                <w:highlight w:val="none"/>
                <w:lang w:val="en-US" w:eastAsia="zh-CN"/>
              </w:rPr>
              <w:t>2040</w:t>
            </w:r>
            <w:r>
              <w:rPr>
                <w:bCs/>
                <w:i w:val="0"/>
                <w:iCs w:val="0"/>
                <w:color w:val="auto"/>
                <w:sz w:val="24"/>
                <w:highlight w:val="none"/>
              </w:rPr>
              <w:t>m</w:t>
            </w:r>
            <w:r>
              <w:rPr>
                <w:bCs/>
                <w:i w:val="0"/>
                <w:iCs w:val="0"/>
                <w:color w:val="auto"/>
                <w:sz w:val="24"/>
                <w:highlight w:val="none"/>
                <w:vertAlign w:val="superscript"/>
              </w:rPr>
              <w:t>3</w:t>
            </w:r>
            <w:r>
              <w:rPr>
                <w:bCs/>
                <w:i w:val="0"/>
                <w:iCs w:val="0"/>
                <w:color w:val="auto"/>
                <w:sz w:val="24"/>
                <w:highlight w:val="none"/>
              </w:rPr>
              <w:t>/a</w:t>
            </w:r>
            <w:r>
              <w:rPr>
                <w:rFonts w:ascii="Times New Roman" w:hAnsi="Times New Roman" w:eastAsia="宋体" w:cs="Times New Roman"/>
                <w:i w:val="0"/>
                <w:iCs w:val="0"/>
                <w:color w:val="auto"/>
                <w:sz w:val="24"/>
                <w:highlight w:val="none"/>
              </w:rPr>
              <w:t>，</w:t>
            </w:r>
            <w:r>
              <w:rPr>
                <w:rFonts w:hint="eastAsia" w:ascii="Times New Roman" w:hAnsi="Times New Roman" w:eastAsia="宋体" w:cs="Times New Roman"/>
                <w:i w:val="0"/>
                <w:iCs w:val="0"/>
                <w:color w:val="auto"/>
                <w:sz w:val="24"/>
                <w:highlight w:val="none"/>
                <w:lang w:val="en-US" w:eastAsia="zh-CN"/>
              </w:rPr>
              <w:t>食堂</w:t>
            </w:r>
            <w:r>
              <w:rPr>
                <w:rFonts w:ascii="Times New Roman" w:hAnsi="Times New Roman" w:eastAsia="宋体" w:cs="Times New Roman"/>
                <w:i w:val="0"/>
                <w:iCs w:val="0"/>
                <w:color w:val="auto"/>
                <w:sz w:val="24"/>
                <w:highlight w:val="none"/>
              </w:rPr>
              <w:t>废水量为</w:t>
            </w:r>
            <w:r>
              <w:rPr>
                <w:rFonts w:hint="eastAsia"/>
                <w:bCs/>
                <w:i w:val="0"/>
                <w:iCs w:val="0"/>
                <w:color w:val="auto"/>
                <w:sz w:val="24"/>
                <w:highlight w:val="none"/>
                <w:lang w:val="en-US" w:eastAsia="zh-CN"/>
              </w:rPr>
              <w:t>1.36</w:t>
            </w:r>
            <w:r>
              <w:rPr>
                <w:bCs/>
                <w:i w:val="0"/>
                <w:iCs w:val="0"/>
                <w:color w:val="auto"/>
                <w:sz w:val="24"/>
                <w:highlight w:val="none"/>
              </w:rPr>
              <w:t>m</w:t>
            </w:r>
            <w:r>
              <w:rPr>
                <w:bCs/>
                <w:i w:val="0"/>
                <w:iCs w:val="0"/>
                <w:color w:val="auto"/>
                <w:sz w:val="24"/>
                <w:highlight w:val="none"/>
                <w:vertAlign w:val="superscript"/>
              </w:rPr>
              <w:t>3</w:t>
            </w:r>
            <w:r>
              <w:rPr>
                <w:bCs/>
                <w:i w:val="0"/>
                <w:iCs w:val="0"/>
                <w:color w:val="auto"/>
                <w:sz w:val="24"/>
                <w:highlight w:val="none"/>
              </w:rPr>
              <w:t>/d，</w:t>
            </w:r>
            <w:r>
              <w:rPr>
                <w:rFonts w:hint="eastAsia"/>
                <w:bCs/>
                <w:i w:val="0"/>
                <w:iCs w:val="0"/>
                <w:color w:val="auto"/>
                <w:sz w:val="24"/>
                <w:highlight w:val="none"/>
                <w:lang w:val="en-US" w:eastAsia="zh-CN"/>
              </w:rPr>
              <w:t>408</w:t>
            </w:r>
            <w:r>
              <w:rPr>
                <w:bCs/>
                <w:i w:val="0"/>
                <w:iCs w:val="0"/>
                <w:color w:val="auto"/>
                <w:sz w:val="24"/>
                <w:highlight w:val="none"/>
              </w:rPr>
              <w:t>m</w:t>
            </w:r>
            <w:r>
              <w:rPr>
                <w:bCs/>
                <w:i w:val="0"/>
                <w:iCs w:val="0"/>
                <w:color w:val="auto"/>
                <w:sz w:val="24"/>
                <w:highlight w:val="none"/>
                <w:vertAlign w:val="superscript"/>
              </w:rPr>
              <w:t>3</w:t>
            </w:r>
            <w:r>
              <w:rPr>
                <w:bCs/>
                <w:i w:val="0"/>
                <w:iCs w:val="0"/>
                <w:color w:val="auto"/>
                <w:sz w:val="24"/>
                <w:highlight w:val="none"/>
              </w:rPr>
              <w:t>/a</w:t>
            </w:r>
            <w:r>
              <w:rPr>
                <w:rFonts w:ascii="Times New Roman" w:hAnsi="Times New Roman" w:eastAsia="宋体" w:cs="Times New Roman"/>
                <w:i w:val="0"/>
                <w:iCs w:val="0"/>
                <w:color w:val="auto"/>
                <w:sz w:val="24"/>
                <w:highlight w:val="none"/>
              </w:rPr>
              <w:t>，</w:t>
            </w:r>
            <w:r>
              <w:rPr>
                <w:rFonts w:hint="eastAsia" w:ascii="Times New Roman" w:hAnsi="Times New Roman" w:eastAsia="宋体" w:cs="Times New Roman"/>
                <w:bCs/>
                <w:i w:val="0"/>
                <w:iCs w:val="0"/>
                <w:color w:val="auto"/>
                <w:sz w:val="24"/>
                <w:highlight w:val="none"/>
                <w:lang w:val="en-US" w:eastAsia="zh-CN"/>
              </w:rPr>
              <w:t>斩拌废水量为2</w:t>
            </w:r>
            <w:r>
              <w:rPr>
                <w:bCs/>
                <w:i w:val="0"/>
                <w:iCs w:val="0"/>
                <w:color w:val="auto"/>
                <w:sz w:val="24"/>
                <w:highlight w:val="none"/>
              </w:rPr>
              <w:t>m</w:t>
            </w:r>
            <w:r>
              <w:rPr>
                <w:rFonts w:hint="eastAsia"/>
                <w:bCs/>
                <w:i w:val="0"/>
                <w:iCs w:val="0"/>
                <w:color w:val="auto"/>
                <w:sz w:val="24"/>
                <w:highlight w:val="none"/>
                <w:vertAlign w:val="superscript"/>
              </w:rPr>
              <w:t>3</w:t>
            </w:r>
            <w:r>
              <w:rPr>
                <w:bCs/>
                <w:i w:val="0"/>
                <w:iCs w:val="0"/>
                <w:color w:val="auto"/>
                <w:sz w:val="24"/>
                <w:highlight w:val="none"/>
              </w:rPr>
              <w:t>/d</w:t>
            </w:r>
            <w:r>
              <w:rPr>
                <w:rFonts w:hint="eastAsia"/>
                <w:bCs/>
                <w:i w:val="0"/>
                <w:iCs w:val="0"/>
                <w:color w:val="auto"/>
                <w:sz w:val="24"/>
                <w:highlight w:val="none"/>
                <w:lang w:eastAsia="zh-CN"/>
              </w:rPr>
              <w:t>，</w:t>
            </w:r>
            <w:r>
              <w:rPr>
                <w:rFonts w:hint="eastAsia"/>
                <w:bCs/>
                <w:i w:val="0"/>
                <w:iCs w:val="0"/>
                <w:color w:val="auto"/>
                <w:sz w:val="24"/>
                <w:highlight w:val="none"/>
                <w:lang w:val="en-US" w:eastAsia="zh-CN"/>
              </w:rPr>
              <w:t>600</w:t>
            </w:r>
            <w:r>
              <w:rPr>
                <w:bCs/>
                <w:i w:val="0"/>
                <w:iCs w:val="0"/>
                <w:color w:val="auto"/>
                <w:sz w:val="24"/>
                <w:highlight w:val="none"/>
              </w:rPr>
              <w:t>m</w:t>
            </w:r>
            <w:r>
              <w:rPr>
                <w:rFonts w:hint="eastAsia"/>
                <w:bCs/>
                <w:i w:val="0"/>
                <w:iCs w:val="0"/>
                <w:color w:val="auto"/>
                <w:sz w:val="24"/>
                <w:highlight w:val="none"/>
                <w:vertAlign w:val="superscript"/>
              </w:rPr>
              <w:t>3</w:t>
            </w:r>
            <w:r>
              <w:rPr>
                <w:bCs/>
                <w:i w:val="0"/>
                <w:iCs w:val="0"/>
                <w:color w:val="auto"/>
                <w:sz w:val="24"/>
                <w:highlight w:val="none"/>
              </w:rPr>
              <w:t>/a</w:t>
            </w:r>
            <w:r>
              <w:rPr>
                <w:rFonts w:hint="eastAsia"/>
                <w:bCs/>
                <w:i w:val="0"/>
                <w:iCs w:val="0"/>
                <w:color w:val="auto"/>
                <w:sz w:val="24"/>
                <w:highlight w:val="none"/>
                <w:lang w:eastAsia="zh-CN"/>
              </w:rPr>
              <w:t>，</w:t>
            </w:r>
            <w:r>
              <w:rPr>
                <w:rFonts w:hint="eastAsia" w:ascii="Times New Roman" w:hAnsi="Times New Roman" w:eastAsia="宋体" w:cs="Times New Roman"/>
                <w:color w:val="auto"/>
                <w:sz w:val="24"/>
                <w:highlight w:val="none"/>
                <w:lang w:val="en-US" w:eastAsia="zh-CN"/>
              </w:rPr>
              <w:t>浸泡废水量</w:t>
            </w:r>
            <w:r>
              <w:rPr>
                <w:rFonts w:hint="eastAsia" w:ascii="Times New Roman" w:hAnsi="Times New Roman" w:eastAsia="宋体" w:cs="Times New Roman"/>
                <w:bCs/>
                <w:color w:val="auto"/>
                <w:sz w:val="24"/>
                <w:highlight w:val="none"/>
                <w:lang w:val="en-US" w:eastAsia="zh-CN"/>
              </w:rPr>
              <w:t>为7.6</w:t>
            </w:r>
            <w:r>
              <w:rPr>
                <w:bCs/>
                <w:color w:val="auto"/>
                <w:sz w:val="24"/>
                <w:highlight w:val="none"/>
              </w:rPr>
              <w:t>m</w:t>
            </w:r>
            <w:r>
              <w:rPr>
                <w:rFonts w:hint="eastAsia"/>
                <w:bCs/>
                <w:color w:val="auto"/>
                <w:sz w:val="24"/>
                <w:highlight w:val="none"/>
                <w:vertAlign w:val="superscript"/>
              </w:rPr>
              <w:t>3</w:t>
            </w:r>
            <w:r>
              <w:rPr>
                <w:bCs/>
                <w:color w:val="auto"/>
                <w:sz w:val="24"/>
                <w:highlight w:val="none"/>
              </w:rPr>
              <w:t>/d</w:t>
            </w:r>
            <w:r>
              <w:rPr>
                <w:rFonts w:hint="eastAsia"/>
                <w:bCs/>
                <w:color w:val="auto"/>
                <w:sz w:val="24"/>
                <w:highlight w:val="none"/>
                <w:lang w:eastAsia="zh-CN"/>
              </w:rPr>
              <w:t>，</w:t>
            </w:r>
            <w:r>
              <w:rPr>
                <w:rFonts w:hint="eastAsia"/>
                <w:bCs/>
                <w:color w:val="auto"/>
                <w:sz w:val="24"/>
                <w:highlight w:val="none"/>
                <w:lang w:val="en-US" w:eastAsia="zh-CN"/>
              </w:rPr>
              <w:t>2280</w:t>
            </w:r>
            <w:r>
              <w:rPr>
                <w:bCs/>
                <w:color w:val="auto"/>
                <w:sz w:val="24"/>
                <w:highlight w:val="none"/>
              </w:rPr>
              <w:t>m</w:t>
            </w:r>
            <w:r>
              <w:rPr>
                <w:rFonts w:hint="eastAsia"/>
                <w:bCs/>
                <w:color w:val="auto"/>
                <w:sz w:val="24"/>
                <w:highlight w:val="none"/>
                <w:vertAlign w:val="superscript"/>
              </w:rPr>
              <w:t>3</w:t>
            </w:r>
            <w:r>
              <w:rPr>
                <w:bCs/>
                <w:color w:val="auto"/>
                <w:sz w:val="24"/>
                <w:highlight w:val="none"/>
              </w:rPr>
              <w:t>/a</w:t>
            </w:r>
            <w:r>
              <w:rPr>
                <w:rFonts w:hint="eastAsia"/>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卤制废水量为0.13</w:t>
            </w:r>
            <w:r>
              <w:rPr>
                <w:bCs/>
                <w:color w:val="auto"/>
                <w:sz w:val="24"/>
                <w:highlight w:val="none"/>
              </w:rPr>
              <w:t>m</w:t>
            </w:r>
            <w:r>
              <w:rPr>
                <w:rFonts w:hint="eastAsia"/>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/周，6.9</w:t>
            </w:r>
            <w:r>
              <w:rPr>
                <w:bCs/>
                <w:color w:val="auto"/>
                <w:sz w:val="24"/>
                <w:highlight w:val="none"/>
              </w:rPr>
              <w:t>m</w:t>
            </w:r>
            <w:r>
              <w:rPr>
                <w:rFonts w:hint="eastAsia"/>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/a，</w:t>
            </w:r>
            <w:r>
              <w:rPr>
                <w:rFonts w:hint="eastAsia"/>
                <w:bCs/>
                <w:color w:val="auto"/>
                <w:sz w:val="24"/>
                <w:highlight w:val="none"/>
                <w:lang w:val="en-US" w:eastAsia="zh-CN"/>
              </w:rPr>
              <w:t>产品清洗废水</w:t>
            </w:r>
            <w:r>
              <w:rPr>
                <w:bCs/>
                <w:color w:val="auto"/>
                <w:sz w:val="24"/>
                <w:highlight w:val="none"/>
              </w:rPr>
              <w:t>量为</w:t>
            </w:r>
            <w:r>
              <w:rPr>
                <w:rFonts w:hint="eastAsia"/>
                <w:bCs/>
                <w:color w:val="auto"/>
                <w:sz w:val="24"/>
                <w:highlight w:val="none"/>
                <w:lang w:val="en-US" w:eastAsia="zh-CN"/>
              </w:rPr>
              <w:t>27.2</w:t>
            </w:r>
            <w:r>
              <w:rPr>
                <w:bCs/>
                <w:color w:val="auto"/>
                <w:sz w:val="24"/>
                <w:highlight w:val="none"/>
              </w:rPr>
              <w:t>m</w:t>
            </w:r>
            <w:r>
              <w:rPr>
                <w:bCs/>
                <w:color w:val="auto"/>
                <w:sz w:val="24"/>
                <w:highlight w:val="none"/>
                <w:vertAlign w:val="superscript"/>
              </w:rPr>
              <w:t>3</w:t>
            </w:r>
            <w:r>
              <w:rPr>
                <w:bCs/>
                <w:color w:val="auto"/>
                <w:sz w:val="24"/>
                <w:highlight w:val="none"/>
              </w:rPr>
              <w:t>/d，</w:t>
            </w:r>
            <w:r>
              <w:rPr>
                <w:rFonts w:hint="eastAsia"/>
                <w:bCs/>
                <w:color w:val="auto"/>
                <w:sz w:val="24"/>
                <w:highlight w:val="none"/>
                <w:lang w:val="en-US" w:eastAsia="zh-CN"/>
              </w:rPr>
              <w:t>8160</w:t>
            </w:r>
            <w:r>
              <w:rPr>
                <w:bCs/>
                <w:color w:val="auto"/>
                <w:sz w:val="24"/>
                <w:highlight w:val="none"/>
              </w:rPr>
              <w:t>m</w:t>
            </w:r>
            <w:r>
              <w:rPr>
                <w:bCs/>
                <w:color w:val="auto"/>
                <w:sz w:val="24"/>
                <w:highlight w:val="none"/>
                <w:vertAlign w:val="superscript"/>
              </w:rPr>
              <w:t>3</w:t>
            </w:r>
            <w:r>
              <w:rPr>
                <w:bCs/>
                <w:color w:val="auto"/>
                <w:sz w:val="24"/>
                <w:highlight w:val="none"/>
              </w:rPr>
              <w:t>/a</w:t>
            </w:r>
            <w:r>
              <w:rPr>
                <w:rFonts w:hint="eastAsia"/>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灭</w:t>
            </w:r>
            <w:r>
              <w:rPr>
                <w:rFonts w:hint="eastAsia"/>
                <w:bCs/>
                <w:color w:val="auto"/>
                <w:sz w:val="24"/>
                <w:highlight w:val="none"/>
                <w:lang w:val="en-US" w:eastAsia="zh-CN"/>
              </w:rPr>
              <w:t>菌废水</w:t>
            </w:r>
            <w:r>
              <w:rPr>
                <w:bCs/>
                <w:color w:val="auto"/>
                <w:sz w:val="24"/>
                <w:highlight w:val="none"/>
              </w:rPr>
              <w:t>量为</w:t>
            </w:r>
            <w:r>
              <w:rPr>
                <w:rFonts w:hint="eastAsia"/>
                <w:bCs/>
                <w:color w:val="auto"/>
                <w:sz w:val="24"/>
                <w:highlight w:val="none"/>
                <w:lang w:val="en-US" w:eastAsia="zh-CN"/>
              </w:rPr>
              <w:t>5.63</w:t>
            </w:r>
            <w:r>
              <w:rPr>
                <w:bCs/>
                <w:color w:val="auto"/>
                <w:sz w:val="24"/>
                <w:highlight w:val="none"/>
              </w:rPr>
              <w:t>m</w:t>
            </w:r>
            <w:r>
              <w:rPr>
                <w:bCs/>
                <w:color w:val="auto"/>
                <w:sz w:val="24"/>
                <w:highlight w:val="none"/>
                <w:vertAlign w:val="superscript"/>
              </w:rPr>
              <w:t>3</w:t>
            </w:r>
            <w:r>
              <w:rPr>
                <w:bCs/>
                <w:color w:val="auto"/>
                <w:sz w:val="24"/>
                <w:highlight w:val="none"/>
              </w:rPr>
              <w:t>/</w:t>
            </w:r>
            <w:r>
              <w:rPr>
                <w:rFonts w:hint="eastAsia" w:ascii="Times New Roman" w:hAnsi="Times New Roman" w:eastAsia="宋体" w:cs="Times New Roman"/>
                <w:bCs/>
                <w:color w:val="auto"/>
                <w:sz w:val="24"/>
                <w:highlight w:val="none"/>
                <w:vertAlign w:val="baseline"/>
                <w:lang w:val="en-US" w:eastAsia="zh-CN"/>
              </w:rPr>
              <w:t>周</w:t>
            </w:r>
            <w:r>
              <w:rPr>
                <w:bCs/>
                <w:color w:val="auto"/>
                <w:sz w:val="24"/>
                <w:highlight w:val="none"/>
              </w:rPr>
              <w:t>，</w:t>
            </w:r>
            <w:r>
              <w:rPr>
                <w:rFonts w:hint="eastAsia"/>
                <w:bCs/>
                <w:color w:val="auto"/>
                <w:sz w:val="24"/>
                <w:highlight w:val="none"/>
                <w:lang w:val="en-US" w:eastAsia="zh-CN"/>
              </w:rPr>
              <w:t>292.4</w:t>
            </w:r>
            <w:r>
              <w:rPr>
                <w:bCs/>
                <w:color w:val="auto"/>
                <w:sz w:val="24"/>
                <w:highlight w:val="none"/>
              </w:rPr>
              <w:t>m</w:t>
            </w:r>
            <w:r>
              <w:rPr>
                <w:bCs/>
                <w:color w:val="auto"/>
                <w:sz w:val="24"/>
                <w:highlight w:val="none"/>
                <w:vertAlign w:val="superscript"/>
              </w:rPr>
              <w:t>3</w:t>
            </w:r>
            <w:r>
              <w:rPr>
                <w:bCs/>
                <w:color w:val="auto"/>
                <w:sz w:val="24"/>
                <w:highlight w:val="none"/>
              </w:rPr>
              <w:t>/a</w:t>
            </w:r>
            <w:r>
              <w:rPr>
                <w:rFonts w:hint="eastAsia"/>
                <w:bCs/>
                <w:color w:val="auto"/>
                <w:sz w:val="24"/>
                <w:highlight w:val="none"/>
                <w:lang w:eastAsia="zh-CN"/>
              </w:rPr>
              <w:t>，</w:t>
            </w:r>
            <w:r>
              <w:rPr>
                <w:rFonts w:hint="eastAsia" w:ascii="Times New Roman" w:hAnsi="Times New Roman" w:eastAsia="宋体" w:cs="Times New Roman"/>
                <w:bCs/>
                <w:color w:val="auto"/>
                <w:sz w:val="24"/>
                <w:highlight w:val="none"/>
                <w:vertAlign w:val="baseline"/>
                <w:lang w:val="en-US" w:eastAsia="zh-CN"/>
              </w:rPr>
              <w:t>锅炉废水量</w:t>
            </w:r>
            <w:r>
              <w:rPr>
                <w:rFonts w:hint="eastAsia" w:ascii="Times New Roman" w:hAnsi="Times New Roman" w:eastAsia="宋体" w:cs="Times New Roman"/>
                <w:bCs/>
                <w:color w:val="auto"/>
                <w:sz w:val="24"/>
                <w:highlight w:val="none"/>
                <w:lang w:val="en-US" w:eastAsia="zh-CN"/>
              </w:rPr>
              <w:t>（包括锅炉排污水和软化处理废水）</w:t>
            </w:r>
            <w:r>
              <w:rPr>
                <w:rFonts w:hint="eastAsia" w:cs="Times New Roman"/>
                <w:bCs/>
                <w:color w:val="auto"/>
                <w:sz w:val="24"/>
                <w:highlight w:val="none"/>
                <w:lang w:val="en-US" w:eastAsia="zh-CN"/>
              </w:rPr>
              <w:t>2.26</w:t>
            </w:r>
            <w:r>
              <w:rPr>
                <w:bCs/>
                <w:color w:val="auto"/>
                <w:sz w:val="24"/>
                <w:highlight w:val="none"/>
              </w:rPr>
              <w:t>m</w:t>
            </w:r>
            <w:r>
              <w:rPr>
                <w:bCs/>
                <w:color w:val="auto"/>
                <w:sz w:val="24"/>
                <w:highlight w:val="none"/>
                <w:vertAlign w:val="superscript"/>
              </w:rPr>
              <w:t>3</w:t>
            </w:r>
            <w:r>
              <w:rPr>
                <w:rFonts w:hint="eastAsia" w:ascii="Times New Roman" w:hAnsi="Times New Roman" w:eastAsia="宋体" w:cs="Times New Roman"/>
                <w:bCs/>
                <w:color w:val="auto"/>
                <w:sz w:val="24"/>
                <w:highlight w:val="none"/>
                <w:lang w:val="en-US" w:eastAsia="zh-CN"/>
              </w:rPr>
              <w:t>/d，</w:t>
            </w:r>
            <w:r>
              <w:rPr>
                <w:rFonts w:hint="eastAsia" w:cs="Times New Roman"/>
                <w:bCs/>
                <w:color w:val="auto"/>
                <w:sz w:val="24"/>
                <w:highlight w:val="none"/>
                <w:lang w:val="en-US" w:eastAsia="zh-CN"/>
              </w:rPr>
              <w:t>678</w:t>
            </w:r>
            <w:r>
              <w:rPr>
                <w:bCs/>
                <w:color w:val="auto"/>
                <w:sz w:val="24"/>
                <w:highlight w:val="none"/>
              </w:rPr>
              <w:t>m</w:t>
            </w:r>
            <w:r>
              <w:rPr>
                <w:rFonts w:hint="eastAsia"/>
                <w:bCs/>
                <w:color w:val="auto"/>
                <w:sz w:val="24"/>
                <w:highlight w:val="none"/>
                <w:vertAlign w:val="superscript"/>
              </w:rPr>
              <w:t>3</w:t>
            </w:r>
            <w:r>
              <w:rPr>
                <w:bCs/>
                <w:color w:val="auto"/>
                <w:sz w:val="24"/>
                <w:highlight w:val="none"/>
              </w:rPr>
              <w:t>/a</w:t>
            </w:r>
            <w:r>
              <w:rPr>
                <w:rFonts w:hint="eastAsia"/>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设备清洗</w:t>
            </w:r>
            <w:r>
              <w:rPr>
                <w:rFonts w:hint="eastAsia"/>
                <w:bCs/>
                <w:color w:val="auto"/>
                <w:sz w:val="24"/>
                <w:highlight w:val="none"/>
                <w:lang w:val="en-US" w:eastAsia="zh-CN"/>
              </w:rPr>
              <w:t>废水</w:t>
            </w:r>
            <w:r>
              <w:rPr>
                <w:bCs/>
                <w:color w:val="auto"/>
                <w:sz w:val="24"/>
                <w:highlight w:val="none"/>
              </w:rPr>
              <w:t>量为</w:t>
            </w:r>
            <w:r>
              <w:rPr>
                <w:rFonts w:hint="eastAsia"/>
                <w:bCs/>
                <w:color w:val="auto"/>
                <w:sz w:val="24"/>
                <w:highlight w:val="none"/>
                <w:lang w:val="en-US" w:eastAsia="zh-CN"/>
              </w:rPr>
              <w:t>8.5</w:t>
            </w:r>
            <w:r>
              <w:rPr>
                <w:bCs/>
                <w:color w:val="auto"/>
                <w:sz w:val="24"/>
                <w:highlight w:val="none"/>
              </w:rPr>
              <w:t>m</w:t>
            </w:r>
            <w:r>
              <w:rPr>
                <w:bCs/>
                <w:color w:val="auto"/>
                <w:sz w:val="24"/>
                <w:highlight w:val="none"/>
                <w:vertAlign w:val="superscript"/>
              </w:rPr>
              <w:t>3</w:t>
            </w:r>
            <w:r>
              <w:rPr>
                <w:bCs/>
                <w:color w:val="auto"/>
                <w:sz w:val="24"/>
                <w:highlight w:val="none"/>
              </w:rPr>
              <w:t>/d，</w:t>
            </w:r>
            <w:r>
              <w:rPr>
                <w:rFonts w:hint="eastAsia"/>
                <w:bCs/>
                <w:color w:val="auto"/>
                <w:sz w:val="24"/>
                <w:highlight w:val="none"/>
                <w:lang w:val="en-US" w:eastAsia="zh-CN"/>
              </w:rPr>
              <w:t>2550</w:t>
            </w:r>
            <w:r>
              <w:rPr>
                <w:bCs/>
                <w:color w:val="auto"/>
                <w:sz w:val="24"/>
                <w:highlight w:val="none"/>
              </w:rPr>
              <w:t>m</w:t>
            </w:r>
            <w:r>
              <w:rPr>
                <w:bCs/>
                <w:color w:val="auto"/>
                <w:sz w:val="24"/>
                <w:highlight w:val="none"/>
                <w:vertAlign w:val="superscript"/>
              </w:rPr>
              <w:t>3</w:t>
            </w:r>
            <w:r>
              <w:rPr>
                <w:bCs/>
                <w:color w:val="auto"/>
                <w:sz w:val="24"/>
                <w:highlight w:val="none"/>
              </w:rPr>
              <w:t>/a</w:t>
            </w:r>
            <w:r>
              <w:rPr>
                <w:rFonts w:hint="eastAsia"/>
                <w:bCs/>
                <w:color w:val="auto"/>
                <w:sz w:val="24"/>
                <w:highlight w:val="none"/>
                <w:lang w:eastAsia="zh-CN"/>
              </w:rPr>
              <w:t>，</w:t>
            </w:r>
            <w:r>
              <w:rPr>
                <w:rFonts w:hint="eastAsia"/>
                <w:color w:val="auto"/>
                <w:sz w:val="24"/>
                <w:highlight w:val="none"/>
              </w:rPr>
              <w:t>地面清洁</w:t>
            </w:r>
            <w:r>
              <w:rPr>
                <w:rFonts w:hint="eastAsia"/>
                <w:bCs/>
                <w:color w:val="auto"/>
                <w:sz w:val="24"/>
                <w:highlight w:val="none"/>
              </w:rPr>
              <w:t>废水</w:t>
            </w:r>
            <w:r>
              <w:rPr>
                <w:rFonts w:hint="eastAsia"/>
                <w:bCs/>
                <w:color w:val="auto"/>
                <w:sz w:val="24"/>
                <w:highlight w:val="none"/>
                <w:lang w:val="en-US" w:eastAsia="zh-CN"/>
              </w:rPr>
              <w:t>排放</w:t>
            </w:r>
            <w:r>
              <w:rPr>
                <w:color w:val="auto"/>
                <w:sz w:val="24"/>
                <w:highlight w:val="none"/>
              </w:rPr>
              <w:t>量为</w:t>
            </w:r>
            <w:r>
              <w:rPr>
                <w:rFonts w:hint="eastAsia"/>
                <w:color w:val="auto"/>
                <w:sz w:val="24"/>
                <w:highlight w:val="none"/>
                <w:lang w:val="en-US" w:eastAsia="zh-CN"/>
              </w:rPr>
              <w:t>35.69</w:t>
            </w:r>
            <w:r>
              <w:rPr>
                <w:color w:val="auto"/>
                <w:sz w:val="24"/>
                <w:highlight w:val="none"/>
              </w:rPr>
              <w:t>m</w:t>
            </w:r>
            <w:r>
              <w:rPr>
                <w:color w:val="auto"/>
                <w:sz w:val="24"/>
                <w:highlight w:val="none"/>
                <w:vertAlign w:val="superscript"/>
              </w:rPr>
              <w:t>3</w:t>
            </w:r>
            <w:r>
              <w:rPr>
                <w:color w:val="auto"/>
                <w:sz w:val="24"/>
                <w:highlight w:val="none"/>
              </w:rPr>
              <w:t>/d</w:t>
            </w:r>
            <w:r>
              <w:rPr>
                <w:rFonts w:hint="eastAsia"/>
                <w:bCs/>
                <w:color w:val="auto"/>
                <w:sz w:val="24"/>
                <w:highlight w:val="none"/>
                <w:lang w:eastAsia="zh-CN"/>
              </w:rPr>
              <w:t>，</w:t>
            </w:r>
            <w:r>
              <w:rPr>
                <w:rFonts w:hint="eastAsia"/>
                <w:color w:val="auto"/>
                <w:sz w:val="24"/>
                <w:highlight w:val="none"/>
                <w:lang w:val="en-US" w:eastAsia="zh-CN"/>
              </w:rPr>
              <w:t>10707</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lang w:eastAsia="zh-CN"/>
              </w:rPr>
              <w:t>。</w:t>
            </w:r>
          </w:p>
          <w:p>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因此，</w:t>
            </w:r>
            <w:r>
              <w:rPr>
                <w:rFonts w:hint="eastAsia" w:ascii="Times New Roman" w:hAnsi="Times New Roman" w:eastAsia="宋体" w:cs="Times New Roman"/>
                <w:color w:val="auto"/>
                <w:sz w:val="24"/>
                <w:highlight w:val="none"/>
                <w:lang w:val="en-US" w:eastAsia="zh-CN"/>
              </w:rPr>
              <w:t>本项目最大</w:t>
            </w:r>
            <w:r>
              <w:rPr>
                <w:rFonts w:ascii="Times New Roman" w:hAnsi="Times New Roman" w:eastAsia="宋体" w:cs="Times New Roman"/>
                <w:bCs/>
                <w:color w:val="auto"/>
                <w:sz w:val="24"/>
                <w:highlight w:val="none"/>
              </w:rPr>
              <w:t>废水量为</w:t>
            </w:r>
            <w:r>
              <w:rPr>
                <w:rFonts w:hint="eastAsia"/>
                <w:bCs/>
                <w:color w:val="auto"/>
                <w:sz w:val="24"/>
                <w:highlight w:val="none"/>
                <w:lang w:val="en-US" w:eastAsia="zh-CN"/>
              </w:rPr>
              <w:t>97.17</w:t>
            </w:r>
            <w:r>
              <w:rPr>
                <w:color w:val="auto"/>
                <w:sz w:val="24"/>
                <w:highlight w:val="none"/>
              </w:rPr>
              <w:t>m</w:t>
            </w:r>
            <w:r>
              <w:rPr>
                <w:color w:val="auto"/>
                <w:sz w:val="24"/>
                <w:highlight w:val="none"/>
                <w:vertAlign w:val="superscript"/>
              </w:rPr>
              <w:t>3</w:t>
            </w:r>
            <w:r>
              <w:rPr>
                <w:color w:val="auto"/>
                <w:sz w:val="24"/>
                <w:highlight w:val="none"/>
              </w:rPr>
              <w:t>/d</w:t>
            </w:r>
            <w:r>
              <w:rPr>
                <w:rFonts w:hint="eastAsia"/>
                <w:bCs/>
                <w:color w:val="auto"/>
                <w:sz w:val="24"/>
                <w:highlight w:val="none"/>
                <w:lang w:eastAsia="zh-CN"/>
              </w:rPr>
              <w:t>，</w:t>
            </w:r>
            <w:r>
              <w:rPr>
                <w:rFonts w:hint="eastAsia"/>
                <w:color w:val="auto"/>
                <w:sz w:val="24"/>
                <w:highlight w:val="none"/>
                <w:lang w:val="en-US" w:eastAsia="zh-CN"/>
              </w:rPr>
              <w:t>27722.3</w:t>
            </w:r>
            <w:r>
              <w:rPr>
                <w:color w:val="auto"/>
                <w:sz w:val="24"/>
                <w:highlight w:val="none"/>
              </w:rPr>
              <w:t>m</w:t>
            </w:r>
            <w:r>
              <w:rPr>
                <w:color w:val="auto"/>
                <w:sz w:val="24"/>
                <w:highlight w:val="none"/>
                <w:vertAlign w:val="superscript"/>
              </w:rPr>
              <w:t>3</w:t>
            </w:r>
            <w:r>
              <w:rPr>
                <w:color w:val="auto"/>
                <w:sz w:val="24"/>
                <w:highlight w:val="none"/>
              </w:rPr>
              <w:t>/a</w:t>
            </w:r>
            <w:r>
              <w:rPr>
                <w:rFonts w:ascii="Times New Roman" w:hAnsi="Times New Roman" w:eastAsia="宋体" w:cs="Times New Roman"/>
                <w:color w:val="auto"/>
                <w:sz w:val="24"/>
                <w:highlight w:val="none"/>
              </w:rPr>
              <w:t>。</w:t>
            </w:r>
          </w:p>
          <w:p>
            <w:pPr>
              <w:spacing w:line="360" w:lineRule="auto"/>
              <w:ind w:firstLine="482" w:firstLineChars="200"/>
              <w:rPr>
                <w:b/>
                <w:bCs/>
                <w:color w:val="auto"/>
                <w:sz w:val="24"/>
                <w:highlight w:val="none"/>
              </w:rPr>
            </w:pPr>
            <w:r>
              <w:rPr>
                <w:b/>
                <w:bCs/>
                <w:color w:val="auto"/>
                <w:sz w:val="24"/>
                <w:highlight w:val="none"/>
              </w:rPr>
              <w:t>2、治理措施</w:t>
            </w:r>
          </w:p>
          <w:p>
            <w:pPr>
              <w:spacing w:line="360" w:lineRule="auto"/>
              <w:ind w:firstLine="480" w:firstLineChars="200"/>
              <w:rPr>
                <w:rFonts w:hint="default" w:eastAsia="宋体"/>
                <w:color w:val="auto"/>
                <w:sz w:val="24"/>
                <w:highlight w:val="none"/>
                <w:lang w:val="en-US" w:eastAsia="zh-CN"/>
              </w:rPr>
            </w:pPr>
            <w:r>
              <w:rPr>
                <w:bCs/>
                <w:color w:val="auto"/>
                <w:sz w:val="24"/>
                <w:highlight w:val="none"/>
              </w:rPr>
              <w:t>本项目排水采用雨污分流制。雨水排入市政雨水管</w:t>
            </w:r>
            <w:r>
              <w:rPr>
                <w:rFonts w:hint="eastAsia"/>
                <w:bCs/>
                <w:color w:val="auto"/>
                <w:sz w:val="24"/>
                <w:highlight w:val="none"/>
                <w:lang w:val="en-US" w:eastAsia="zh-CN"/>
              </w:rPr>
              <w:t>网</w:t>
            </w:r>
            <w:r>
              <w:rPr>
                <w:rFonts w:hint="eastAsia"/>
                <w:bCs/>
                <w:color w:val="auto"/>
                <w:sz w:val="24"/>
                <w:highlight w:val="none"/>
                <w:lang w:eastAsia="zh-CN"/>
              </w:rPr>
              <w:t>。</w:t>
            </w:r>
            <w:r>
              <w:rPr>
                <w:color w:val="auto"/>
                <w:sz w:val="24"/>
                <w:highlight w:val="none"/>
              </w:rPr>
              <w:t>本项目</w:t>
            </w:r>
            <w:r>
              <w:rPr>
                <w:rFonts w:hint="eastAsia"/>
                <w:color w:val="auto"/>
                <w:sz w:val="24"/>
                <w:highlight w:val="none"/>
                <w:lang w:val="en-US" w:eastAsia="zh-CN"/>
              </w:rPr>
              <w:t>依托现有项目已建的食堂</w:t>
            </w:r>
            <w:r>
              <w:rPr>
                <w:color w:val="auto"/>
                <w:sz w:val="24"/>
                <w:highlight w:val="none"/>
              </w:rPr>
              <w:t>隔油池</w:t>
            </w:r>
            <w:r>
              <w:rPr>
                <w:rFonts w:hint="eastAsia"/>
                <w:color w:val="auto"/>
                <w:sz w:val="24"/>
                <w:highlight w:val="none"/>
                <w:lang w:eastAsia="zh-CN"/>
              </w:rPr>
              <w:t>、</w:t>
            </w:r>
            <w:r>
              <w:rPr>
                <w:rFonts w:hint="eastAsia"/>
                <w:color w:val="auto"/>
                <w:sz w:val="24"/>
                <w:highlight w:val="none"/>
                <w:lang w:val="en-US" w:eastAsia="zh-CN"/>
              </w:rPr>
              <w:t>生活污水预处理池和污水处理站</w:t>
            </w:r>
            <w:r>
              <w:rPr>
                <w:color w:val="auto"/>
                <w:sz w:val="24"/>
                <w:highlight w:val="none"/>
              </w:rPr>
              <w:t>，</w:t>
            </w:r>
            <w:r>
              <w:rPr>
                <w:rFonts w:hint="eastAsia"/>
                <w:bCs/>
                <w:color w:val="auto"/>
                <w:sz w:val="24"/>
                <w:highlight w:val="none"/>
                <w:lang w:eastAsia="zh-CN"/>
              </w:rPr>
              <w:t>食堂废水</w:t>
            </w:r>
            <w:r>
              <w:rPr>
                <w:rFonts w:hint="eastAsia"/>
                <w:bCs/>
                <w:color w:val="auto"/>
                <w:sz w:val="24"/>
                <w:highlight w:val="none"/>
                <w:lang w:val="en-US" w:eastAsia="zh-CN"/>
              </w:rPr>
              <w:t>先</w:t>
            </w:r>
            <w:r>
              <w:rPr>
                <w:bCs/>
                <w:color w:val="auto"/>
                <w:sz w:val="24"/>
                <w:highlight w:val="none"/>
              </w:rPr>
              <w:t>经</w:t>
            </w:r>
            <w:r>
              <w:rPr>
                <w:rFonts w:hint="eastAsia"/>
                <w:bCs/>
                <w:color w:val="auto"/>
                <w:sz w:val="24"/>
                <w:highlight w:val="none"/>
                <w:lang w:val="en-US" w:eastAsia="zh-CN"/>
              </w:rPr>
              <w:t>食堂</w:t>
            </w:r>
            <w:r>
              <w:rPr>
                <w:bCs/>
                <w:color w:val="auto"/>
                <w:sz w:val="24"/>
                <w:highlight w:val="none"/>
              </w:rPr>
              <w:t>隔油池处理</w:t>
            </w:r>
            <w:r>
              <w:rPr>
                <w:rFonts w:hint="eastAsia"/>
                <w:bCs/>
                <w:color w:val="auto"/>
                <w:sz w:val="24"/>
                <w:highlight w:val="none"/>
                <w:lang w:eastAsia="zh-CN"/>
              </w:rPr>
              <w:t>，</w:t>
            </w:r>
            <w:r>
              <w:rPr>
                <w:bCs/>
                <w:color w:val="auto"/>
                <w:sz w:val="24"/>
                <w:highlight w:val="none"/>
              </w:rPr>
              <w:t>生活污水</w:t>
            </w:r>
            <w:r>
              <w:rPr>
                <w:rFonts w:hint="eastAsia"/>
                <w:bCs/>
                <w:color w:val="auto"/>
                <w:sz w:val="24"/>
                <w:highlight w:val="none"/>
                <w:lang w:val="en-US" w:eastAsia="zh-CN"/>
              </w:rPr>
              <w:t>先经预处理池处理</w:t>
            </w:r>
            <w:r>
              <w:rPr>
                <w:rFonts w:hint="eastAsia"/>
                <w:bCs/>
                <w:color w:val="auto"/>
                <w:sz w:val="24"/>
                <w:highlight w:val="none"/>
                <w:lang w:eastAsia="zh-CN"/>
              </w:rPr>
              <w:t>，</w:t>
            </w:r>
            <w:r>
              <w:rPr>
                <w:rFonts w:hint="eastAsia"/>
                <w:bCs/>
                <w:color w:val="auto"/>
                <w:sz w:val="24"/>
                <w:highlight w:val="none"/>
                <w:lang w:val="en-US" w:eastAsia="zh-CN"/>
              </w:rPr>
              <w:t>再汇同生产废水</w:t>
            </w:r>
            <w:r>
              <w:rPr>
                <w:color w:val="auto"/>
                <w:sz w:val="24"/>
                <w:highlight w:val="none"/>
              </w:rPr>
              <w:t>经</w:t>
            </w:r>
            <w:r>
              <w:rPr>
                <w:rFonts w:hint="eastAsia"/>
                <w:color w:val="auto"/>
                <w:sz w:val="24"/>
                <w:highlight w:val="none"/>
                <w:lang w:val="en-US" w:eastAsia="zh-CN"/>
              </w:rPr>
              <w:t>污水处理站</w:t>
            </w:r>
            <w:r>
              <w:rPr>
                <w:color w:val="auto"/>
                <w:sz w:val="24"/>
                <w:highlight w:val="none"/>
              </w:rPr>
              <w:t>处理，达《污水综合排放标准》（GB8978-1996）三级标准后</w:t>
            </w:r>
            <w:r>
              <w:rPr>
                <w:rFonts w:hint="eastAsia"/>
                <w:color w:val="auto"/>
                <w:sz w:val="24"/>
                <w:highlight w:val="none"/>
                <w:lang w:val="en-US" w:eastAsia="zh-CN"/>
              </w:rPr>
              <w:t>进</w:t>
            </w:r>
            <w:r>
              <w:rPr>
                <w:color w:val="auto"/>
                <w:sz w:val="24"/>
                <w:highlight w:val="none"/>
              </w:rPr>
              <w:t>入市政管网，</w:t>
            </w:r>
            <w:r>
              <w:rPr>
                <w:rFonts w:hint="eastAsia"/>
                <w:color w:val="auto"/>
                <w:sz w:val="24"/>
                <w:highlight w:val="none"/>
                <w:lang w:val="en-US" w:eastAsia="zh-CN"/>
              </w:rPr>
              <w:t>经</w:t>
            </w:r>
            <w:r>
              <w:rPr>
                <w:color w:val="auto"/>
                <w:sz w:val="24"/>
                <w:highlight w:val="none"/>
              </w:rPr>
              <w:t>园区污水处理厂处理</w:t>
            </w:r>
            <w:r>
              <w:rPr>
                <w:rFonts w:hint="eastAsia"/>
                <w:color w:val="auto"/>
                <w:sz w:val="24"/>
                <w:highlight w:val="none"/>
                <w:lang w:eastAsia="zh-CN"/>
              </w:rPr>
              <w:t>，</w:t>
            </w:r>
            <w:r>
              <w:rPr>
                <w:color w:val="auto"/>
                <w:sz w:val="24"/>
                <w:highlight w:val="none"/>
              </w:rPr>
              <w:t>园区污水处理厂</w:t>
            </w:r>
            <w:r>
              <w:rPr>
                <w:rFonts w:hint="eastAsia"/>
                <w:color w:val="auto"/>
                <w:sz w:val="24"/>
                <w:highlight w:val="none"/>
                <w:lang w:val="en-US" w:eastAsia="zh-CN"/>
              </w:rPr>
              <w:t>近期</w:t>
            </w:r>
            <w:r>
              <w:rPr>
                <w:color w:val="auto"/>
                <w:sz w:val="24"/>
                <w:highlight w:val="none"/>
              </w:rPr>
              <w:t>达到《城镇污水处理厂污染物排放标准》（GB18918-2002）一级A标准</w:t>
            </w:r>
            <w:r>
              <w:rPr>
                <w:rFonts w:hint="eastAsia"/>
                <w:color w:val="auto"/>
                <w:sz w:val="24"/>
                <w:highlight w:val="none"/>
                <w:lang w:eastAsia="zh-CN"/>
              </w:rPr>
              <w:t>，</w:t>
            </w:r>
            <w:r>
              <w:rPr>
                <w:rFonts w:hint="eastAsia"/>
                <w:color w:val="auto"/>
                <w:sz w:val="24"/>
                <w:highlight w:val="none"/>
                <w:lang w:val="en-US" w:eastAsia="zh-CN"/>
              </w:rPr>
              <w:t>远期达到《四川省岷江、沱江流域水污染物排放标准》（DB51/2311-2016）城镇污水处理厂排放标准，处理达标</w:t>
            </w:r>
            <w:r>
              <w:rPr>
                <w:color w:val="auto"/>
                <w:sz w:val="24"/>
                <w:highlight w:val="none"/>
              </w:rPr>
              <w:t>后排入</w:t>
            </w:r>
            <w:r>
              <w:rPr>
                <w:rFonts w:hint="eastAsia"/>
                <w:color w:val="auto"/>
                <w:sz w:val="24"/>
                <w:highlight w:val="none"/>
                <w:lang w:val="en-US" w:eastAsia="zh-CN"/>
              </w:rPr>
              <w:t>大坝</w:t>
            </w:r>
            <w:r>
              <w:rPr>
                <w:color w:val="auto"/>
                <w:sz w:val="24"/>
                <w:highlight w:val="none"/>
              </w:rPr>
              <w:t>河</w:t>
            </w:r>
            <w:r>
              <w:rPr>
                <w:rFonts w:hint="eastAsia"/>
                <w:color w:val="auto"/>
                <w:sz w:val="24"/>
                <w:highlight w:val="none"/>
                <w:lang w:eastAsia="zh-CN"/>
              </w:rPr>
              <w:t>。</w:t>
            </w:r>
          </w:p>
          <w:p>
            <w:pPr>
              <w:spacing w:line="360" w:lineRule="auto"/>
              <w:ind w:firstLine="480" w:firstLineChars="200"/>
              <w:rPr>
                <w:rFonts w:hint="eastAsia"/>
                <w:color w:val="auto"/>
                <w:sz w:val="24"/>
                <w:highlight w:val="none"/>
                <w:lang w:eastAsia="zh-CN"/>
              </w:rPr>
            </w:pPr>
          </w:p>
          <w:p>
            <w:pPr>
              <w:spacing w:line="240" w:lineRule="auto"/>
              <w:rPr>
                <w:rFonts w:hint="eastAsia"/>
                <w:color w:val="auto"/>
                <w:sz w:val="4"/>
                <w:szCs w:val="4"/>
                <w:highlight w:val="none"/>
                <w:lang w:eastAsia="zh-CN"/>
              </w:rPr>
            </w:pPr>
          </w:p>
          <w:p>
            <w:pPr>
              <w:pStyle w:val="2"/>
              <w:spacing w:line="240" w:lineRule="auto"/>
              <w:rPr>
                <w:rFonts w:hint="eastAsia"/>
                <w:color w:val="auto"/>
                <w:sz w:val="4"/>
                <w:szCs w:val="8"/>
                <w:highlight w:val="none"/>
                <w:lang w:eastAsia="zh-CN"/>
              </w:rPr>
            </w:pPr>
          </w:p>
          <w:p>
            <w:pPr>
              <w:rPr>
                <w:rFonts w:hint="eastAsia"/>
                <w:color w:val="auto"/>
                <w:sz w:val="4"/>
                <w:szCs w:val="8"/>
                <w:highlight w:val="none"/>
                <w:lang w:eastAsia="zh-CN"/>
              </w:rPr>
            </w:pPr>
          </w:p>
          <w:p>
            <w:pPr>
              <w:pStyle w:val="2"/>
              <w:rPr>
                <w:rFonts w:hint="eastAsia"/>
                <w:color w:val="auto"/>
                <w:sz w:val="4"/>
                <w:szCs w:val="8"/>
                <w:highlight w:val="none"/>
                <w:lang w:eastAsia="zh-CN"/>
              </w:rPr>
            </w:pPr>
          </w:p>
          <w:p>
            <w:pPr>
              <w:rPr>
                <w:rFonts w:hint="eastAsia"/>
                <w:color w:val="auto"/>
                <w:sz w:val="4"/>
                <w:szCs w:val="8"/>
                <w:highlight w:val="none"/>
                <w:lang w:eastAsia="zh-CN"/>
              </w:rPr>
            </w:pPr>
          </w:p>
          <w:p>
            <w:pPr>
              <w:pStyle w:val="2"/>
              <w:rPr>
                <w:rFonts w:hint="eastAsia"/>
                <w:color w:val="auto"/>
                <w:lang w:eastAsia="zh-CN"/>
              </w:rPr>
            </w:pPr>
          </w:p>
          <w:p>
            <w:pPr>
              <w:rPr>
                <w:rFonts w:hint="eastAsia"/>
                <w:color w:val="auto"/>
                <w:sz w:val="4"/>
                <w:szCs w:val="8"/>
                <w:highlight w:val="none"/>
                <w:lang w:eastAsia="zh-CN"/>
              </w:rPr>
            </w:pPr>
          </w:p>
          <w:p>
            <w:pPr>
              <w:pStyle w:val="2"/>
              <w:rPr>
                <w:rFonts w:hint="eastAsia"/>
                <w:color w:val="auto"/>
                <w:sz w:val="15"/>
                <w:szCs w:val="15"/>
                <w:lang w:eastAsia="zh-CN"/>
              </w:rPr>
            </w:pPr>
          </w:p>
          <w:p>
            <w:pPr>
              <w:spacing w:line="240" w:lineRule="auto"/>
              <w:rPr>
                <w:rFonts w:hint="eastAsia"/>
                <w:color w:val="auto"/>
                <w:sz w:val="4"/>
                <w:szCs w:val="4"/>
                <w:highlight w:val="none"/>
                <w:lang w:eastAsia="zh-CN"/>
              </w:rPr>
            </w:pPr>
          </w:p>
          <w:p>
            <w:pPr>
              <w:pStyle w:val="41"/>
              <w:bidi w:val="0"/>
              <w:rPr>
                <w:color w:val="auto"/>
                <w:highlight w:val="none"/>
              </w:rPr>
            </w:pPr>
            <w:r>
              <w:rPr>
                <w:color w:val="auto"/>
                <w:highlight w:val="none"/>
              </w:rPr>
              <w:t>表4-</w:t>
            </w:r>
            <w:r>
              <w:rPr>
                <w:rFonts w:hint="eastAsia"/>
                <w:color w:val="auto"/>
                <w:highlight w:val="none"/>
                <w:lang w:val="en-US" w:eastAsia="zh-CN"/>
              </w:rPr>
              <w:t>7</w:t>
            </w:r>
            <w:r>
              <w:rPr>
                <w:color w:val="auto"/>
                <w:highlight w:val="none"/>
              </w:rPr>
              <w:t xml:space="preserve">  项目废水产生及排放情况统计</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030"/>
              <w:gridCol w:w="944"/>
              <w:gridCol w:w="860"/>
              <w:gridCol w:w="860"/>
              <w:gridCol w:w="786"/>
              <w:gridCol w:w="760"/>
              <w:gridCol w:w="760"/>
              <w:gridCol w:w="761"/>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57" w:type="pct"/>
                  <w:gridSpan w:val="2"/>
                  <w:noWrap w:val="0"/>
                  <w:vAlign w:val="center"/>
                </w:tcPr>
                <w:p>
                  <w:pPr>
                    <w:adjustRightInd w:val="0"/>
                    <w:snapToGrid w:val="0"/>
                    <w:jc w:val="center"/>
                    <w:rPr>
                      <w:b/>
                      <w:bCs/>
                      <w:color w:val="auto"/>
                      <w:highlight w:val="none"/>
                    </w:rPr>
                  </w:pPr>
                  <w:r>
                    <w:rPr>
                      <w:b/>
                      <w:bCs/>
                      <w:color w:val="auto"/>
                      <w:highlight w:val="none"/>
                    </w:rPr>
                    <w:t>废水性质</w:t>
                  </w:r>
                </w:p>
              </w:tc>
              <w:tc>
                <w:tcPr>
                  <w:tcW w:w="572" w:type="pct"/>
                  <w:noWrap w:val="0"/>
                  <w:vAlign w:val="center"/>
                </w:tcPr>
                <w:p>
                  <w:pPr>
                    <w:adjustRightInd w:val="0"/>
                    <w:snapToGrid w:val="0"/>
                    <w:jc w:val="center"/>
                    <w:rPr>
                      <w:b/>
                      <w:bCs/>
                      <w:color w:val="auto"/>
                      <w:highlight w:val="none"/>
                    </w:rPr>
                  </w:pPr>
                  <w:r>
                    <w:rPr>
                      <w:b/>
                      <w:bCs/>
                      <w:color w:val="auto"/>
                      <w:highlight w:val="none"/>
                    </w:rPr>
                    <w:t>排水量（</w:t>
                  </w:r>
                  <w:r>
                    <w:rPr>
                      <w:b/>
                      <w:bCs/>
                      <w:color w:val="auto"/>
                      <w:sz w:val="24"/>
                      <w:highlight w:val="none"/>
                    </w:rPr>
                    <w:t>m</w:t>
                  </w:r>
                  <w:r>
                    <w:rPr>
                      <w:rFonts w:hint="eastAsia"/>
                      <w:b/>
                      <w:bCs/>
                      <w:color w:val="auto"/>
                      <w:sz w:val="24"/>
                      <w:highlight w:val="none"/>
                      <w:vertAlign w:val="superscript"/>
                    </w:rPr>
                    <w:t>3</w:t>
                  </w:r>
                  <w:r>
                    <w:rPr>
                      <w:b/>
                      <w:bCs/>
                      <w:color w:val="auto"/>
                      <w:highlight w:val="none"/>
                    </w:rPr>
                    <w:t>/a）</w:t>
                  </w:r>
                </w:p>
              </w:tc>
              <w:tc>
                <w:tcPr>
                  <w:tcW w:w="521" w:type="pct"/>
                  <w:noWrap w:val="0"/>
                  <w:vAlign w:val="center"/>
                </w:tcPr>
                <w:p>
                  <w:pPr>
                    <w:adjustRightInd w:val="0"/>
                    <w:snapToGrid w:val="0"/>
                    <w:jc w:val="center"/>
                    <w:rPr>
                      <w:b/>
                      <w:bCs/>
                      <w:color w:val="auto"/>
                      <w:highlight w:val="none"/>
                    </w:rPr>
                  </w:pPr>
                  <w:r>
                    <w:rPr>
                      <w:b/>
                      <w:bCs/>
                      <w:color w:val="auto"/>
                      <w:highlight w:val="none"/>
                    </w:rPr>
                    <w:t>COD</w:t>
                  </w:r>
                  <w:r>
                    <w:rPr>
                      <w:rFonts w:hint="eastAsia"/>
                      <w:b/>
                      <w:bCs/>
                      <w:color w:val="auto"/>
                      <w:highlight w:val="none"/>
                      <w:vertAlign w:val="subscript"/>
                    </w:rPr>
                    <w:t>Cr</w:t>
                  </w:r>
                </w:p>
              </w:tc>
              <w:tc>
                <w:tcPr>
                  <w:tcW w:w="521" w:type="pct"/>
                  <w:noWrap w:val="0"/>
                  <w:vAlign w:val="center"/>
                </w:tcPr>
                <w:p>
                  <w:pPr>
                    <w:adjustRightInd w:val="0"/>
                    <w:snapToGrid w:val="0"/>
                    <w:jc w:val="center"/>
                    <w:rPr>
                      <w:b/>
                      <w:bCs/>
                      <w:color w:val="auto"/>
                      <w:highlight w:val="none"/>
                    </w:rPr>
                  </w:pPr>
                  <w:r>
                    <w:rPr>
                      <w:b/>
                      <w:bCs/>
                      <w:color w:val="auto"/>
                      <w:highlight w:val="none"/>
                    </w:rPr>
                    <w:t>BOD</w:t>
                  </w:r>
                  <w:r>
                    <w:rPr>
                      <w:b/>
                      <w:bCs/>
                      <w:color w:val="auto"/>
                      <w:kern w:val="0"/>
                      <w:szCs w:val="21"/>
                      <w:highlight w:val="none"/>
                      <w:vertAlign w:val="subscript"/>
                      <w:lang w:bidi="ar"/>
                    </w:rPr>
                    <w:t>5</w:t>
                  </w:r>
                </w:p>
              </w:tc>
              <w:tc>
                <w:tcPr>
                  <w:tcW w:w="476" w:type="pct"/>
                  <w:noWrap w:val="0"/>
                  <w:vAlign w:val="center"/>
                </w:tcPr>
                <w:p>
                  <w:pPr>
                    <w:adjustRightInd w:val="0"/>
                    <w:snapToGrid w:val="0"/>
                    <w:jc w:val="center"/>
                    <w:rPr>
                      <w:b/>
                      <w:bCs/>
                      <w:color w:val="auto"/>
                      <w:highlight w:val="none"/>
                    </w:rPr>
                  </w:pPr>
                  <w:r>
                    <w:rPr>
                      <w:b/>
                      <w:bCs/>
                      <w:color w:val="auto"/>
                      <w:highlight w:val="none"/>
                    </w:rPr>
                    <w:t>NH</w:t>
                  </w:r>
                  <w:r>
                    <w:rPr>
                      <w:b/>
                      <w:bCs/>
                      <w:color w:val="auto"/>
                      <w:kern w:val="0"/>
                      <w:szCs w:val="21"/>
                      <w:highlight w:val="none"/>
                      <w:vertAlign w:val="subscript"/>
                      <w:lang w:bidi="ar"/>
                    </w:rPr>
                    <w:t>3</w:t>
                  </w:r>
                  <w:r>
                    <w:rPr>
                      <w:b/>
                      <w:bCs/>
                      <w:color w:val="auto"/>
                      <w:highlight w:val="none"/>
                    </w:rPr>
                    <w:t>-N</w:t>
                  </w:r>
                </w:p>
              </w:tc>
              <w:tc>
                <w:tcPr>
                  <w:tcW w:w="461" w:type="pct"/>
                  <w:noWrap w:val="0"/>
                  <w:vAlign w:val="center"/>
                </w:tcPr>
                <w:p>
                  <w:pPr>
                    <w:adjustRightInd w:val="0"/>
                    <w:snapToGrid w:val="0"/>
                    <w:jc w:val="center"/>
                    <w:rPr>
                      <w:b/>
                      <w:bCs/>
                      <w:color w:val="auto"/>
                      <w:highlight w:val="none"/>
                    </w:rPr>
                  </w:pPr>
                  <w:r>
                    <w:rPr>
                      <w:b/>
                      <w:bCs/>
                      <w:color w:val="auto"/>
                      <w:highlight w:val="none"/>
                    </w:rPr>
                    <w:t>SS</w:t>
                  </w:r>
                </w:p>
              </w:tc>
              <w:tc>
                <w:tcPr>
                  <w:tcW w:w="461" w:type="pct"/>
                  <w:noWrap w:val="0"/>
                  <w:vAlign w:val="center"/>
                </w:tcPr>
                <w:p>
                  <w:pPr>
                    <w:adjustRightInd w:val="0"/>
                    <w:snapToGrid w:val="0"/>
                    <w:jc w:val="center"/>
                    <w:rPr>
                      <w:b/>
                      <w:bCs/>
                      <w:color w:val="auto"/>
                      <w:highlight w:val="none"/>
                    </w:rPr>
                  </w:pPr>
                  <w:r>
                    <w:rPr>
                      <w:b/>
                      <w:bCs/>
                      <w:color w:val="auto"/>
                      <w:highlight w:val="none"/>
                    </w:rPr>
                    <w:t>TP</w:t>
                  </w:r>
                </w:p>
              </w:tc>
              <w:tc>
                <w:tcPr>
                  <w:tcW w:w="461" w:type="pct"/>
                  <w:noWrap w:val="0"/>
                  <w:vAlign w:val="center"/>
                </w:tcPr>
                <w:p>
                  <w:pPr>
                    <w:adjustRightInd w:val="0"/>
                    <w:snapToGrid w:val="0"/>
                    <w:jc w:val="center"/>
                    <w:rPr>
                      <w:b/>
                      <w:bCs/>
                      <w:color w:val="auto"/>
                      <w:highlight w:val="none"/>
                    </w:rPr>
                  </w:pPr>
                  <w:r>
                    <w:rPr>
                      <w:b/>
                      <w:bCs/>
                      <w:color w:val="auto"/>
                      <w:highlight w:val="none"/>
                    </w:rPr>
                    <w:t>动植物油</w:t>
                  </w:r>
                </w:p>
              </w:tc>
              <w:tc>
                <w:tcPr>
                  <w:tcW w:w="464" w:type="pct"/>
                  <w:noWrap w:val="0"/>
                  <w:vAlign w:val="center"/>
                </w:tcPr>
                <w:p>
                  <w:pPr>
                    <w:adjustRightInd w:val="0"/>
                    <w:snapToGrid w:val="0"/>
                    <w:jc w:val="center"/>
                    <w:rPr>
                      <w:rFonts w:hint="default" w:eastAsia="宋体"/>
                      <w:b/>
                      <w:bCs/>
                      <w:color w:val="auto"/>
                      <w:highlight w:val="none"/>
                      <w:lang w:val="en-US" w:eastAsia="zh-CN"/>
                    </w:rPr>
                  </w:pPr>
                  <w:r>
                    <w:rPr>
                      <w:rFonts w:hint="eastAsia"/>
                      <w:b/>
                      <w:bCs/>
                      <w:color w:val="auto"/>
                      <w:highlight w:val="none"/>
                      <w:lang w:val="en-US" w:eastAsia="zh-CN"/>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32" w:type="pct"/>
                  <w:vMerge w:val="restart"/>
                  <w:noWrap w:val="0"/>
                  <w:vAlign w:val="center"/>
                </w:tcPr>
                <w:p>
                  <w:pPr>
                    <w:adjustRightInd w:val="0"/>
                    <w:snapToGrid w:val="0"/>
                    <w:jc w:val="center"/>
                    <w:rPr>
                      <w:color w:val="auto"/>
                      <w:highlight w:val="none"/>
                    </w:rPr>
                  </w:pPr>
                  <w:r>
                    <w:rPr>
                      <w:color w:val="auto"/>
                      <w:highlight w:val="none"/>
                    </w:rPr>
                    <w:t>处理前</w:t>
                  </w:r>
                </w:p>
              </w:tc>
              <w:tc>
                <w:tcPr>
                  <w:tcW w:w="625" w:type="pct"/>
                  <w:noWrap w:val="0"/>
                  <w:vAlign w:val="center"/>
                </w:tcPr>
                <w:p>
                  <w:pPr>
                    <w:adjustRightInd w:val="0"/>
                    <w:snapToGrid w:val="0"/>
                    <w:jc w:val="center"/>
                    <w:rPr>
                      <w:color w:val="auto"/>
                      <w:highlight w:val="none"/>
                    </w:rPr>
                  </w:pPr>
                  <w:r>
                    <w:rPr>
                      <w:color w:val="auto"/>
                      <w:highlight w:val="none"/>
                    </w:rPr>
                    <w:t>浓度（mg/L）</w:t>
                  </w:r>
                </w:p>
              </w:tc>
              <w:tc>
                <w:tcPr>
                  <w:tcW w:w="572" w:type="pct"/>
                  <w:vMerge w:val="restart"/>
                  <w:noWrap w:val="0"/>
                  <w:vAlign w:val="center"/>
                </w:tcPr>
                <w:p>
                  <w:pPr>
                    <w:adjustRightInd w:val="0"/>
                    <w:snapToGrid w:val="0"/>
                    <w:jc w:val="center"/>
                    <w:rPr>
                      <w:rFonts w:hint="default" w:eastAsia="宋体"/>
                      <w:color w:val="auto"/>
                      <w:highlight w:val="none"/>
                      <w:lang w:val="en-US" w:eastAsia="zh-CN"/>
                    </w:rPr>
                  </w:pPr>
                  <w:r>
                    <w:rPr>
                      <w:rFonts w:hint="default" w:eastAsia="宋体"/>
                      <w:color w:val="auto"/>
                      <w:highlight w:val="none"/>
                      <w:lang w:val="en-US" w:eastAsia="zh-CN"/>
                    </w:rPr>
                    <w:t>27722.3</w:t>
                  </w:r>
                </w:p>
              </w:tc>
              <w:tc>
                <w:tcPr>
                  <w:tcW w:w="8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3500</w:t>
                  </w:r>
                </w:p>
              </w:tc>
              <w:tc>
                <w:tcPr>
                  <w:tcW w:w="8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1500</w:t>
                  </w:r>
                </w:p>
              </w:tc>
              <w:tc>
                <w:tcPr>
                  <w:tcW w:w="78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7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160</w:t>
                  </w:r>
                </w:p>
              </w:tc>
              <w:tc>
                <w:tcPr>
                  <w:tcW w:w="7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7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32" w:type="pct"/>
                  <w:vMerge w:val="continue"/>
                  <w:noWrap w:val="0"/>
                  <w:vAlign w:val="center"/>
                </w:tcPr>
                <w:p>
                  <w:pPr>
                    <w:adjustRightInd w:val="0"/>
                    <w:snapToGrid w:val="0"/>
                    <w:jc w:val="center"/>
                    <w:rPr>
                      <w:color w:val="auto"/>
                      <w:highlight w:val="none"/>
                    </w:rPr>
                  </w:pPr>
                </w:p>
              </w:tc>
              <w:tc>
                <w:tcPr>
                  <w:tcW w:w="625" w:type="pct"/>
                  <w:noWrap w:val="0"/>
                  <w:vAlign w:val="center"/>
                </w:tcPr>
                <w:p>
                  <w:pPr>
                    <w:adjustRightInd w:val="0"/>
                    <w:snapToGrid w:val="0"/>
                    <w:jc w:val="center"/>
                    <w:rPr>
                      <w:color w:val="auto"/>
                      <w:highlight w:val="none"/>
                    </w:rPr>
                  </w:pPr>
                  <w:r>
                    <w:rPr>
                      <w:color w:val="auto"/>
                      <w:highlight w:val="none"/>
                    </w:rPr>
                    <w:t>排放量（t/a）</w:t>
                  </w:r>
                </w:p>
              </w:tc>
              <w:tc>
                <w:tcPr>
                  <w:tcW w:w="572" w:type="pct"/>
                  <w:vMerge w:val="continue"/>
                  <w:noWrap w:val="0"/>
                  <w:vAlign w:val="center"/>
                </w:tcPr>
                <w:p>
                  <w:pPr>
                    <w:adjustRightInd w:val="0"/>
                    <w:snapToGrid w:val="0"/>
                    <w:jc w:val="center"/>
                    <w:rPr>
                      <w:color w:val="auto"/>
                      <w:highlight w:val="none"/>
                    </w:rPr>
                  </w:pPr>
                </w:p>
              </w:tc>
              <w:tc>
                <w:tcPr>
                  <w:tcW w:w="8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97.0281 </w:t>
                  </w:r>
                </w:p>
              </w:tc>
              <w:tc>
                <w:tcPr>
                  <w:tcW w:w="8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41.5835 </w:t>
                  </w:r>
                </w:p>
              </w:tc>
              <w:tc>
                <w:tcPr>
                  <w:tcW w:w="78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1.6633 </w:t>
                  </w:r>
                </w:p>
              </w:tc>
              <w:tc>
                <w:tcPr>
                  <w:tcW w:w="7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4.4356 </w:t>
                  </w:r>
                </w:p>
              </w:tc>
              <w:tc>
                <w:tcPr>
                  <w:tcW w:w="7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0.2772 </w:t>
                  </w:r>
                </w:p>
              </w:tc>
              <w:tc>
                <w:tcPr>
                  <w:tcW w:w="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0.6931 </w:t>
                  </w:r>
                </w:p>
              </w:tc>
              <w:tc>
                <w:tcPr>
                  <w:tcW w:w="7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0.6931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2" w:type="pct"/>
                  <w:vMerge w:val="restart"/>
                  <w:noWrap w:val="0"/>
                  <w:vAlign w:val="center"/>
                </w:tcPr>
                <w:p>
                  <w:pPr>
                    <w:adjustRightInd w:val="0"/>
                    <w:snapToGrid w:val="0"/>
                    <w:jc w:val="center"/>
                    <w:rPr>
                      <w:color w:val="auto"/>
                      <w:highlight w:val="none"/>
                    </w:rPr>
                  </w:pPr>
                  <w:r>
                    <w:rPr>
                      <w:rFonts w:hint="eastAsia"/>
                      <w:color w:val="auto"/>
                      <w:highlight w:val="none"/>
                      <w:lang w:val="en-US" w:eastAsia="zh-CN"/>
                    </w:rPr>
                    <w:t>预处理池、隔油池、污水处理站</w:t>
                  </w:r>
                  <w:r>
                    <w:rPr>
                      <w:color w:val="auto"/>
                      <w:highlight w:val="none"/>
                    </w:rPr>
                    <w:t>处理后</w:t>
                  </w:r>
                </w:p>
              </w:tc>
              <w:tc>
                <w:tcPr>
                  <w:tcW w:w="625" w:type="pct"/>
                  <w:noWrap w:val="0"/>
                  <w:vAlign w:val="center"/>
                </w:tcPr>
                <w:p>
                  <w:pPr>
                    <w:adjustRightInd w:val="0"/>
                    <w:snapToGrid w:val="0"/>
                    <w:jc w:val="center"/>
                    <w:rPr>
                      <w:color w:val="auto"/>
                      <w:highlight w:val="none"/>
                    </w:rPr>
                  </w:pPr>
                  <w:r>
                    <w:rPr>
                      <w:color w:val="auto"/>
                      <w:highlight w:val="none"/>
                    </w:rPr>
                    <w:t>浓度（mg/L）</w:t>
                  </w:r>
                </w:p>
              </w:tc>
              <w:tc>
                <w:tcPr>
                  <w:tcW w:w="572" w:type="pct"/>
                  <w:vMerge w:val="restart"/>
                  <w:noWrap w:val="0"/>
                  <w:vAlign w:val="center"/>
                </w:tcPr>
                <w:p>
                  <w:pPr>
                    <w:adjustRightInd w:val="0"/>
                    <w:snapToGrid w:val="0"/>
                    <w:jc w:val="center"/>
                    <w:rPr>
                      <w:rFonts w:hint="default" w:eastAsia="宋体"/>
                      <w:color w:val="auto"/>
                      <w:highlight w:val="none"/>
                      <w:lang w:val="en-US" w:eastAsia="zh-CN"/>
                    </w:rPr>
                  </w:pPr>
                  <w:r>
                    <w:rPr>
                      <w:rFonts w:hint="default" w:eastAsia="宋体"/>
                      <w:color w:val="auto"/>
                      <w:highlight w:val="none"/>
                      <w:lang w:val="en-US" w:eastAsia="zh-CN"/>
                    </w:rPr>
                    <w:t>27722.3</w:t>
                  </w:r>
                </w:p>
              </w:tc>
              <w:tc>
                <w:tcPr>
                  <w:tcW w:w="8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8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78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7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7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eastAsia" w:cs="Times New Roman"/>
                      <w:i w:val="0"/>
                      <w:iCs w:val="0"/>
                      <w:color w:val="auto"/>
                      <w:kern w:val="0"/>
                      <w:sz w:val="21"/>
                      <w:szCs w:val="21"/>
                      <w:highlight w:val="none"/>
                      <w:u w:val="none"/>
                      <w:lang w:val="en-US" w:eastAsia="zh-CN" w:bidi="ar"/>
                    </w:rPr>
                    <w:t>20</w:t>
                  </w:r>
                </w:p>
              </w:tc>
              <w:tc>
                <w:tcPr>
                  <w:tcW w:w="7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32" w:type="pct"/>
                  <w:vMerge w:val="continue"/>
                  <w:noWrap w:val="0"/>
                  <w:vAlign w:val="center"/>
                </w:tcPr>
                <w:p>
                  <w:pPr>
                    <w:adjustRightInd w:val="0"/>
                    <w:snapToGrid w:val="0"/>
                    <w:jc w:val="center"/>
                    <w:rPr>
                      <w:color w:val="auto"/>
                      <w:highlight w:val="none"/>
                    </w:rPr>
                  </w:pPr>
                </w:p>
              </w:tc>
              <w:tc>
                <w:tcPr>
                  <w:tcW w:w="625" w:type="pct"/>
                  <w:noWrap w:val="0"/>
                  <w:vAlign w:val="center"/>
                </w:tcPr>
                <w:p>
                  <w:pPr>
                    <w:adjustRightInd w:val="0"/>
                    <w:snapToGrid w:val="0"/>
                    <w:jc w:val="center"/>
                    <w:rPr>
                      <w:color w:val="auto"/>
                      <w:highlight w:val="none"/>
                    </w:rPr>
                  </w:pPr>
                  <w:r>
                    <w:rPr>
                      <w:color w:val="auto"/>
                      <w:highlight w:val="none"/>
                    </w:rPr>
                    <w:t>排放量（t/a）</w:t>
                  </w:r>
                </w:p>
              </w:tc>
              <w:tc>
                <w:tcPr>
                  <w:tcW w:w="572" w:type="pct"/>
                  <w:vMerge w:val="continue"/>
                  <w:noWrap w:val="0"/>
                  <w:vAlign w:val="center"/>
                </w:tcPr>
                <w:p>
                  <w:pPr>
                    <w:adjustRightInd w:val="0"/>
                    <w:snapToGrid w:val="0"/>
                    <w:jc w:val="center"/>
                    <w:rPr>
                      <w:color w:val="auto"/>
                      <w:highlight w:val="none"/>
                    </w:rPr>
                  </w:pPr>
                </w:p>
              </w:tc>
              <w:tc>
                <w:tcPr>
                  <w:tcW w:w="8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13.8612 </w:t>
                  </w:r>
                </w:p>
              </w:tc>
              <w:tc>
                <w:tcPr>
                  <w:tcW w:w="8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8.3167 </w:t>
                  </w:r>
                </w:p>
              </w:tc>
              <w:tc>
                <w:tcPr>
                  <w:tcW w:w="78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1.2475 </w:t>
                  </w:r>
                </w:p>
              </w:tc>
              <w:tc>
                <w:tcPr>
                  <w:tcW w:w="7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11.0889 </w:t>
                  </w:r>
                </w:p>
              </w:tc>
              <w:tc>
                <w:tcPr>
                  <w:tcW w:w="7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0.2218 </w:t>
                  </w:r>
                </w:p>
              </w:tc>
              <w:tc>
                <w:tcPr>
                  <w:tcW w:w="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0.5544 </w:t>
                  </w:r>
                </w:p>
              </w:tc>
              <w:tc>
                <w:tcPr>
                  <w:tcW w:w="7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0.5544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32" w:type="pct"/>
                  <w:vMerge w:val="restart"/>
                  <w:noWrap w:val="0"/>
                  <w:vAlign w:val="center"/>
                </w:tcPr>
                <w:p>
                  <w:pPr>
                    <w:adjustRightInd w:val="0"/>
                    <w:snapToGrid w:val="0"/>
                    <w:jc w:val="center"/>
                    <w:rPr>
                      <w:rFonts w:hint="eastAsia" w:eastAsia="宋体"/>
                      <w:color w:val="auto"/>
                      <w:highlight w:val="none"/>
                      <w:lang w:eastAsia="zh-CN"/>
                    </w:rPr>
                  </w:pPr>
                  <w:r>
                    <w:rPr>
                      <w:color w:val="auto"/>
                      <w:highlight w:val="none"/>
                    </w:rPr>
                    <w:t>污水处理厂处理后</w:t>
                  </w:r>
                  <w:r>
                    <w:rPr>
                      <w:rFonts w:hint="eastAsia"/>
                      <w:color w:val="auto"/>
                      <w:highlight w:val="none"/>
                      <w:lang w:eastAsia="zh-CN"/>
                    </w:rPr>
                    <w:t>（</w:t>
                  </w:r>
                  <w:r>
                    <w:rPr>
                      <w:rFonts w:hint="eastAsia"/>
                      <w:color w:val="auto"/>
                      <w:highlight w:val="none"/>
                      <w:lang w:val="en-US" w:eastAsia="zh-CN"/>
                    </w:rPr>
                    <w:t>近期</w:t>
                  </w:r>
                  <w:r>
                    <w:rPr>
                      <w:rFonts w:hint="eastAsia"/>
                      <w:color w:val="auto"/>
                      <w:highlight w:val="none"/>
                      <w:lang w:eastAsia="zh-CN"/>
                    </w:rPr>
                    <w:t>）</w:t>
                  </w:r>
                </w:p>
              </w:tc>
              <w:tc>
                <w:tcPr>
                  <w:tcW w:w="625" w:type="pct"/>
                  <w:noWrap w:val="0"/>
                  <w:vAlign w:val="center"/>
                </w:tcPr>
                <w:p>
                  <w:pPr>
                    <w:adjustRightInd w:val="0"/>
                    <w:snapToGrid w:val="0"/>
                    <w:jc w:val="center"/>
                    <w:rPr>
                      <w:color w:val="auto"/>
                      <w:highlight w:val="none"/>
                    </w:rPr>
                  </w:pPr>
                  <w:r>
                    <w:rPr>
                      <w:color w:val="auto"/>
                      <w:highlight w:val="none"/>
                    </w:rPr>
                    <w:t>浓度（mg/L）</w:t>
                  </w:r>
                </w:p>
              </w:tc>
              <w:tc>
                <w:tcPr>
                  <w:tcW w:w="572" w:type="pct"/>
                  <w:vMerge w:val="restart"/>
                  <w:noWrap w:val="0"/>
                  <w:vAlign w:val="center"/>
                </w:tcPr>
                <w:p>
                  <w:pPr>
                    <w:adjustRightInd w:val="0"/>
                    <w:snapToGrid w:val="0"/>
                    <w:jc w:val="center"/>
                    <w:rPr>
                      <w:rFonts w:hint="default" w:eastAsia="宋体"/>
                      <w:color w:val="auto"/>
                      <w:highlight w:val="none"/>
                      <w:lang w:val="en-US" w:eastAsia="zh-CN"/>
                    </w:rPr>
                  </w:pPr>
                  <w:r>
                    <w:rPr>
                      <w:rFonts w:hint="default" w:eastAsia="宋体"/>
                      <w:color w:val="auto"/>
                      <w:highlight w:val="none"/>
                      <w:lang w:val="en-US" w:eastAsia="zh-CN"/>
                    </w:rPr>
                    <w:t>27722.3</w:t>
                  </w:r>
                </w:p>
              </w:tc>
              <w:tc>
                <w:tcPr>
                  <w:tcW w:w="8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8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78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7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7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32" w:type="pct"/>
                  <w:vMerge w:val="continue"/>
                  <w:noWrap w:val="0"/>
                  <w:vAlign w:val="center"/>
                </w:tcPr>
                <w:p>
                  <w:pPr>
                    <w:adjustRightInd w:val="0"/>
                    <w:snapToGrid w:val="0"/>
                    <w:jc w:val="center"/>
                    <w:rPr>
                      <w:color w:val="auto"/>
                      <w:highlight w:val="none"/>
                    </w:rPr>
                  </w:pPr>
                </w:p>
              </w:tc>
              <w:tc>
                <w:tcPr>
                  <w:tcW w:w="625" w:type="pct"/>
                  <w:noWrap w:val="0"/>
                  <w:vAlign w:val="center"/>
                </w:tcPr>
                <w:p>
                  <w:pPr>
                    <w:adjustRightInd w:val="0"/>
                    <w:snapToGrid w:val="0"/>
                    <w:jc w:val="center"/>
                    <w:rPr>
                      <w:color w:val="auto"/>
                      <w:highlight w:val="none"/>
                    </w:rPr>
                  </w:pPr>
                  <w:r>
                    <w:rPr>
                      <w:color w:val="auto"/>
                      <w:highlight w:val="none"/>
                    </w:rPr>
                    <w:t>排放量（t/a）</w:t>
                  </w:r>
                </w:p>
              </w:tc>
              <w:tc>
                <w:tcPr>
                  <w:tcW w:w="572" w:type="pct"/>
                  <w:vMerge w:val="continue"/>
                  <w:noWrap w:val="0"/>
                  <w:vAlign w:val="center"/>
                </w:tcPr>
                <w:p>
                  <w:pPr>
                    <w:adjustRightInd w:val="0"/>
                    <w:snapToGrid w:val="0"/>
                    <w:jc w:val="center"/>
                    <w:rPr>
                      <w:color w:val="auto"/>
                      <w:highlight w:val="none"/>
                    </w:rPr>
                  </w:pPr>
                </w:p>
              </w:tc>
              <w:tc>
                <w:tcPr>
                  <w:tcW w:w="8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1.3861 </w:t>
                  </w:r>
                </w:p>
              </w:tc>
              <w:tc>
                <w:tcPr>
                  <w:tcW w:w="8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0.2772 </w:t>
                  </w:r>
                </w:p>
              </w:tc>
              <w:tc>
                <w:tcPr>
                  <w:tcW w:w="78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0.1386 </w:t>
                  </w:r>
                </w:p>
              </w:tc>
              <w:tc>
                <w:tcPr>
                  <w:tcW w:w="7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0.2772 </w:t>
                  </w:r>
                </w:p>
              </w:tc>
              <w:tc>
                <w:tcPr>
                  <w:tcW w:w="7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0.0139 </w:t>
                  </w:r>
                </w:p>
              </w:tc>
              <w:tc>
                <w:tcPr>
                  <w:tcW w:w="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0.0277 </w:t>
                  </w:r>
                </w:p>
              </w:tc>
              <w:tc>
                <w:tcPr>
                  <w:tcW w:w="7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32" w:type="pct"/>
                  <w:vMerge w:val="restart"/>
                  <w:noWrap w:val="0"/>
                  <w:vAlign w:val="center"/>
                </w:tcPr>
                <w:p>
                  <w:pPr>
                    <w:adjustRightInd w:val="0"/>
                    <w:snapToGrid w:val="0"/>
                    <w:jc w:val="center"/>
                    <w:rPr>
                      <w:color w:val="auto"/>
                      <w:highlight w:val="none"/>
                    </w:rPr>
                  </w:pPr>
                  <w:r>
                    <w:rPr>
                      <w:color w:val="auto"/>
                      <w:highlight w:val="none"/>
                    </w:rPr>
                    <w:t>污水处理厂处理后</w:t>
                  </w:r>
                  <w:r>
                    <w:rPr>
                      <w:rFonts w:hint="eastAsia"/>
                      <w:color w:val="auto"/>
                      <w:highlight w:val="none"/>
                      <w:lang w:eastAsia="zh-CN"/>
                    </w:rPr>
                    <w:t>（</w:t>
                  </w:r>
                  <w:r>
                    <w:rPr>
                      <w:rFonts w:hint="eastAsia"/>
                      <w:color w:val="auto"/>
                      <w:highlight w:val="none"/>
                      <w:lang w:val="en-US" w:eastAsia="zh-CN"/>
                    </w:rPr>
                    <w:t>远期</w:t>
                  </w:r>
                  <w:r>
                    <w:rPr>
                      <w:rFonts w:hint="eastAsia"/>
                      <w:color w:val="auto"/>
                      <w:highlight w:val="none"/>
                      <w:lang w:eastAsia="zh-CN"/>
                    </w:rPr>
                    <w:t>）</w:t>
                  </w:r>
                </w:p>
              </w:tc>
              <w:tc>
                <w:tcPr>
                  <w:tcW w:w="625" w:type="pct"/>
                  <w:noWrap w:val="0"/>
                  <w:vAlign w:val="center"/>
                </w:tcPr>
                <w:p>
                  <w:pPr>
                    <w:adjustRightInd w:val="0"/>
                    <w:snapToGrid w:val="0"/>
                    <w:jc w:val="center"/>
                    <w:rPr>
                      <w:rFonts w:ascii="Times New Roman" w:hAnsi="Times New Roman" w:eastAsia="宋体"/>
                      <w:color w:val="auto"/>
                      <w:kern w:val="2"/>
                      <w:sz w:val="21"/>
                      <w:szCs w:val="24"/>
                      <w:highlight w:val="none"/>
                      <w:lang w:val="en-US" w:eastAsia="zh-CN" w:bidi="ar-SA"/>
                    </w:rPr>
                  </w:pPr>
                  <w:r>
                    <w:rPr>
                      <w:color w:val="auto"/>
                      <w:highlight w:val="none"/>
                    </w:rPr>
                    <w:t>浓度（mg/L）</w:t>
                  </w:r>
                </w:p>
              </w:tc>
              <w:tc>
                <w:tcPr>
                  <w:tcW w:w="572" w:type="pct"/>
                  <w:vMerge w:val="restart"/>
                  <w:noWrap w:val="0"/>
                  <w:vAlign w:val="center"/>
                </w:tcPr>
                <w:p>
                  <w:pPr>
                    <w:adjustRightInd w:val="0"/>
                    <w:snapToGrid w:val="0"/>
                    <w:jc w:val="center"/>
                    <w:rPr>
                      <w:color w:val="auto"/>
                      <w:highlight w:val="none"/>
                    </w:rPr>
                  </w:pPr>
                  <w:r>
                    <w:rPr>
                      <w:rFonts w:hint="default" w:eastAsia="宋体"/>
                      <w:color w:val="auto"/>
                      <w:highlight w:val="none"/>
                      <w:lang w:val="en-US" w:eastAsia="zh-CN"/>
                    </w:rPr>
                    <w:t>27722.3</w:t>
                  </w:r>
                </w:p>
              </w:tc>
              <w:tc>
                <w:tcPr>
                  <w:tcW w:w="8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8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78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7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c>
                <w:tcPr>
                  <w:tcW w:w="76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32" w:type="pct"/>
                  <w:vMerge w:val="continue"/>
                  <w:noWrap w:val="0"/>
                  <w:vAlign w:val="center"/>
                </w:tcPr>
                <w:p>
                  <w:pPr>
                    <w:adjustRightInd w:val="0"/>
                    <w:snapToGrid w:val="0"/>
                    <w:jc w:val="center"/>
                    <w:rPr>
                      <w:color w:val="auto"/>
                      <w:highlight w:val="none"/>
                    </w:rPr>
                  </w:pPr>
                </w:p>
              </w:tc>
              <w:tc>
                <w:tcPr>
                  <w:tcW w:w="625" w:type="pct"/>
                  <w:noWrap w:val="0"/>
                  <w:vAlign w:val="center"/>
                </w:tcPr>
                <w:p>
                  <w:pPr>
                    <w:adjustRightInd w:val="0"/>
                    <w:snapToGrid w:val="0"/>
                    <w:jc w:val="center"/>
                    <w:rPr>
                      <w:rFonts w:ascii="Times New Roman" w:hAnsi="Times New Roman" w:eastAsia="宋体"/>
                      <w:color w:val="auto"/>
                      <w:kern w:val="2"/>
                      <w:sz w:val="21"/>
                      <w:szCs w:val="24"/>
                      <w:highlight w:val="none"/>
                      <w:lang w:val="en-US" w:eastAsia="zh-CN" w:bidi="ar-SA"/>
                    </w:rPr>
                  </w:pPr>
                  <w:r>
                    <w:rPr>
                      <w:color w:val="auto"/>
                      <w:highlight w:val="none"/>
                    </w:rPr>
                    <w:t>排放量（t/a）</w:t>
                  </w:r>
                </w:p>
              </w:tc>
              <w:tc>
                <w:tcPr>
                  <w:tcW w:w="572" w:type="pct"/>
                  <w:vMerge w:val="continue"/>
                  <w:noWrap w:val="0"/>
                  <w:vAlign w:val="center"/>
                </w:tcPr>
                <w:p>
                  <w:pPr>
                    <w:adjustRightInd w:val="0"/>
                    <w:snapToGrid w:val="0"/>
                    <w:jc w:val="center"/>
                    <w:rPr>
                      <w:color w:val="auto"/>
                      <w:highlight w:val="none"/>
                    </w:rPr>
                  </w:pPr>
                </w:p>
              </w:tc>
              <w:tc>
                <w:tcPr>
                  <w:tcW w:w="8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0.8317 </w:t>
                  </w:r>
                </w:p>
              </w:tc>
              <w:tc>
                <w:tcPr>
                  <w:tcW w:w="8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0.1663 </w:t>
                  </w:r>
                </w:p>
              </w:tc>
              <w:tc>
                <w:tcPr>
                  <w:tcW w:w="78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0.0416 </w:t>
                  </w:r>
                </w:p>
              </w:tc>
              <w:tc>
                <w:tcPr>
                  <w:tcW w:w="7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0.0083 </w:t>
                  </w:r>
                </w:p>
              </w:tc>
              <w:tc>
                <w:tcPr>
                  <w:tcW w:w="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6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2686" w:type="dxa"/>
                  <w:gridSpan w:val="3"/>
                  <w:noWrap w:val="0"/>
                  <w:vAlign w:val="center"/>
                </w:tcPr>
                <w:p>
                  <w:pPr>
                    <w:adjustRightInd w:val="0"/>
                    <w:snapToGrid w:val="0"/>
                    <w:jc w:val="center"/>
                    <w:rPr>
                      <w:rFonts w:hint="default" w:eastAsia="宋体"/>
                      <w:color w:val="auto"/>
                      <w:highlight w:val="none"/>
                      <w:lang w:val="en-US" w:eastAsia="zh-CN"/>
                    </w:rPr>
                  </w:pPr>
                  <w:r>
                    <w:rPr>
                      <w:color w:val="auto"/>
                      <w:highlight w:val="none"/>
                    </w:rPr>
                    <w:t>《污水综合排放标准》（GB8978-1996）三级标准，NH</w:t>
                  </w:r>
                  <w:r>
                    <w:rPr>
                      <w:color w:val="auto"/>
                      <w:highlight w:val="none"/>
                      <w:vertAlign w:val="subscript"/>
                    </w:rPr>
                    <w:t>3</w:t>
                  </w:r>
                  <w:r>
                    <w:rPr>
                      <w:color w:val="auto"/>
                      <w:highlight w:val="none"/>
                    </w:rPr>
                    <w:t>-N、TP执行《污水排入城镇下水道水质标准》（CJ343-201</w:t>
                  </w:r>
                  <w:r>
                    <w:rPr>
                      <w:rFonts w:hint="eastAsia"/>
                      <w:color w:val="auto"/>
                      <w:highlight w:val="none"/>
                      <w:lang w:val="en-US" w:eastAsia="zh-CN"/>
                    </w:rPr>
                    <w:t>5</w:t>
                  </w:r>
                  <w:r>
                    <w:rPr>
                      <w:color w:val="auto"/>
                      <w:highlight w:val="none"/>
                    </w:rPr>
                    <w:t>）</w:t>
                  </w:r>
                  <w:r>
                    <w:rPr>
                      <w:rFonts w:hint="eastAsia"/>
                      <w:color w:val="auto"/>
                      <w:highlight w:val="none"/>
                      <w:lang w:val="en-US" w:eastAsia="zh-CN"/>
                    </w:rPr>
                    <w:t>B级</w:t>
                  </w:r>
                  <w:r>
                    <w:rPr>
                      <w:color w:val="auto"/>
                      <w:highlight w:val="none"/>
                    </w:rPr>
                    <w:t>标准（mg/L）</w:t>
                  </w:r>
                </w:p>
              </w:tc>
              <w:tc>
                <w:tcPr>
                  <w:tcW w:w="860" w:type="dxa"/>
                  <w:noWrap w:val="0"/>
                  <w:vAlign w:val="center"/>
                </w:tcPr>
                <w:p>
                  <w:pPr>
                    <w:adjustRightInd w:val="0"/>
                    <w:snapToGrid w:val="0"/>
                    <w:jc w:val="center"/>
                    <w:rPr>
                      <w:rFonts w:hint="default" w:eastAsia="宋体"/>
                      <w:color w:val="auto"/>
                      <w:highlight w:val="none"/>
                      <w:lang w:val="en-US" w:eastAsia="zh-CN"/>
                    </w:rPr>
                  </w:pPr>
                  <w:r>
                    <w:rPr>
                      <w:color w:val="auto"/>
                      <w:highlight w:val="none"/>
                    </w:rPr>
                    <w:t>500</w:t>
                  </w:r>
                </w:p>
              </w:tc>
              <w:tc>
                <w:tcPr>
                  <w:tcW w:w="860" w:type="dxa"/>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300</w:t>
                  </w:r>
                </w:p>
              </w:tc>
              <w:tc>
                <w:tcPr>
                  <w:tcW w:w="786" w:type="dxa"/>
                  <w:noWrap w:val="0"/>
                  <w:vAlign w:val="center"/>
                </w:tcPr>
                <w:p>
                  <w:pPr>
                    <w:adjustRightInd w:val="0"/>
                    <w:snapToGrid w:val="0"/>
                    <w:jc w:val="center"/>
                    <w:rPr>
                      <w:rFonts w:hint="default" w:eastAsia="宋体"/>
                      <w:color w:val="auto"/>
                      <w:highlight w:val="none"/>
                      <w:lang w:val="en-US" w:eastAsia="zh-CN"/>
                    </w:rPr>
                  </w:pPr>
                  <w:r>
                    <w:rPr>
                      <w:color w:val="auto"/>
                      <w:highlight w:val="none"/>
                    </w:rPr>
                    <w:t>45</w:t>
                  </w:r>
                </w:p>
              </w:tc>
              <w:tc>
                <w:tcPr>
                  <w:tcW w:w="760" w:type="dxa"/>
                  <w:noWrap w:val="0"/>
                  <w:vAlign w:val="center"/>
                </w:tcPr>
                <w:p>
                  <w:pPr>
                    <w:adjustRightInd w:val="0"/>
                    <w:snapToGrid w:val="0"/>
                    <w:jc w:val="center"/>
                    <w:rPr>
                      <w:rFonts w:hint="default" w:eastAsia="宋体"/>
                      <w:color w:val="auto"/>
                      <w:highlight w:val="none"/>
                      <w:lang w:val="en-US" w:eastAsia="zh-CN"/>
                    </w:rPr>
                  </w:pPr>
                  <w:r>
                    <w:rPr>
                      <w:color w:val="auto"/>
                      <w:highlight w:val="none"/>
                    </w:rPr>
                    <w:t>400</w:t>
                  </w:r>
                </w:p>
              </w:tc>
              <w:tc>
                <w:tcPr>
                  <w:tcW w:w="760" w:type="dxa"/>
                  <w:noWrap w:val="0"/>
                  <w:vAlign w:val="center"/>
                </w:tcPr>
                <w:p>
                  <w:pPr>
                    <w:adjustRightInd w:val="0"/>
                    <w:snapToGrid w:val="0"/>
                    <w:jc w:val="center"/>
                    <w:rPr>
                      <w:rFonts w:hint="eastAsia" w:eastAsia="宋体"/>
                      <w:color w:val="auto"/>
                      <w:highlight w:val="none"/>
                      <w:lang w:eastAsia="zh-CN"/>
                    </w:rPr>
                  </w:pPr>
                  <w:r>
                    <w:rPr>
                      <w:color w:val="auto"/>
                      <w:highlight w:val="none"/>
                    </w:rPr>
                    <w:t>8</w:t>
                  </w:r>
                </w:p>
              </w:tc>
              <w:tc>
                <w:tcPr>
                  <w:tcW w:w="761" w:type="dxa"/>
                  <w:noWrap w:val="0"/>
                  <w:vAlign w:val="center"/>
                </w:tcPr>
                <w:p>
                  <w:pPr>
                    <w:adjustRightInd w:val="0"/>
                    <w:snapToGrid w:val="0"/>
                    <w:jc w:val="center"/>
                    <w:rPr>
                      <w:color w:val="auto"/>
                      <w:highlight w:val="none"/>
                    </w:rPr>
                  </w:pPr>
                  <w:r>
                    <w:rPr>
                      <w:color w:val="auto"/>
                      <w:highlight w:val="none"/>
                    </w:rPr>
                    <w:t>100</w:t>
                  </w:r>
                </w:p>
              </w:tc>
              <w:tc>
                <w:tcPr>
                  <w:tcW w:w="766" w:type="dxa"/>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630" w:type="pct"/>
                  <w:gridSpan w:val="3"/>
                  <w:noWrap w:val="0"/>
                  <w:vAlign w:val="center"/>
                </w:tcPr>
                <w:p>
                  <w:pPr>
                    <w:adjustRightInd w:val="0"/>
                    <w:snapToGrid w:val="0"/>
                    <w:jc w:val="center"/>
                    <w:rPr>
                      <w:color w:val="auto"/>
                      <w:highlight w:val="none"/>
                    </w:rPr>
                  </w:pPr>
                  <w:r>
                    <w:rPr>
                      <w:color w:val="auto"/>
                      <w:highlight w:val="none"/>
                    </w:rPr>
                    <w:t>《城镇污水处理厂污染物排放标准》（GB18918-2002）一级A标（mg/L）</w:t>
                  </w:r>
                </w:p>
              </w:tc>
              <w:tc>
                <w:tcPr>
                  <w:tcW w:w="521" w:type="pct"/>
                  <w:noWrap w:val="0"/>
                  <w:vAlign w:val="center"/>
                </w:tcPr>
                <w:p>
                  <w:pPr>
                    <w:adjustRightInd w:val="0"/>
                    <w:snapToGrid w:val="0"/>
                    <w:jc w:val="center"/>
                    <w:rPr>
                      <w:color w:val="auto"/>
                      <w:highlight w:val="none"/>
                    </w:rPr>
                  </w:pPr>
                  <w:r>
                    <w:rPr>
                      <w:color w:val="auto"/>
                      <w:highlight w:val="none"/>
                    </w:rPr>
                    <w:t>50</w:t>
                  </w:r>
                </w:p>
              </w:tc>
              <w:tc>
                <w:tcPr>
                  <w:tcW w:w="521" w:type="pct"/>
                  <w:noWrap w:val="0"/>
                  <w:vAlign w:val="center"/>
                </w:tcPr>
                <w:p>
                  <w:pPr>
                    <w:adjustRightInd w:val="0"/>
                    <w:snapToGrid w:val="0"/>
                    <w:jc w:val="center"/>
                    <w:rPr>
                      <w:color w:val="auto"/>
                      <w:highlight w:val="none"/>
                    </w:rPr>
                  </w:pPr>
                  <w:r>
                    <w:rPr>
                      <w:color w:val="auto"/>
                      <w:highlight w:val="none"/>
                    </w:rPr>
                    <w:t>10</w:t>
                  </w:r>
                </w:p>
              </w:tc>
              <w:tc>
                <w:tcPr>
                  <w:tcW w:w="476" w:type="pct"/>
                  <w:noWrap w:val="0"/>
                  <w:vAlign w:val="center"/>
                </w:tcPr>
                <w:p>
                  <w:pPr>
                    <w:adjustRightInd w:val="0"/>
                    <w:snapToGrid w:val="0"/>
                    <w:jc w:val="center"/>
                    <w:rPr>
                      <w:color w:val="auto"/>
                      <w:highlight w:val="none"/>
                    </w:rPr>
                  </w:pPr>
                  <w:r>
                    <w:rPr>
                      <w:color w:val="auto"/>
                      <w:highlight w:val="none"/>
                    </w:rPr>
                    <w:t>5（8）</w:t>
                  </w:r>
                </w:p>
              </w:tc>
              <w:tc>
                <w:tcPr>
                  <w:tcW w:w="461" w:type="pct"/>
                  <w:noWrap w:val="0"/>
                  <w:vAlign w:val="center"/>
                </w:tcPr>
                <w:p>
                  <w:pPr>
                    <w:adjustRightInd w:val="0"/>
                    <w:snapToGrid w:val="0"/>
                    <w:jc w:val="center"/>
                    <w:rPr>
                      <w:color w:val="auto"/>
                      <w:highlight w:val="none"/>
                    </w:rPr>
                  </w:pPr>
                  <w:r>
                    <w:rPr>
                      <w:color w:val="auto"/>
                      <w:highlight w:val="none"/>
                    </w:rPr>
                    <w:t>10</w:t>
                  </w:r>
                </w:p>
              </w:tc>
              <w:tc>
                <w:tcPr>
                  <w:tcW w:w="461" w:type="pct"/>
                  <w:noWrap w:val="0"/>
                  <w:vAlign w:val="center"/>
                </w:tcPr>
                <w:p>
                  <w:pPr>
                    <w:adjustRightInd w:val="0"/>
                    <w:snapToGrid w:val="0"/>
                    <w:jc w:val="center"/>
                    <w:rPr>
                      <w:color w:val="auto"/>
                      <w:highlight w:val="none"/>
                    </w:rPr>
                  </w:pPr>
                  <w:r>
                    <w:rPr>
                      <w:color w:val="auto"/>
                      <w:highlight w:val="none"/>
                    </w:rPr>
                    <w:t>0.5</w:t>
                  </w:r>
                </w:p>
              </w:tc>
              <w:tc>
                <w:tcPr>
                  <w:tcW w:w="461" w:type="pct"/>
                  <w:noWrap w:val="0"/>
                  <w:vAlign w:val="center"/>
                </w:tcPr>
                <w:p>
                  <w:pPr>
                    <w:adjustRightInd w:val="0"/>
                    <w:snapToGrid w:val="0"/>
                    <w:jc w:val="center"/>
                    <w:rPr>
                      <w:color w:val="auto"/>
                      <w:highlight w:val="none"/>
                    </w:rPr>
                  </w:pPr>
                  <w:r>
                    <w:rPr>
                      <w:color w:val="auto"/>
                      <w:highlight w:val="none"/>
                    </w:rPr>
                    <w:t>1</w:t>
                  </w:r>
                </w:p>
              </w:tc>
              <w:tc>
                <w:tcPr>
                  <w:tcW w:w="464" w:type="pct"/>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630" w:type="pct"/>
                  <w:gridSpan w:val="3"/>
                  <w:noWrap w:val="0"/>
                  <w:vAlign w:val="center"/>
                </w:tcPr>
                <w:p>
                  <w:pPr>
                    <w:adjustRightInd w:val="0"/>
                    <w:snapToGrid w:val="0"/>
                    <w:jc w:val="center"/>
                    <w:rPr>
                      <w:color w:val="auto"/>
                      <w:highlight w:val="none"/>
                    </w:rPr>
                  </w:pPr>
                  <w:r>
                    <w:rPr>
                      <w:rFonts w:hint="eastAsia"/>
                      <w:color w:val="auto"/>
                      <w:highlight w:val="none"/>
                    </w:rPr>
                    <w:t>《四川省岷江、沱江流域水污染物排放标准》（DB51/2311-2016）</w:t>
                  </w:r>
                  <w:r>
                    <w:rPr>
                      <w:rFonts w:hint="eastAsia"/>
                      <w:color w:val="auto"/>
                      <w:highlight w:val="none"/>
                      <w:lang w:eastAsia="zh-CN"/>
                    </w:rPr>
                    <w:t>城镇污水处理厂</w:t>
                  </w:r>
                  <w:r>
                    <w:rPr>
                      <w:rFonts w:hint="eastAsia"/>
                      <w:color w:val="auto"/>
                      <w:highlight w:val="none"/>
                    </w:rPr>
                    <w:t>排放标准</w:t>
                  </w:r>
                </w:p>
              </w:tc>
              <w:tc>
                <w:tcPr>
                  <w:tcW w:w="521" w:type="pct"/>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30</w:t>
                  </w:r>
                </w:p>
              </w:tc>
              <w:tc>
                <w:tcPr>
                  <w:tcW w:w="521" w:type="pct"/>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6</w:t>
                  </w:r>
                </w:p>
              </w:tc>
              <w:tc>
                <w:tcPr>
                  <w:tcW w:w="476" w:type="pct"/>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1.5（3）</w:t>
                  </w:r>
                </w:p>
              </w:tc>
              <w:tc>
                <w:tcPr>
                  <w:tcW w:w="461" w:type="pct"/>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w:t>
                  </w:r>
                </w:p>
              </w:tc>
              <w:tc>
                <w:tcPr>
                  <w:tcW w:w="461" w:type="pct"/>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0.3</w:t>
                  </w:r>
                </w:p>
              </w:tc>
              <w:tc>
                <w:tcPr>
                  <w:tcW w:w="461" w:type="pct"/>
                  <w:noWrap w:val="0"/>
                  <w:vAlign w:val="center"/>
                </w:tcPr>
                <w:p>
                  <w:pPr>
                    <w:adjustRightInd w:val="0"/>
                    <w:snapToGrid w:val="0"/>
                    <w:jc w:val="center"/>
                    <w:rPr>
                      <w:rFonts w:hint="eastAsia" w:eastAsia="宋体"/>
                      <w:color w:val="auto"/>
                      <w:highlight w:val="none"/>
                      <w:lang w:val="en-US" w:eastAsia="zh-CN"/>
                    </w:rPr>
                  </w:pPr>
                  <w:r>
                    <w:rPr>
                      <w:rFonts w:hint="eastAsia"/>
                      <w:color w:val="auto"/>
                      <w:highlight w:val="none"/>
                      <w:lang w:val="en-US" w:eastAsia="zh-CN"/>
                    </w:rPr>
                    <w:t>/</w:t>
                  </w:r>
                </w:p>
              </w:tc>
              <w:tc>
                <w:tcPr>
                  <w:tcW w:w="464" w:type="pct"/>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10"/>
                  <w:noWrap w:val="0"/>
                  <w:vAlign w:val="center"/>
                </w:tcPr>
                <w:p>
                  <w:pPr>
                    <w:adjustRightInd w:val="0"/>
                    <w:snapToGrid w:val="0"/>
                    <w:jc w:val="center"/>
                    <w:rPr>
                      <w:color w:val="auto"/>
                      <w:szCs w:val="21"/>
                      <w:highlight w:val="none"/>
                    </w:rPr>
                  </w:pPr>
                  <w:r>
                    <w:rPr>
                      <w:color w:val="auto"/>
                      <w:szCs w:val="21"/>
                      <w:highlight w:val="none"/>
                    </w:rPr>
                    <w:t>注：括号外数值为水温&gt;12℃时的控制指标，括号内数值为水温≦12℃时的控制指标。</w:t>
                  </w:r>
                </w:p>
              </w:tc>
            </w:tr>
          </w:tbl>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kern w:val="2"/>
                <w:sz w:val="24"/>
                <w:highlight w:val="none"/>
              </w:rPr>
            </w:pPr>
            <w:r>
              <w:rPr>
                <w:color w:val="auto"/>
                <w:sz w:val="24"/>
                <w:highlight w:val="none"/>
              </w:rPr>
              <w:t>综上，本项目</w:t>
            </w:r>
            <w:r>
              <w:rPr>
                <w:rFonts w:hint="eastAsia"/>
                <w:color w:val="auto"/>
                <w:sz w:val="24"/>
                <w:highlight w:val="none"/>
                <w:lang w:val="en-US" w:eastAsia="zh-CN"/>
              </w:rPr>
              <w:t>厂区废水</w:t>
            </w:r>
            <w:r>
              <w:rPr>
                <w:color w:val="auto"/>
                <w:sz w:val="24"/>
                <w:highlight w:val="none"/>
              </w:rPr>
              <w:t>经隔油池</w:t>
            </w:r>
            <w:r>
              <w:rPr>
                <w:rFonts w:hint="eastAsia"/>
                <w:color w:val="auto"/>
                <w:sz w:val="24"/>
                <w:highlight w:val="none"/>
                <w:lang w:eastAsia="zh-CN"/>
              </w:rPr>
              <w:t>、</w:t>
            </w:r>
            <w:r>
              <w:rPr>
                <w:rFonts w:hint="eastAsia"/>
                <w:color w:val="auto"/>
                <w:sz w:val="24"/>
                <w:highlight w:val="none"/>
                <w:lang w:val="en-US" w:eastAsia="zh-CN"/>
              </w:rPr>
              <w:t>预处理池和污水处理站</w:t>
            </w:r>
            <w:r>
              <w:rPr>
                <w:color w:val="auto"/>
                <w:sz w:val="24"/>
                <w:highlight w:val="none"/>
              </w:rPr>
              <w:t>处理后，能达到《污水综合排放标准》（GB8978-1996）三级标准，NH</w:t>
            </w:r>
            <w:r>
              <w:rPr>
                <w:color w:val="auto"/>
                <w:kern w:val="0"/>
                <w:sz w:val="24"/>
                <w:highlight w:val="none"/>
                <w:vertAlign w:val="subscript"/>
                <w:lang w:bidi="ar"/>
              </w:rPr>
              <w:t>3</w:t>
            </w:r>
            <w:r>
              <w:rPr>
                <w:color w:val="auto"/>
                <w:sz w:val="24"/>
                <w:highlight w:val="none"/>
              </w:rPr>
              <w:t>-N、TP能达到《污水排入城镇下水道水质标准》（CJ343-201</w:t>
            </w:r>
            <w:r>
              <w:rPr>
                <w:rFonts w:hint="eastAsia"/>
                <w:color w:val="auto"/>
                <w:sz w:val="24"/>
                <w:highlight w:val="none"/>
                <w:lang w:val="en-US" w:eastAsia="zh-CN"/>
              </w:rPr>
              <w:t>5</w:t>
            </w:r>
            <w:r>
              <w:rPr>
                <w:color w:val="auto"/>
                <w:sz w:val="24"/>
                <w:highlight w:val="none"/>
              </w:rPr>
              <w:t>）</w:t>
            </w:r>
            <w:r>
              <w:rPr>
                <w:rFonts w:hint="eastAsia"/>
                <w:color w:val="auto"/>
                <w:sz w:val="24"/>
                <w:highlight w:val="none"/>
                <w:lang w:val="en-US" w:eastAsia="zh-CN"/>
              </w:rPr>
              <w:t>B级</w:t>
            </w:r>
            <w:r>
              <w:rPr>
                <w:color w:val="auto"/>
                <w:sz w:val="24"/>
                <w:highlight w:val="none"/>
              </w:rPr>
              <w:t>标准，废水经园区污水处理厂处理后</w:t>
            </w:r>
            <w:r>
              <w:rPr>
                <w:rFonts w:hint="eastAsia"/>
                <w:color w:val="auto"/>
                <w:sz w:val="24"/>
                <w:highlight w:val="none"/>
                <w:lang w:val="en-US" w:eastAsia="zh-CN"/>
              </w:rPr>
              <w:t>近期</w:t>
            </w:r>
            <w:r>
              <w:rPr>
                <w:color w:val="auto"/>
                <w:sz w:val="24"/>
                <w:highlight w:val="none"/>
              </w:rPr>
              <w:t>能达到《城镇污水处理厂污染物排放标准》（GB18918-2002）一级A标准，</w:t>
            </w:r>
            <w:r>
              <w:rPr>
                <w:rFonts w:hint="eastAsia"/>
                <w:color w:val="auto"/>
                <w:sz w:val="24"/>
                <w:highlight w:val="none"/>
                <w:lang w:val="en-US" w:eastAsia="zh-CN"/>
              </w:rPr>
              <w:t>远期能达到《四川省岷江、沱江流域水污染物排放标准》（DB51/2311-2016）城镇污水处理厂排放标准，</w:t>
            </w:r>
            <w:r>
              <w:rPr>
                <w:color w:val="auto"/>
                <w:sz w:val="24"/>
                <w:highlight w:val="none"/>
              </w:rPr>
              <w:t>废水最终排入</w:t>
            </w:r>
            <w:r>
              <w:rPr>
                <w:rFonts w:hint="eastAsia"/>
                <w:color w:val="auto"/>
                <w:sz w:val="24"/>
                <w:highlight w:val="none"/>
              </w:rPr>
              <w:t>大坝河</w:t>
            </w:r>
            <w:r>
              <w:rPr>
                <w:color w:val="auto"/>
                <w:sz w:val="24"/>
                <w:highlight w:val="none"/>
              </w:rPr>
              <w:t>。</w:t>
            </w:r>
          </w:p>
          <w:p>
            <w:pPr>
              <w:spacing w:line="360" w:lineRule="auto"/>
              <w:ind w:firstLine="482" w:firstLineChars="200"/>
              <w:rPr>
                <w:b/>
                <w:bCs/>
                <w:color w:val="auto"/>
                <w:sz w:val="24"/>
                <w:highlight w:val="none"/>
              </w:rPr>
            </w:pPr>
            <w:r>
              <w:rPr>
                <w:b/>
                <w:bCs/>
                <w:color w:val="auto"/>
                <w:sz w:val="24"/>
                <w:highlight w:val="none"/>
              </w:rPr>
              <w:t>3、排放口情况</w:t>
            </w:r>
          </w:p>
          <w:p>
            <w:pPr>
              <w:pStyle w:val="41"/>
              <w:bidi w:val="0"/>
              <w:rPr>
                <w:color w:val="auto"/>
                <w:highlight w:val="none"/>
              </w:rPr>
            </w:pPr>
            <w:r>
              <w:rPr>
                <w:color w:val="auto"/>
                <w:highlight w:val="none"/>
              </w:rPr>
              <w:t>表4-</w:t>
            </w:r>
            <w:r>
              <w:rPr>
                <w:rFonts w:hint="eastAsia"/>
                <w:color w:val="auto"/>
                <w:highlight w:val="none"/>
                <w:lang w:val="en-US" w:eastAsia="zh-CN"/>
              </w:rPr>
              <w:t>8</w:t>
            </w:r>
            <w:r>
              <w:rPr>
                <w:color w:val="auto"/>
                <w:highlight w:val="none"/>
              </w:rPr>
              <w:t xml:space="preserve">  排放口情况表</w:t>
            </w:r>
          </w:p>
          <w:tbl>
            <w:tblPr>
              <w:tblStyle w:val="21"/>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896"/>
              <w:gridCol w:w="850"/>
              <w:gridCol w:w="1621"/>
              <w:gridCol w:w="3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8" w:type="pct"/>
                  <w:gridSpan w:val="4"/>
                  <w:noWrap w:val="0"/>
                  <w:vAlign w:val="center"/>
                </w:tcPr>
                <w:p>
                  <w:pPr>
                    <w:adjustRightInd w:val="0"/>
                    <w:snapToGrid w:val="0"/>
                    <w:jc w:val="center"/>
                    <w:rPr>
                      <w:b/>
                      <w:bCs/>
                      <w:color w:val="auto"/>
                      <w:szCs w:val="21"/>
                      <w:highlight w:val="none"/>
                    </w:rPr>
                  </w:pPr>
                  <w:r>
                    <w:rPr>
                      <w:b/>
                      <w:bCs/>
                      <w:color w:val="auto"/>
                      <w:szCs w:val="21"/>
                      <w:highlight w:val="none"/>
                    </w:rPr>
                    <w:t>排放口基本情况</w:t>
                  </w:r>
                </w:p>
              </w:tc>
              <w:tc>
                <w:tcPr>
                  <w:tcW w:w="2151" w:type="pct"/>
                  <w:vMerge w:val="restart"/>
                  <w:noWrap w:val="0"/>
                  <w:vAlign w:val="center"/>
                </w:tcPr>
                <w:p>
                  <w:pPr>
                    <w:adjustRightInd w:val="0"/>
                    <w:snapToGrid w:val="0"/>
                    <w:jc w:val="center"/>
                    <w:rPr>
                      <w:color w:val="auto"/>
                      <w:szCs w:val="21"/>
                      <w:highlight w:val="none"/>
                    </w:rPr>
                  </w:pPr>
                  <w:r>
                    <w:rPr>
                      <w:b/>
                      <w:bCs/>
                      <w:color w:val="auto"/>
                      <w:szCs w:val="21"/>
                      <w:highlight w:val="none"/>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noWrap w:val="0"/>
                  <w:vAlign w:val="center"/>
                </w:tcPr>
                <w:p>
                  <w:pPr>
                    <w:adjustRightInd w:val="0"/>
                    <w:snapToGrid w:val="0"/>
                    <w:jc w:val="center"/>
                    <w:rPr>
                      <w:b/>
                      <w:bCs/>
                      <w:color w:val="auto"/>
                      <w:szCs w:val="21"/>
                      <w:highlight w:val="none"/>
                    </w:rPr>
                  </w:pPr>
                  <w:r>
                    <w:rPr>
                      <w:b/>
                      <w:bCs/>
                      <w:color w:val="auto"/>
                      <w:szCs w:val="21"/>
                      <w:highlight w:val="none"/>
                    </w:rPr>
                    <w:t>排放口名称</w:t>
                  </w:r>
                </w:p>
              </w:tc>
              <w:tc>
                <w:tcPr>
                  <w:tcW w:w="544" w:type="pct"/>
                  <w:noWrap w:val="0"/>
                  <w:vAlign w:val="center"/>
                </w:tcPr>
                <w:p>
                  <w:pPr>
                    <w:adjustRightInd w:val="0"/>
                    <w:snapToGrid w:val="0"/>
                    <w:jc w:val="center"/>
                    <w:rPr>
                      <w:b/>
                      <w:bCs/>
                      <w:color w:val="auto"/>
                      <w:szCs w:val="21"/>
                      <w:highlight w:val="none"/>
                    </w:rPr>
                  </w:pPr>
                  <w:r>
                    <w:rPr>
                      <w:b/>
                      <w:bCs/>
                      <w:color w:val="auto"/>
                      <w:szCs w:val="21"/>
                      <w:highlight w:val="none"/>
                    </w:rPr>
                    <w:t>编号</w:t>
                  </w:r>
                </w:p>
              </w:tc>
              <w:tc>
                <w:tcPr>
                  <w:tcW w:w="516" w:type="pct"/>
                  <w:noWrap w:val="0"/>
                  <w:vAlign w:val="center"/>
                </w:tcPr>
                <w:p>
                  <w:pPr>
                    <w:adjustRightInd w:val="0"/>
                    <w:snapToGrid w:val="0"/>
                    <w:jc w:val="center"/>
                    <w:rPr>
                      <w:b/>
                      <w:bCs/>
                      <w:color w:val="auto"/>
                      <w:szCs w:val="21"/>
                      <w:highlight w:val="none"/>
                    </w:rPr>
                  </w:pPr>
                  <w:r>
                    <w:rPr>
                      <w:b/>
                      <w:bCs/>
                      <w:color w:val="auto"/>
                      <w:szCs w:val="21"/>
                      <w:highlight w:val="none"/>
                    </w:rPr>
                    <w:t>类型</w:t>
                  </w:r>
                </w:p>
              </w:tc>
              <w:tc>
                <w:tcPr>
                  <w:tcW w:w="982" w:type="pct"/>
                  <w:noWrap w:val="0"/>
                  <w:vAlign w:val="center"/>
                </w:tcPr>
                <w:p>
                  <w:pPr>
                    <w:adjustRightInd w:val="0"/>
                    <w:snapToGrid w:val="0"/>
                    <w:jc w:val="center"/>
                    <w:rPr>
                      <w:b/>
                      <w:bCs/>
                      <w:color w:val="auto"/>
                      <w:szCs w:val="21"/>
                      <w:highlight w:val="none"/>
                    </w:rPr>
                  </w:pPr>
                  <w:r>
                    <w:rPr>
                      <w:b/>
                      <w:bCs/>
                      <w:color w:val="auto"/>
                      <w:szCs w:val="21"/>
                      <w:highlight w:val="none"/>
                    </w:rPr>
                    <w:t>坐标</w:t>
                  </w:r>
                </w:p>
              </w:tc>
              <w:tc>
                <w:tcPr>
                  <w:tcW w:w="2151" w:type="pct"/>
                  <w:vMerge w:val="continue"/>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noWrap w:val="0"/>
                  <w:vAlign w:val="center"/>
                </w:tcPr>
                <w:p>
                  <w:pPr>
                    <w:adjustRightInd w:val="0"/>
                    <w:snapToGrid w:val="0"/>
                    <w:jc w:val="center"/>
                    <w:rPr>
                      <w:color w:val="auto"/>
                      <w:szCs w:val="21"/>
                      <w:highlight w:val="none"/>
                    </w:rPr>
                  </w:pPr>
                  <w:r>
                    <w:rPr>
                      <w:color w:val="auto"/>
                      <w:szCs w:val="21"/>
                      <w:highlight w:val="none"/>
                    </w:rPr>
                    <w:t>厂区总排口</w:t>
                  </w:r>
                </w:p>
              </w:tc>
              <w:tc>
                <w:tcPr>
                  <w:tcW w:w="544" w:type="pct"/>
                  <w:noWrap w:val="0"/>
                  <w:vAlign w:val="center"/>
                </w:tcPr>
                <w:p>
                  <w:pPr>
                    <w:adjustRightInd w:val="0"/>
                    <w:snapToGrid w:val="0"/>
                    <w:jc w:val="center"/>
                    <w:rPr>
                      <w:color w:val="auto"/>
                      <w:szCs w:val="21"/>
                      <w:highlight w:val="none"/>
                    </w:rPr>
                  </w:pPr>
                  <w:r>
                    <w:rPr>
                      <w:color w:val="auto"/>
                      <w:szCs w:val="21"/>
                      <w:highlight w:val="none"/>
                    </w:rPr>
                    <w:t>DW001</w:t>
                  </w:r>
                </w:p>
              </w:tc>
              <w:tc>
                <w:tcPr>
                  <w:tcW w:w="516" w:type="pct"/>
                  <w:noWrap w:val="0"/>
                  <w:vAlign w:val="center"/>
                </w:tcPr>
                <w:p>
                  <w:pPr>
                    <w:adjustRightInd w:val="0"/>
                    <w:snapToGrid w:val="0"/>
                    <w:jc w:val="center"/>
                    <w:rPr>
                      <w:color w:val="auto"/>
                      <w:szCs w:val="21"/>
                      <w:highlight w:val="none"/>
                    </w:rPr>
                  </w:pPr>
                  <w:r>
                    <w:rPr>
                      <w:color w:val="auto"/>
                      <w:szCs w:val="21"/>
                      <w:highlight w:val="none"/>
                    </w:rPr>
                    <w:t>一般</w:t>
                  </w:r>
                </w:p>
                <w:p>
                  <w:pPr>
                    <w:adjustRightInd w:val="0"/>
                    <w:snapToGrid w:val="0"/>
                    <w:jc w:val="center"/>
                    <w:rPr>
                      <w:color w:val="auto"/>
                      <w:szCs w:val="21"/>
                      <w:highlight w:val="none"/>
                    </w:rPr>
                  </w:pPr>
                  <w:r>
                    <w:rPr>
                      <w:color w:val="auto"/>
                      <w:szCs w:val="21"/>
                      <w:highlight w:val="none"/>
                    </w:rPr>
                    <w:t>排放口</w:t>
                  </w:r>
                </w:p>
              </w:tc>
              <w:tc>
                <w:tcPr>
                  <w:tcW w:w="982" w:type="pct"/>
                  <w:noWrap w:val="0"/>
                  <w:vAlign w:val="center"/>
                </w:tcPr>
                <w:p>
                  <w:pPr>
                    <w:adjustRightInd w:val="0"/>
                    <w:snapToGrid w:val="0"/>
                    <w:jc w:val="center"/>
                    <w:rPr>
                      <w:color w:val="auto"/>
                      <w:szCs w:val="21"/>
                      <w:highlight w:val="none"/>
                    </w:rPr>
                  </w:pPr>
                  <w:r>
                    <w:rPr>
                      <w:rFonts w:hint="eastAsia"/>
                      <w:color w:val="auto"/>
                      <w:szCs w:val="21"/>
                      <w:highlight w:val="none"/>
                    </w:rPr>
                    <w:t>106.548963</w:t>
                  </w:r>
                  <w:r>
                    <w:rPr>
                      <w:rFonts w:hint="eastAsia"/>
                      <w:color w:val="auto"/>
                      <w:szCs w:val="21"/>
                      <w:highlight w:val="none"/>
                      <w:lang w:eastAsia="zh-CN"/>
                    </w:rPr>
                    <w:t>，</w:t>
                  </w:r>
                  <w:r>
                    <w:rPr>
                      <w:rFonts w:hint="eastAsia"/>
                      <w:color w:val="auto"/>
                      <w:szCs w:val="21"/>
                      <w:highlight w:val="none"/>
                    </w:rPr>
                    <w:t>31.706375</w:t>
                  </w:r>
                </w:p>
              </w:tc>
              <w:tc>
                <w:tcPr>
                  <w:tcW w:w="2151" w:type="pct"/>
                  <w:noWrap w:val="0"/>
                  <w:vAlign w:val="center"/>
                </w:tcPr>
                <w:p>
                  <w:pPr>
                    <w:adjustRightInd w:val="0"/>
                    <w:snapToGrid w:val="0"/>
                    <w:jc w:val="center"/>
                    <w:rPr>
                      <w:color w:val="auto"/>
                      <w:szCs w:val="21"/>
                      <w:highlight w:val="none"/>
                    </w:rPr>
                  </w:pPr>
                  <w:r>
                    <w:rPr>
                      <w:color w:val="auto"/>
                      <w:szCs w:val="21"/>
                      <w:highlight w:val="none"/>
                    </w:rPr>
                    <w:t>《污水综合排放标准》（GB8978-1996）三级标准，NH</w:t>
                  </w:r>
                  <w:r>
                    <w:rPr>
                      <w:color w:val="auto"/>
                      <w:szCs w:val="21"/>
                      <w:highlight w:val="none"/>
                      <w:vertAlign w:val="subscript"/>
                    </w:rPr>
                    <w:t>3</w:t>
                  </w:r>
                  <w:r>
                    <w:rPr>
                      <w:color w:val="auto"/>
                      <w:szCs w:val="21"/>
                      <w:highlight w:val="none"/>
                    </w:rPr>
                    <w:t>-N、TP执行《污水排入城镇下水道水质标准》（CJ343-201</w:t>
                  </w:r>
                  <w:r>
                    <w:rPr>
                      <w:rFonts w:hint="eastAsia"/>
                      <w:color w:val="auto"/>
                      <w:szCs w:val="21"/>
                      <w:highlight w:val="none"/>
                      <w:lang w:val="en-US" w:eastAsia="zh-CN"/>
                    </w:rPr>
                    <w:t>5</w:t>
                  </w:r>
                  <w:r>
                    <w:rPr>
                      <w:color w:val="auto"/>
                      <w:szCs w:val="21"/>
                      <w:highlight w:val="none"/>
                    </w:rPr>
                    <w:t>）标准</w:t>
                  </w:r>
                </w:p>
              </w:tc>
            </w:tr>
          </w:tbl>
          <w:p>
            <w:pPr>
              <w:pStyle w:val="51"/>
              <w:adjustRightInd/>
              <w:spacing w:line="360" w:lineRule="auto"/>
              <w:ind w:left="0" w:right="0" w:firstLineChars="200"/>
              <w:jc w:val="both"/>
              <w:rPr>
                <w:b/>
                <w:bCs/>
                <w:color w:val="auto"/>
                <w:highlight w:val="none"/>
              </w:rPr>
            </w:pPr>
            <w:r>
              <w:rPr>
                <w:rFonts w:hint="eastAsia"/>
                <w:b/>
                <w:bCs/>
                <w:color w:val="auto"/>
                <w:highlight w:val="none"/>
              </w:rPr>
              <w:t>4、厂区污水处理设施依托可行性</w:t>
            </w:r>
            <w:r>
              <w:rPr>
                <w:b/>
                <w:bCs/>
                <w:color w:val="auto"/>
                <w:highlight w:val="none"/>
              </w:rPr>
              <w:t>分析</w:t>
            </w:r>
          </w:p>
          <w:p>
            <w:pPr>
              <w:pStyle w:val="51"/>
              <w:adjustRightInd/>
              <w:spacing w:line="360" w:lineRule="auto"/>
              <w:ind w:left="0" w:right="0" w:firstLineChars="200"/>
              <w:jc w:val="both"/>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eastAsia="zh-CN"/>
              </w:rPr>
              <w:t>（</w:t>
            </w:r>
            <w:r>
              <w:rPr>
                <w:rFonts w:hint="eastAsia" w:ascii="Times New Roman" w:hAnsi="Times New Roman" w:eastAsia="宋体" w:cs="Times New Roman"/>
                <w:b/>
                <w:bCs/>
                <w:color w:val="auto"/>
                <w:highlight w:val="none"/>
                <w:lang w:val="en-US" w:eastAsia="zh-CN"/>
              </w:rPr>
              <w:t>1</w:t>
            </w:r>
            <w:r>
              <w:rPr>
                <w:rFonts w:hint="eastAsia" w:ascii="Times New Roman" w:hAnsi="Times New Roman" w:eastAsia="宋体" w:cs="Times New Roman"/>
                <w:b/>
                <w:bCs/>
                <w:color w:val="auto"/>
                <w:highlight w:val="none"/>
                <w:lang w:eastAsia="zh-CN"/>
              </w:rPr>
              <w:t>）</w:t>
            </w:r>
            <w:r>
              <w:rPr>
                <w:rFonts w:hint="eastAsia" w:ascii="Times New Roman" w:hAnsi="Times New Roman" w:eastAsia="宋体" w:cs="Times New Roman"/>
                <w:b/>
                <w:bCs/>
                <w:color w:val="auto"/>
                <w:highlight w:val="none"/>
                <w:lang w:val="en-US" w:eastAsia="zh-CN"/>
              </w:rPr>
              <w:t>隔油池依托</w:t>
            </w:r>
            <w:r>
              <w:rPr>
                <w:rFonts w:hint="eastAsia" w:ascii="Times New Roman" w:hAnsi="Times New Roman" w:eastAsia="宋体" w:cs="Times New Roman"/>
                <w:b/>
                <w:bCs/>
                <w:color w:val="auto"/>
                <w:highlight w:val="none"/>
              </w:rPr>
              <w:t>可行性分析</w:t>
            </w:r>
          </w:p>
          <w:p>
            <w:pPr>
              <w:tabs>
                <w:tab w:val="left" w:pos="2010"/>
              </w:tabs>
              <w:spacing w:line="360" w:lineRule="auto"/>
              <w:ind w:firstLine="480" w:firstLineChars="200"/>
              <w:rPr>
                <w:rFonts w:hint="eastAsia"/>
                <w:bCs/>
                <w:color w:val="auto"/>
                <w:sz w:val="24"/>
                <w:highlight w:val="none"/>
                <w:lang w:val="en-US" w:eastAsia="zh-CN"/>
              </w:rPr>
            </w:pPr>
            <w:r>
              <w:rPr>
                <w:rFonts w:hint="default" w:ascii="Times New Roman" w:hAnsi="Times New Roman" w:eastAsia="宋体" w:cs="Times New Roman"/>
                <w:color w:val="auto"/>
                <w:sz w:val="24"/>
                <w:highlight w:val="none"/>
                <w:lang w:val="en-US" w:eastAsia="zh-CN"/>
              </w:rPr>
              <w:t>现有项目食堂已建隔油池一座，容积约</w:t>
            </w:r>
            <w:r>
              <w:rPr>
                <w:rFonts w:hint="eastAsia" w:cs="Times New Roman"/>
                <w:color w:val="auto"/>
                <w:sz w:val="24"/>
                <w:highlight w:val="none"/>
                <w:lang w:val="en-US" w:eastAsia="zh-CN"/>
              </w:rPr>
              <w:t>30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，现有项目食堂废水排放量约为4.08</w:t>
            </w:r>
            <w:r>
              <w:rPr>
                <w:bCs/>
                <w:color w:val="auto"/>
                <w:sz w:val="24"/>
                <w:highlight w:val="none"/>
              </w:rPr>
              <w:t>m</w:t>
            </w:r>
            <w:r>
              <w:rPr>
                <w:rFonts w:hint="eastAsia"/>
                <w:bCs/>
                <w:color w:val="auto"/>
                <w:sz w:val="24"/>
                <w:highlight w:val="none"/>
                <w:vertAlign w:val="superscript"/>
              </w:rPr>
              <w:t>3</w:t>
            </w:r>
            <w:r>
              <w:rPr>
                <w:bCs/>
                <w:color w:val="auto"/>
                <w:sz w:val="24"/>
                <w:highlight w:val="none"/>
              </w:rPr>
              <w:t>/d</w:t>
            </w:r>
            <w:r>
              <w:rPr>
                <w:rFonts w:hint="eastAsia"/>
                <w:bCs/>
                <w:color w:val="auto"/>
                <w:sz w:val="24"/>
                <w:highlight w:val="none"/>
                <w:lang w:eastAsia="zh-CN"/>
              </w:rPr>
              <w:t>，</w:t>
            </w:r>
            <w:r>
              <w:rPr>
                <w:rFonts w:hint="eastAsia"/>
                <w:bCs/>
                <w:color w:val="auto"/>
                <w:sz w:val="24"/>
                <w:highlight w:val="none"/>
                <w:lang w:val="en-US" w:eastAsia="zh-CN"/>
              </w:rPr>
              <w:t>隔油池剩余容量为25.92</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本项目新增食堂废水</w:t>
            </w:r>
            <w:r>
              <w:rPr>
                <w:rFonts w:hint="eastAsia"/>
                <w:bCs/>
                <w:color w:val="auto"/>
                <w:sz w:val="24"/>
                <w:highlight w:val="none"/>
                <w:lang w:val="en-US" w:eastAsia="zh-CN"/>
              </w:rPr>
              <w:t>排放</w:t>
            </w:r>
            <w:r>
              <w:rPr>
                <w:bCs/>
                <w:color w:val="auto"/>
                <w:sz w:val="24"/>
                <w:highlight w:val="none"/>
              </w:rPr>
              <w:t>量为</w:t>
            </w:r>
            <w:r>
              <w:rPr>
                <w:rFonts w:hint="eastAsia"/>
                <w:bCs/>
                <w:color w:val="auto"/>
                <w:sz w:val="24"/>
                <w:highlight w:val="none"/>
                <w:lang w:val="en-US" w:eastAsia="zh-CN"/>
              </w:rPr>
              <w:t>1.36</w:t>
            </w:r>
            <w:r>
              <w:rPr>
                <w:bCs/>
                <w:color w:val="auto"/>
                <w:sz w:val="24"/>
                <w:highlight w:val="none"/>
              </w:rPr>
              <w:t>m</w:t>
            </w:r>
            <w:r>
              <w:rPr>
                <w:bCs/>
                <w:color w:val="auto"/>
                <w:sz w:val="24"/>
                <w:highlight w:val="none"/>
                <w:vertAlign w:val="superscript"/>
              </w:rPr>
              <w:t>3</w:t>
            </w:r>
            <w:r>
              <w:rPr>
                <w:bCs/>
                <w:color w:val="auto"/>
                <w:sz w:val="24"/>
                <w:highlight w:val="none"/>
              </w:rPr>
              <w:t>/d，</w:t>
            </w:r>
            <w:r>
              <w:rPr>
                <w:rFonts w:hint="eastAsia"/>
                <w:bCs/>
                <w:color w:val="auto"/>
                <w:sz w:val="24"/>
                <w:highlight w:val="none"/>
                <w:lang w:val="en-US" w:eastAsia="zh-CN"/>
              </w:rPr>
              <w:t>因此，现有项目已建隔油池满足本项目的使用需求。</w:t>
            </w:r>
          </w:p>
          <w:p>
            <w:pPr>
              <w:tabs>
                <w:tab w:val="left" w:pos="2010"/>
              </w:tabs>
              <w:spacing w:line="360" w:lineRule="auto"/>
              <w:ind w:firstLine="482" w:firstLineChars="200"/>
              <w:rPr>
                <w:rFonts w:hint="default"/>
                <w:b/>
                <w:bCs w:val="0"/>
                <w:color w:val="auto"/>
                <w:sz w:val="24"/>
                <w:highlight w:val="none"/>
                <w:lang w:val="en-US" w:eastAsia="zh-CN"/>
              </w:rPr>
            </w:pPr>
            <w:r>
              <w:rPr>
                <w:rFonts w:hint="eastAsia"/>
                <w:b/>
                <w:bCs w:val="0"/>
                <w:color w:val="auto"/>
                <w:sz w:val="24"/>
                <w:highlight w:val="none"/>
                <w:lang w:val="en-US" w:eastAsia="zh-CN"/>
              </w:rPr>
              <w:t>（2）预处理池依托可行性分析</w:t>
            </w:r>
          </w:p>
          <w:p>
            <w:pPr>
              <w:tabs>
                <w:tab w:val="left" w:pos="2010"/>
              </w:tabs>
              <w:spacing w:line="360" w:lineRule="auto"/>
              <w:ind w:firstLine="480" w:firstLineChars="200"/>
              <w:rPr>
                <w:rFonts w:hint="eastAsia"/>
                <w:bCs/>
                <w:color w:val="auto"/>
                <w:sz w:val="24"/>
                <w:highlight w:val="none"/>
                <w:lang w:val="en-US" w:eastAsia="zh-CN"/>
              </w:rPr>
            </w:pPr>
            <w:r>
              <w:rPr>
                <w:rFonts w:hint="default" w:ascii="Times New Roman" w:hAnsi="Times New Roman" w:eastAsia="宋体" w:cs="Times New Roman"/>
                <w:color w:val="auto"/>
                <w:sz w:val="24"/>
                <w:highlight w:val="none"/>
                <w:lang w:val="en-US" w:eastAsia="zh-CN"/>
              </w:rPr>
              <w:t>现有项目食堂已建预处理池一座，容积约</w:t>
            </w:r>
            <w:r>
              <w:rPr>
                <w:rFonts w:hint="eastAsia" w:cs="Times New Roman"/>
                <w:color w:val="auto"/>
                <w:sz w:val="24"/>
                <w:highlight w:val="none"/>
                <w:lang w:val="en-US" w:eastAsia="zh-CN"/>
              </w:rPr>
              <w:t>20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，现有项目生活污水经预处理池处理后排入污水处理站，现有项目生活污水排放量约为</w:t>
            </w:r>
            <w:r>
              <w:rPr>
                <w:rFonts w:hint="eastAsia" w:cs="Times New Roman"/>
                <w:color w:val="auto"/>
                <w:sz w:val="24"/>
                <w:highlight w:val="none"/>
                <w:lang w:val="en-US" w:eastAsia="zh-CN"/>
              </w:rPr>
              <w:t>9.6</w:t>
            </w:r>
            <w:r>
              <w:rPr>
                <w:bCs/>
                <w:color w:val="auto"/>
                <w:sz w:val="24"/>
                <w:highlight w:val="none"/>
              </w:rPr>
              <w:t>m</w:t>
            </w:r>
            <w:r>
              <w:rPr>
                <w:rFonts w:hint="eastAsia"/>
                <w:bCs/>
                <w:color w:val="auto"/>
                <w:sz w:val="24"/>
                <w:highlight w:val="none"/>
                <w:vertAlign w:val="superscript"/>
              </w:rPr>
              <w:t>3</w:t>
            </w:r>
            <w:r>
              <w:rPr>
                <w:bCs/>
                <w:color w:val="auto"/>
                <w:sz w:val="24"/>
                <w:highlight w:val="none"/>
              </w:rPr>
              <w:t>/d</w:t>
            </w:r>
            <w:r>
              <w:rPr>
                <w:rFonts w:hint="eastAsia"/>
                <w:bCs/>
                <w:color w:val="auto"/>
                <w:sz w:val="24"/>
                <w:highlight w:val="none"/>
                <w:lang w:eastAsia="zh-CN"/>
              </w:rPr>
              <w:t>，</w:t>
            </w:r>
            <w:r>
              <w:rPr>
                <w:rFonts w:hint="eastAsia"/>
                <w:bCs/>
                <w:color w:val="auto"/>
                <w:sz w:val="24"/>
                <w:highlight w:val="none"/>
                <w:lang w:val="en-US" w:eastAsia="zh-CN"/>
              </w:rPr>
              <w:t>隔油池剩余容量为10.4</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本项目新增</w:t>
            </w:r>
            <w:r>
              <w:rPr>
                <w:rFonts w:hint="default" w:ascii="Times New Roman" w:hAnsi="Times New Roman" w:eastAsia="宋体" w:cs="Times New Roman"/>
                <w:color w:val="auto"/>
                <w:sz w:val="24"/>
                <w:highlight w:val="none"/>
                <w:lang w:val="en-US" w:eastAsia="zh-CN"/>
              </w:rPr>
              <w:t>生活污水</w:t>
            </w:r>
            <w:r>
              <w:rPr>
                <w:rFonts w:hint="eastAsia"/>
                <w:bCs/>
                <w:color w:val="auto"/>
                <w:sz w:val="24"/>
                <w:highlight w:val="none"/>
                <w:lang w:val="en-US" w:eastAsia="zh-CN"/>
              </w:rPr>
              <w:t>排放</w:t>
            </w:r>
            <w:r>
              <w:rPr>
                <w:bCs/>
                <w:color w:val="auto"/>
                <w:sz w:val="24"/>
                <w:highlight w:val="none"/>
              </w:rPr>
              <w:t>量为</w:t>
            </w:r>
            <w:r>
              <w:rPr>
                <w:rFonts w:hint="eastAsia"/>
                <w:bCs/>
                <w:color w:val="auto"/>
                <w:sz w:val="24"/>
                <w:highlight w:val="none"/>
                <w:lang w:val="en-US" w:eastAsia="zh-CN"/>
              </w:rPr>
              <w:t>6.8</w:t>
            </w:r>
            <w:r>
              <w:rPr>
                <w:bCs/>
                <w:color w:val="auto"/>
                <w:sz w:val="24"/>
                <w:highlight w:val="none"/>
              </w:rPr>
              <w:t>m</w:t>
            </w:r>
            <w:r>
              <w:rPr>
                <w:bCs/>
                <w:color w:val="auto"/>
                <w:sz w:val="24"/>
                <w:highlight w:val="none"/>
                <w:vertAlign w:val="superscript"/>
              </w:rPr>
              <w:t>3</w:t>
            </w:r>
            <w:r>
              <w:rPr>
                <w:bCs/>
                <w:color w:val="auto"/>
                <w:sz w:val="24"/>
                <w:highlight w:val="none"/>
              </w:rPr>
              <w:t>/d，</w:t>
            </w:r>
            <w:r>
              <w:rPr>
                <w:rFonts w:hint="eastAsia"/>
                <w:bCs/>
                <w:color w:val="auto"/>
                <w:sz w:val="24"/>
                <w:highlight w:val="none"/>
                <w:lang w:val="en-US" w:eastAsia="zh-CN"/>
              </w:rPr>
              <w:t>因此，现有项目已建预处理池满足本项目的使用需求。</w:t>
            </w:r>
          </w:p>
          <w:p>
            <w:pPr>
              <w:pStyle w:val="51"/>
              <w:adjustRightInd/>
              <w:spacing w:line="360" w:lineRule="auto"/>
              <w:ind w:left="0" w:right="0" w:firstLineChars="200"/>
              <w:jc w:val="both"/>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eastAsia="zh-CN"/>
              </w:rPr>
              <w:t>（</w:t>
            </w:r>
            <w:r>
              <w:rPr>
                <w:rFonts w:hint="eastAsia" w:cs="Times New Roman"/>
                <w:b/>
                <w:bCs/>
                <w:color w:val="auto"/>
                <w:highlight w:val="none"/>
                <w:lang w:val="en-US" w:eastAsia="zh-CN"/>
              </w:rPr>
              <w:t>3</w:t>
            </w:r>
            <w:r>
              <w:rPr>
                <w:rFonts w:hint="eastAsia" w:ascii="Times New Roman" w:hAnsi="Times New Roman" w:eastAsia="宋体" w:cs="Times New Roman"/>
                <w:b/>
                <w:bCs/>
                <w:color w:val="auto"/>
                <w:highlight w:val="none"/>
                <w:lang w:eastAsia="zh-CN"/>
              </w:rPr>
              <w:t>）</w:t>
            </w:r>
            <w:r>
              <w:rPr>
                <w:rFonts w:hint="eastAsia" w:ascii="Times New Roman" w:hAnsi="Times New Roman" w:eastAsia="宋体" w:cs="Times New Roman"/>
                <w:b/>
                <w:bCs/>
                <w:color w:val="auto"/>
                <w:highlight w:val="none"/>
                <w:lang w:val="en-US" w:eastAsia="zh-CN"/>
              </w:rPr>
              <w:t>污水处理站依托</w:t>
            </w:r>
            <w:r>
              <w:rPr>
                <w:rFonts w:hint="eastAsia" w:ascii="Times New Roman" w:hAnsi="Times New Roman" w:eastAsia="宋体" w:cs="Times New Roman"/>
                <w:b/>
                <w:bCs/>
                <w:color w:val="auto"/>
                <w:highlight w:val="none"/>
              </w:rPr>
              <w:t>可行性分析</w:t>
            </w:r>
          </w:p>
          <w:p>
            <w:pPr>
              <w:tabs>
                <w:tab w:val="left" w:pos="2010"/>
              </w:tabs>
              <w:spacing w:line="360" w:lineRule="auto"/>
              <w:ind w:firstLine="480" w:firstLineChars="200"/>
              <w:rPr>
                <w:rFonts w:hint="default" w:eastAsia="宋体"/>
                <w:bCs/>
                <w:color w:val="auto"/>
                <w:kern w:val="0"/>
                <w:sz w:val="24"/>
                <w:highlight w:val="none"/>
                <w:lang w:val="en-US" w:eastAsia="zh-CN"/>
              </w:rPr>
            </w:pPr>
            <w:r>
              <w:rPr>
                <w:rFonts w:hint="eastAsia" w:ascii="宋体" w:hAnsi="宋体" w:cs="宋体"/>
                <w:color w:val="auto"/>
                <w:sz w:val="24"/>
                <w:highlight w:val="none"/>
                <w:lang w:val="en-US" w:eastAsia="zh-CN"/>
              </w:rPr>
              <w:t>现有项目</w:t>
            </w:r>
            <w:r>
              <w:rPr>
                <w:rFonts w:hint="eastAsia" w:ascii="宋体" w:hAnsi="宋体" w:cs="宋体"/>
                <w:color w:val="auto"/>
                <w:sz w:val="24"/>
                <w:highlight w:val="none"/>
              </w:rPr>
              <w:t>已建污水处理</w:t>
            </w:r>
            <w:r>
              <w:rPr>
                <w:rFonts w:hint="eastAsia" w:ascii="宋体" w:hAnsi="宋体" w:cs="宋体"/>
                <w:color w:val="auto"/>
                <w:sz w:val="24"/>
                <w:highlight w:val="none"/>
                <w:lang w:val="en-US" w:eastAsia="zh-CN"/>
              </w:rPr>
              <w:t>站</w:t>
            </w:r>
            <w:r>
              <w:rPr>
                <w:rFonts w:hint="eastAsia" w:ascii="宋体" w:hAnsi="宋体" w:cs="宋体"/>
                <w:color w:val="auto"/>
                <w:sz w:val="24"/>
                <w:highlight w:val="none"/>
              </w:rPr>
              <w:t>一</w:t>
            </w:r>
            <w:r>
              <w:rPr>
                <w:rFonts w:hint="eastAsia" w:ascii="宋体" w:hAnsi="宋体" w:cs="宋体"/>
                <w:color w:val="auto"/>
                <w:sz w:val="24"/>
                <w:highlight w:val="none"/>
                <w:lang w:val="en-US" w:eastAsia="zh-CN"/>
              </w:rPr>
              <w:t>座</w:t>
            </w:r>
            <w:r>
              <w:rPr>
                <w:rFonts w:hint="eastAsia" w:ascii="宋体" w:hAnsi="宋体" w:cs="宋体"/>
                <w:color w:val="auto"/>
                <w:sz w:val="24"/>
                <w:highlight w:val="none"/>
              </w:rPr>
              <w:t>，处理能</w:t>
            </w:r>
            <w:r>
              <w:rPr>
                <w:rFonts w:hint="eastAsia"/>
                <w:color w:val="auto"/>
                <w:sz w:val="24"/>
                <w:highlight w:val="none"/>
              </w:rPr>
              <w:t>力为5</w:t>
            </w:r>
            <w:r>
              <w:rPr>
                <w:rFonts w:hint="eastAsia"/>
                <w:color w:val="auto"/>
                <w:sz w:val="24"/>
                <w:highlight w:val="none"/>
                <w:lang w:val="en-US" w:eastAsia="zh-CN"/>
              </w:rPr>
              <w:t>0</w:t>
            </w:r>
            <w:r>
              <w:rPr>
                <w:rFonts w:hint="eastAsia"/>
                <w:color w:val="auto"/>
                <w:sz w:val="24"/>
                <w:highlight w:val="none"/>
              </w:rPr>
              <w:t>0m</w:t>
            </w:r>
            <w:r>
              <w:rPr>
                <w:rFonts w:hint="eastAsia"/>
                <w:color w:val="auto"/>
                <w:sz w:val="24"/>
                <w:highlight w:val="none"/>
                <w:vertAlign w:val="superscript"/>
              </w:rPr>
              <w:t>3</w:t>
            </w:r>
            <w:r>
              <w:rPr>
                <w:rFonts w:hint="eastAsia"/>
                <w:color w:val="auto"/>
                <w:sz w:val="24"/>
                <w:highlight w:val="none"/>
              </w:rPr>
              <w:t>/d，</w:t>
            </w:r>
            <w:r>
              <w:rPr>
                <w:rFonts w:hint="eastAsia" w:ascii="Times New Roman" w:hAnsi="Times New Roman" w:eastAsia="宋体" w:cs="Times New Roman"/>
                <w:b/>
                <w:bCs/>
                <w:color w:val="auto"/>
                <w:kern w:val="2"/>
                <w:sz w:val="24"/>
                <w:szCs w:val="24"/>
                <w:highlight w:val="none"/>
                <w:lang w:val="en-US" w:eastAsia="zh-CN" w:bidi="ar-SA"/>
              </w:rPr>
              <w:t>根据</w:t>
            </w:r>
            <w:r>
              <w:rPr>
                <w:rFonts w:hint="eastAsia" w:eastAsia="宋体" w:cs="Times New Roman"/>
                <w:b/>
                <w:bCs/>
                <w:color w:val="auto"/>
                <w:kern w:val="2"/>
                <w:sz w:val="24"/>
                <w:szCs w:val="24"/>
                <w:highlight w:val="none"/>
                <w:lang w:val="en-US" w:eastAsia="zh-CN" w:bidi="ar-SA"/>
              </w:rPr>
              <w:t>业主方提供的</w:t>
            </w:r>
            <w:r>
              <w:rPr>
                <w:rFonts w:hint="eastAsia" w:cs="Times New Roman"/>
                <w:b/>
                <w:bCs/>
                <w:color w:val="auto"/>
                <w:kern w:val="2"/>
                <w:sz w:val="24"/>
                <w:szCs w:val="24"/>
                <w:highlight w:val="none"/>
                <w:lang w:val="en-US" w:eastAsia="zh-CN" w:bidi="ar-SA"/>
              </w:rPr>
              <w:t>2022年2月~11月的</w:t>
            </w:r>
            <w:r>
              <w:rPr>
                <w:rFonts w:hint="eastAsia" w:eastAsia="宋体" w:cs="Times New Roman"/>
                <w:b/>
                <w:bCs/>
                <w:color w:val="auto"/>
                <w:kern w:val="2"/>
                <w:sz w:val="24"/>
                <w:szCs w:val="24"/>
                <w:highlight w:val="none"/>
                <w:lang w:val="en-US" w:eastAsia="zh-CN" w:bidi="ar-SA"/>
              </w:rPr>
              <w:t>在线监测数据，</w:t>
            </w:r>
            <w:r>
              <w:rPr>
                <w:rFonts w:hint="eastAsia" w:cs="Times New Roman"/>
                <w:b/>
                <w:bCs/>
                <w:color w:val="auto"/>
                <w:kern w:val="2"/>
                <w:sz w:val="24"/>
                <w:szCs w:val="24"/>
                <w:highlight w:val="none"/>
                <w:lang w:val="en-US" w:eastAsia="zh-CN" w:bidi="ar-SA"/>
              </w:rPr>
              <w:t>废水日均流量最大为200m</w:t>
            </w:r>
            <w:r>
              <w:rPr>
                <w:rFonts w:hint="eastAsia" w:cs="Times New Roman"/>
                <w:b/>
                <w:bCs/>
                <w:color w:val="auto"/>
                <w:kern w:val="2"/>
                <w:sz w:val="24"/>
                <w:szCs w:val="24"/>
                <w:highlight w:val="none"/>
                <w:vertAlign w:val="superscript"/>
                <w:lang w:val="en-US" w:eastAsia="zh-CN" w:bidi="ar-SA"/>
              </w:rPr>
              <w:t>3</w:t>
            </w:r>
            <w:r>
              <w:rPr>
                <w:rFonts w:hint="eastAsia" w:cs="Times New Roman"/>
                <w:b/>
                <w:bCs/>
                <w:color w:val="auto"/>
                <w:kern w:val="2"/>
                <w:sz w:val="24"/>
                <w:szCs w:val="24"/>
                <w:highlight w:val="none"/>
                <w:lang w:val="en-US" w:eastAsia="zh-CN" w:bidi="ar-SA"/>
              </w:rPr>
              <w:t>/d，详见附件</w:t>
            </w:r>
            <w:r>
              <w:rPr>
                <w:rFonts w:hint="eastAsia"/>
                <w:bCs/>
                <w:color w:val="auto"/>
                <w:sz w:val="24"/>
                <w:szCs w:val="24"/>
                <w:highlight w:val="none"/>
              </w:rPr>
              <w:t>，</w:t>
            </w:r>
            <w:r>
              <w:rPr>
                <w:rFonts w:hint="eastAsia"/>
                <w:b/>
                <w:bCs w:val="0"/>
                <w:color w:val="auto"/>
                <w:sz w:val="24"/>
                <w:highlight w:val="none"/>
                <w:lang w:val="en-US" w:eastAsia="zh-CN"/>
              </w:rPr>
              <w:t>保守估算现有项目污水量最大按照250</w:t>
            </w:r>
            <w:r>
              <w:rPr>
                <w:b/>
                <w:bCs w:val="0"/>
                <w:color w:val="auto"/>
                <w:kern w:val="0"/>
                <w:sz w:val="24"/>
                <w:highlight w:val="none"/>
              </w:rPr>
              <w:t>m</w:t>
            </w:r>
            <w:r>
              <w:rPr>
                <w:rFonts w:hint="eastAsia"/>
                <w:b/>
                <w:bCs w:val="0"/>
                <w:color w:val="auto"/>
                <w:kern w:val="0"/>
                <w:sz w:val="24"/>
                <w:highlight w:val="none"/>
                <w:vertAlign w:val="superscript"/>
              </w:rPr>
              <w:t>3</w:t>
            </w:r>
            <w:r>
              <w:rPr>
                <w:b/>
                <w:bCs w:val="0"/>
                <w:color w:val="auto"/>
                <w:kern w:val="0"/>
                <w:sz w:val="24"/>
                <w:highlight w:val="none"/>
              </w:rPr>
              <w:t>/d</w:t>
            </w:r>
            <w:r>
              <w:rPr>
                <w:rFonts w:hint="eastAsia"/>
                <w:b/>
                <w:bCs w:val="0"/>
                <w:color w:val="auto"/>
                <w:kern w:val="0"/>
                <w:sz w:val="24"/>
                <w:highlight w:val="none"/>
                <w:lang w:val="en-US" w:eastAsia="zh-CN"/>
              </w:rPr>
              <w:t>计</w:t>
            </w:r>
            <w:r>
              <w:rPr>
                <w:rFonts w:hint="eastAsia"/>
                <w:b/>
                <w:bCs w:val="0"/>
                <w:color w:val="auto"/>
                <w:kern w:val="0"/>
                <w:sz w:val="24"/>
                <w:highlight w:val="none"/>
              </w:rPr>
              <w:t>，</w:t>
            </w:r>
            <w:r>
              <w:rPr>
                <w:rFonts w:hint="eastAsia"/>
                <w:b w:val="0"/>
                <w:bCs/>
                <w:color w:val="auto"/>
                <w:kern w:val="0"/>
                <w:sz w:val="24"/>
                <w:highlight w:val="none"/>
                <w:lang w:val="en-US" w:eastAsia="zh-CN"/>
              </w:rPr>
              <w:t>则</w:t>
            </w:r>
            <w:r>
              <w:rPr>
                <w:rFonts w:hint="eastAsia" w:ascii="宋体" w:hAnsi="宋体" w:cs="宋体"/>
                <w:color w:val="auto"/>
                <w:sz w:val="24"/>
                <w:highlight w:val="none"/>
              </w:rPr>
              <w:t>污水处理</w:t>
            </w:r>
            <w:r>
              <w:rPr>
                <w:rFonts w:hint="eastAsia" w:ascii="宋体" w:hAnsi="宋体" w:cs="宋体"/>
                <w:color w:val="auto"/>
                <w:sz w:val="24"/>
                <w:highlight w:val="none"/>
                <w:lang w:val="en-US" w:eastAsia="zh-CN"/>
              </w:rPr>
              <w:t>站</w:t>
            </w:r>
            <w:r>
              <w:rPr>
                <w:rFonts w:hint="eastAsia"/>
                <w:bCs/>
                <w:color w:val="auto"/>
                <w:kern w:val="0"/>
                <w:sz w:val="24"/>
                <w:highlight w:val="none"/>
              </w:rPr>
              <w:t>剩余容量为</w:t>
            </w:r>
            <w:r>
              <w:rPr>
                <w:rFonts w:hint="eastAsia"/>
                <w:bCs/>
                <w:color w:val="auto"/>
                <w:kern w:val="0"/>
                <w:sz w:val="24"/>
                <w:highlight w:val="none"/>
                <w:lang w:val="en-US" w:eastAsia="zh-CN"/>
              </w:rPr>
              <w:t>250</w:t>
            </w:r>
            <w:r>
              <w:rPr>
                <w:color w:val="auto"/>
                <w:kern w:val="0"/>
                <w:sz w:val="24"/>
                <w:highlight w:val="none"/>
              </w:rPr>
              <w:t>m</w:t>
            </w:r>
            <w:r>
              <w:rPr>
                <w:rFonts w:hint="eastAsia"/>
                <w:color w:val="auto"/>
                <w:kern w:val="0"/>
                <w:sz w:val="24"/>
                <w:highlight w:val="none"/>
                <w:vertAlign w:val="superscript"/>
              </w:rPr>
              <w:t>3</w:t>
            </w:r>
            <w:r>
              <w:rPr>
                <w:color w:val="auto"/>
                <w:kern w:val="0"/>
                <w:sz w:val="24"/>
                <w:highlight w:val="none"/>
              </w:rPr>
              <w:t>/d</w:t>
            </w:r>
            <w:r>
              <w:rPr>
                <w:rFonts w:hint="eastAsia"/>
                <w:bCs/>
                <w:color w:val="auto"/>
                <w:kern w:val="0"/>
                <w:sz w:val="24"/>
                <w:highlight w:val="none"/>
              </w:rPr>
              <w:t>，</w:t>
            </w:r>
            <w:r>
              <w:rPr>
                <w:rFonts w:hint="eastAsia"/>
                <w:bCs/>
                <w:color w:val="auto"/>
                <w:sz w:val="24"/>
                <w:highlight w:val="none"/>
              </w:rPr>
              <w:t>本项目</w:t>
            </w:r>
            <w:r>
              <w:rPr>
                <w:rFonts w:hint="eastAsia"/>
                <w:bCs/>
                <w:color w:val="auto"/>
                <w:sz w:val="24"/>
                <w:highlight w:val="none"/>
                <w:lang w:val="en-US" w:eastAsia="zh-CN"/>
              </w:rPr>
              <w:t>日</w:t>
            </w:r>
            <w:r>
              <w:rPr>
                <w:rFonts w:hint="eastAsia"/>
                <w:bCs/>
                <w:color w:val="auto"/>
                <w:sz w:val="24"/>
                <w:highlight w:val="none"/>
              </w:rPr>
              <w:t>废水</w:t>
            </w:r>
            <w:r>
              <w:rPr>
                <w:rFonts w:hint="eastAsia"/>
                <w:bCs/>
                <w:color w:val="auto"/>
                <w:kern w:val="0"/>
                <w:sz w:val="24"/>
                <w:highlight w:val="none"/>
                <w:lang w:val="en-US" w:eastAsia="zh-CN"/>
              </w:rPr>
              <w:t>排放</w:t>
            </w:r>
            <w:r>
              <w:rPr>
                <w:rFonts w:hint="eastAsia"/>
                <w:bCs/>
                <w:color w:val="auto"/>
                <w:kern w:val="0"/>
                <w:sz w:val="24"/>
                <w:highlight w:val="none"/>
              </w:rPr>
              <w:t>量</w:t>
            </w:r>
            <w:r>
              <w:rPr>
                <w:rFonts w:hint="eastAsia"/>
                <w:bCs/>
                <w:color w:val="auto"/>
                <w:kern w:val="0"/>
                <w:sz w:val="24"/>
                <w:highlight w:val="none"/>
                <w:lang w:val="en-US" w:eastAsia="zh-CN"/>
              </w:rPr>
              <w:t>最大</w:t>
            </w:r>
            <w:r>
              <w:rPr>
                <w:rFonts w:hint="eastAsia"/>
                <w:bCs/>
                <w:color w:val="auto"/>
                <w:kern w:val="0"/>
                <w:sz w:val="24"/>
                <w:highlight w:val="none"/>
              </w:rPr>
              <w:t>为</w:t>
            </w:r>
            <w:r>
              <w:rPr>
                <w:rFonts w:hint="eastAsia"/>
                <w:bCs/>
                <w:color w:val="auto"/>
                <w:sz w:val="24"/>
                <w:highlight w:val="none"/>
                <w:lang w:val="en-US" w:eastAsia="zh-CN"/>
              </w:rPr>
              <w:t>97.17</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lang w:eastAsia="zh-CN"/>
              </w:rPr>
              <w:t>，</w:t>
            </w:r>
            <w:r>
              <w:rPr>
                <w:rFonts w:hint="eastAsia"/>
                <w:color w:val="auto"/>
                <w:sz w:val="24"/>
                <w:highlight w:val="none"/>
                <w:lang w:val="en-US" w:eastAsia="zh-CN"/>
              </w:rPr>
              <w:t>因此，</w:t>
            </w:r>
            <w:r>
              <w:rPr>
                <w:rFonts w:hint="eastAsia" w:ascii="宋体" w:hAnsi="宋体" w:cs="宋体"/>
                <w:color w:val="auto"/>
                <w:sz w:val="24"/>
                <w:highlight w:val="none"/>
              </w:rPr>
              <w:t>污水处理</w:t>
            </w:r>
            <w:r>
              <w:rPr>
                <w:rFonts w:hint="eastAsia" w:ascii="宋体" w:hAnsi="宋体" w:cs="宋体"/>
                <w:color w:val="auto"/>
                <w:sz w:val="24"/>
                <w:highlight w:val="none"/>
                <w:lang w:val="en-US" w:eastAsia="zh-CN"/>
              </w:rPr>
              <w:t>站剩余容量可满足本项目的使用需求。现有项目的废水水质与本项目类似，根据现有项目例行监测报告，现有项目的废水经污水处理站处理后，厂区废水排口满足《污水综合排放标准》</w:t>
            </w:r>
            <w:r>
              <w:rPr>
                <w:rFonts w:hint="default" w:ascii="Times New Roman" w:hAnsi="Times New Roman" w:cs="Times New Roman"/>
                <w:color w:val="auto"/>
                <w:sz w:val="24"/>
                <w:highlight w:val="none"/>
                <w:lang w:val="en-US" w:eastAsia="zh-CN"/>
              </w:rPr>
              <w:t>（GB8978-1996）三级标</w:t>
            </w:r>
            <w:r>
              <w:rPr>
                <w:rFonts w:hint="default" w:ascii="Times New Roman" w:hAnsi="Times New Roman" w:eastAsia="宋体" w:cs="Times New Roman"/>
                <w:color w:val="auto"/>
                <w:sz w:val="24"/>
                <w:highlight w:val="none"/>
                <w:lang w:val="en-US" w:eastAsia="zh-CN"/>
              </w:rPr>
              <w:t>准，NH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-N、TP满足</w:t>
            </w:r>
            <w:r>
              <w:rPr>
                <w:rFonts w:hint="default" w:ascii="Times New Roman" w:hAnsi="Times New Roman" w:cs="Times New Roman"/>
                <w:color w:val="auto"/>
                <w:sz w:val="24"/>
                <w:highlight w:val="none"/>
                <w:lang w:val="en-US" w:eastAsia="zh-CN"/>
              </w:rPr>
              <w:t>《污水排入城镇下水道水质标准》（CJ343-201</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lang w:val="en-US" w:eastAsia="zh-CN"/>
              </w:rPr>
              <w:t>）标准</w:t>
            </w:r>
            <w:r>
              <w:rPr>
                <w:rFonts w:hint="eastAsia" w:cs="Times New Roman"/>
                <w:color w:val="auto"/>
                <w:sz w:val="24"/>
                <w:highlight w:val="none"/>
                <w:lang w:val="en-US" w:eastAsia="zh-CN"/>
              </w:rPr>
              <w:t>，因此，现有项目的污水处理站处理本项目废水水质可行。</w:t>
            </w:r>
          </w:p>
          <w:p>
            <w:pPr>
              <w:tabs>
                <w:tab w:val="left" w:pos="2010"/>
              </w:tabs>
              <w:spacing w:line="360" w:lineRule="auto"/>
              <w:ind w:firstLine="480" w:firstLineChars="200"/>
              <w:rPr>
                <w:rFonts w:hint="eastAsia"/>
                <w:bCs/>
                <w:color w:val="auto"/>
                <w:kern w:val="0"/>
                <w:sz w:val="24"/>
                <w:highlight w:val="none"/>
              </w:rPr>
            </w:pPr>
            <w:r>
              <w:rPr>
                <w:rFonts w:hint="eastAsia"/>
                <w:bCs/>
                <w:color w:val="auto"/>
                <w:kern w:val="0"/>
                <w:sz w:val="24"/>
                <w:highlight w:val="none"/>
                <w:lang w:val="en-US" w:eastAsia="zh-CN"/>
              </w:rPr>
              <w:t>综上</w:t>
            </w:r>
            <w:r>
              <w:rPr>
                <w:rFonts w:hint="eastAsia"/>
                <w:bCs/>
                <w:color w:val="auto"/>
                <w:kern w:val="0"/>
                <w:sz w:val="24"/>
                <w:highlight w:val="none"/>
              </w:rPr>
              <w:t>，本项目依托厂区已建的</w:t>
            </w:r>
            <w:r>
              <w:rPr>
                <w:rFonts w:hint="eastAsia" w:ascii="宋体" w:hAnsi="宋体" w:cs="宋体"/>
                <w:color w:val="auto"/>
                <w:sz w:val="24"/>
                <w:highlight w:val="none"/>
                <w:lang w:val="en-US" w:eastAsia="zh-CN"/>
              </w:rPr>
              <w:t>污水处理站</w:t>
            </w:r>
            <w:r>
              <w:rPr>
                <w:rFonts w:hint="eastAsia"/>
                <w:bCs/>
                <w:color w:val="auto"/>
                <w:kern w:val="0"/>
                <w:sz w:val="24"/>
                <w:highlight w:val="none"/>
              </w:rPr>
              <w:t>可行。</w:t>
            </w:r>
          </w:p>
          <w:p>
            <w:pPr>
              <w:pStyle w:val="51"/>
              <w:adjustRightInd/>
              <w:spacing w:line="360" w:lineRule="auto"/>
              <w:ind w:left="0" w:right="0" w:firstLineChars="200"/>
              <w:jc w:val="both"/>
              <w:rPr>
                <w:b/>
                <w:bCs/>
                <w:color w:val="auto"/>
                <w:highlight w:val="none"/>
              </w:rPr>
            </w:pPr>
            <w:r>
              <w:rPr>
                <w:rFonts w:hint="eastAsia"/>
                <w:b/>
                <w:bCs/>
                <w:color w:val="auto"/>
                <w:highlight w:val="none"/>
              </w:rPr>
              <w:t>5、园区</w:t>
            </w:r>
            <w:r>
              <w:rPr>
                <w:b/>
                <w:bCs/>
                <w:color w:val="auto"/>
                <w:highlight w:val="none"/>
              </w:rPr>
              <w:t>污水处理厂</w:t>
            </w:r>
            <w:r>
              <w:rPr>
                <w:rFonts w:hint="eastAsia"/>
                <w:b/>
                <w:bCs/>
                <w:color w:val="auto"/>
                <w:highlight w:val="none"/>
              </w:rPr>
              <w:t>依托</w:t>
            </w:r>
            <w:r>
              <w:rPr>
                <w:b/>
                <w:bCs/>
                <w:color w:val="auto"/>
                <w:highlight w:val="none"/>
              </w:rPr>
              <w:t>可行性分析</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kern w:val="2"/>
                <w:sz w:val="24"/>
                <w:highlight w:val="none"/>
              </w:rPr>
            </w:pPr>
            <w:r>
              <w:rPr>
                <w:rFonts w:hint="eastAsia" w:ascii="Times New Roman" w:hAnsi="Times New Roman" w:eastAsia="宋体" w:cs="Times New Roman"/>
                <w:color w:val="auto"/>
                <w:kern w:val="2"/>
                <w:sz w:val="24"/>
                <w:highlight w:val="none"/>
              </w:rPr>
              <w:t>工业园区在园区内</w:t>
            </w:r>
            <w:r>
              <w:rPr>
                <w:rFonts w:hint="eastAsia" w:ascii="Times New Roman" w:hAnsi="Times New Roman" w:eastAsia="宋体" w:cs="Times New Roman"/>
                <w:color w:val="auto"/>
                <w:kern w:val="2"/>
                <w:sz w:val="24"/>
                <w:highlight w:val="none"/>
                <w:lang w:val="en-US" w:eastAsia="zh-CN"/>
              </w:rPr>
              <w:t>已建</w:t>
            </w:r>
            <w:r>
              <w:rPr>
                <w:rFonts w:hint="eastAsia" w:ascii="Times New Roman" w:hAnsi="Times New Roman" w:eastAsia="宋体" w:cs="Times New Roman"/>
                <w:color w:val="auto"/>
                <w:kern w:val="2"/>
                <w:sz w:val="24"/>
                <w:highlight w:val="none"/>
              </w:rPr>
              <w:t>集中式污水处理厂1座，设计处理能力10000m</w:t>
            </w:r>
            <w:r>
              <w:rPr>
                <w:rFonts w:hint="eastAsia" w:ascii="Times New Roman" w:hAnsi="Times New Roman" w:eastAsia="宋体" w:cs="Times New Roman"/>
                <w:color w:val="auto"/>
                <w:kern w:val="2"/>
                <w:sz w:val="24"/>
                <w:highlight w:val="none"/>
                <w:vertAlign w:val="superscript"/>
              </w:rPr>
              <w:t>3</w:t>
            </w:r>
            <w:r>
              <w:rPr>
                <w:rFonts w:hint="eastAsia" w:ascii="Times New Roman" w:hAnsi="Times New Roman" w:eastAsia="宋体" w:cs="Times New Roman"/>
                <w:color w:val="auto"/>
                <w:kern w:val="2"/>
                <w:sz w:val="24"/>
                <w:highlight w:val="none"/>
              </w:rPr>
              <w:t>/d，占地面积约25.43亩，设计处理规模1.0万m</w:t>
            </w:r>
            <w:r>
              <w:rPr>
                <w:rFonts w:hint="eastAsia" w:ascii="Times New Roman" w:hAnsi="Times New Roman" w:eastAsia="宋体" w:cs="Times New Roman"/>
                <w:color w:val="auto"/>
                <w:kern w:val="2"/>
                <w:sz w:val="24"/>
                <w:highlight w:val="none"/>
                <w:vertAlign w:val="superscript"/>
              </w:rPr>
              <w:t>3</w:t>
            </w:r>
            <w:r>
              <w:rPr>
                <w:rFonts w:hint="eastAsia" w:ascii="Times New Roman" w:hAnsi="Times New Roman" w:eastAsia="宋体" w:cs="Times New Roman"/>
                <w:color w:val="auto"/>
                <w:kern w:val="2"/>
                <w:sz w:val="24"/>
                <w:highlight w:val="none"/>
              </w:rPr>
              <w:t>/d（一次建成），采用处理工艺流程包括预处理、一级处理、二级处理、污泥处理、中水回用。具体为：粗格栅+细格栅+旋流沉砂池+</w:t>
            </w:r>
            <w:r>
              <w:rPr>
                <w:rFonts w:hint="eastAsia" w:ascii="Times New Roman" w:hAnsi="Times New Roman" w:eastAsia="宋体" w:cs="Times New Roman"/>
                <w:color w:val="auto"/>
                <w:kern w:val="2"/>
                <w:sz w:val="24"/>
                <w:highlight w:val="none"/>
                <w:lang w:val="en-US" w:eastAsia="zh-CN"/>
              </w:rPr>
              <w:t>调节池+</w:t>
            </w:r>
            <w:r>
              <w:rPr>
                <w:rFonts w:hint="eastAsia" w:ascii="Times New Roman" w:hAnsi="Times New Roman" w:eastAsia="宋体" w:cs="Times New Roman"/>
                <w:color w:val="auto"/>
                <w:kern w:val="2"/>
                <w:sz w:val="24"/>
                <w:highlight w:val="none"/>
              </w:rPr>
              <w:t>A</w:t>
            </w:r>
            <w:r>
              <w:rPr>
                <w:rFonts w:hint="eastAsia" w:ascii="Times New Roman" w:hAnsi="Times New Roman" w:eastAsia="宋体" w:cs="Times New Roman"/>
                <w:color w:val="auto"/>
                <w:kern w:val="2"/>
                <w:sz w:val="24"/>
                <w:highlight w:val="none"/>
                <w:vertAlign w:val="superscript"/>
                <w:lang w:val="en-US" w:eastAsia="zh-CN"/>
              </w:rPr>
              <w:t>2</w:t>
            </w:r>
            <w:r>
              <w:rPr>
                <w:rFonts w:hint="eastAsia" w:ascii="Times New Roman" w:hAnsi="Times New Roman" w:eastAsia="宋体" w:cs="Times New Roman"/>
                <w:color w:val="auto"/>
                <w:kern w:val="2"/>
                <w:sz w:val="24"/>
                <w:highlight w:val="none"/>
                <w:lang w:val="en-US" w:eastAsia="zh-CN"/>
              </w:rPr>
              <w:t>/</w:t>
            </w:r>
            <w:r>
              <w:rPr>
                <w:rFonts w:hint="eastAsia" w:ascii="Times New Roman" w:hAnsi="Times New Roman" w:eastAsia="宋体" w:cs="Times New Roman"/>
                <w:color w:val="auto"/>
                <w:kern w:val="2"/>
                <w:sz w:val="24"/>
                <w:highlight w:val="none"/>
              </w:rPr>
              <w:t>O+二沉池+</w:t>
            </w:r>
            <w:r>
              <w:rPr>
                <w:rFonts w:hint="eastAsia" w:ascii="Times New Roman" w:hAnsi="Times New Roman" w:eastAsia="宋体" w:cs="Times New Roman"/>
                <w:color w:val="auto"/>
                <w:kern w:val="2"/>
                <w:sz w:val="24"/>
                <w:highlight w:val="none"/>
                <w:lang w:val="en-US" w:eastAsia="zh-CN"/>
              </w:rPr>
              <w:t>纤维转盘滤池</w:t>
            </w:r>
            <w:r>
              <w:rPr>
                <w:rFonts w:hint="eastAsia" w:ascii="Times New Roman" w:hAnsi="Times New Roman" w:eastAsia="宋体" w:cs="Times New Roman"/>
                <w:color w:val="auto"/>
                <w:kern w:val="2"/>
                <w:sz w:val="24"/>
                <w:highlight w:val="none"/>
              </w:rPr>
              <w:t>+</w:t>
            </w:r>
            <w:r>
              <w:rPr>
                <w:rFonts w:hint="eastAsia" w:ascii="Times New Roman" w:hAnsi="Times New Roman" w:eastAsia="宋体" w:cs="Times New Roman"/>
                <w:color w:val="auto"/>
                <w:kern w:val="2"/>
                <w:sz w:val="24"/>
                <w:highlight w:val="none"/>
                <w:lang w:val="en-US" w:eastAsia="zh-CN"/>
              </w:rPr>
              <w:t>二氧化氯</w:t>
            </w:r>
            <w:r>
              <w:rPr>
                <w:rFonts w:hint="eastAsia" w:ascii="Times New Roman" w:hAnsi="Times New Roman" w:eastAsia="宋体" w:cs="Times New Roman"/>
                <w:color w:val="auto"/>
                <w:kern w:val="2"/>
                <w:sz w:val="24"/>
                <w:highlight w:val="none"/>
              </w:rPr>
              <w:t>消毒。目前，园区集中式污水处理厂已建成。工业园要求园内入驻企业的废水采取经自行处理相应行业标准或《污水综合排放标准》（GB8978-1996）三级标准后，通过园区污水截污管道进入污水处理厂，近期（2020-2025）处理达《城镇污水处理厂污染物排放标准》（GB18918-2002）中一级A标，远期（2026-2030）处理</w:t>
            </w:r>
            <w:r>
              <w:rPr>
                <w:rFonts w:hint="eastAsia" w:ascii="Times New Roman" w:hAnsi="Times New Roman" w:eastAsia="宋体" w:cs="Times New Roman"/>
                <w:color w:val="auto"/>
                <w:kern w:val="2"/>
                <w:sz w:val="24"/>
                <w:highlight w:val="none"/>
                <w:lang w:val="en-US" w:eastAsia="zh-CN"/>
              </w:rPr>
              <w:t>达</w:t>
            </w:r>
            <w:r>
              <w:rPr>
                <w:rFonts w:hint="eastAsia" w:ascii="Times New Roman" w:hAnsi="Times New Roman" w:eastAsia="宋体" w:cs="Times New Roman"/>
                <w:color w:val="auto"/>
                <w:kern w:val="2"/>
                <w:sz w:val="24"/>
                <w:highlight w:val="none"/>
              </w:rPr>
              <w:t>《四川省岷江、沱江流域水污染物排放标准》（DB51/2311-2016）城镇污水处理厂标准</w:t>
            </w:r>
            <w:r>
              <w:rPr>
                <w:rFonts w:hint="eastAsia" w:ascii="Times New Roman" w:hAnsi="Times New Roman" w:eastAsia="宋体" w:cs="Times New Roman"/>
                <w:color w:val="auto"/>
                <w:kern w:val="2"/>
                <w:sz w:val="24"/>
                <w:highlight w:val="none"/>
                <w:lang w:eastAsia="zh-CN"/>
              </w:rPr>
              <w:t>，</w:t>
            </w:r>
            <w:r>
              <w:rPr>
                <w:rFonts w:hint="eastAsia" w:ascii="Times New Roman" w:hAnsi="Times New Roman" w:eastAsia="宋体" w:cs="Times New Roman"/>
                <w:color w:val="auto"/>
                <w:kern w:val="2"/>
                <w:sz w:val="24"/>
                <w:highlight w:val="none"/>
                <w:lang w:val="en-US" w:eastAsia="zh-CN"/>
              </w:rPr>
              <w:t>尾水排入</w:t>
            </w:r>
            <w:r>
              <w:rPr>
                <w:rFonts w:hint="eastAsia" w:ascii="Times New Roman" w:hAnsi="Times New Roman" w:eastAsia="宋体" w:cs="Times New Roman"/>
                <w:color w:val="auto"/>
                <w:kern w:val="2"/>
                <w:sz w:val="24"/>
                <w:highlight w:val="none"/>
              </w:rPr>
              <w:t>大坝河。</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kern w:val="2"/>
                <w:sz w:val="24"/>
                <w:highlight w:val="none"/>
              </w:rPr>
            </w:pPr>
            <w:r>
              <w:rPr>
                <w:rFonts w:hint="eastAsia" w:ascii="Times New Roman" w:hAnsi="Times New Roman" w:eastAsia="宋体" w:cs="Times New Roman"/>
                <w:color w:val="auto"/>
                <w:kern w:val="2"/>
                <w:sz w:val="24"/>
                <w:highlight w:val="none"/>
              </w:rPr>
              <w:t>本项目为</w:t>
            </w:r>
            <w:r>
              <w:rPr>
                <w:rFonts w:hint="eastAsia" w:ascii="Times New Roman" w:hAnsi="Times New Roman" w:eastAsia="宋体" w:cs="Times New Roman"/>
                <w:color w:val="auto"/>
                <w:kern w:val="2"/>
                <w:sz w:val="24"/>
                <w:highlight w:val="none"/>
                <w:lang w:val="en-US" w:eastAsia="zh-CN"/>
              </w:rPr>
              <w:t>园区污水处理厂</w:t>
            </w:r>
            <w:r>
              <w:rPr>
                <w:rFonts w:hint="eastAsia" w:ascii="Times New Roman" w:hAnsi="Times New Roman" w:eastAsia="宋体" w:cs="Times New Roman"/>
                <w:color w:val="auto"/>
                <w:kern w:val="2"/>
                <w:sz w:val="24"/>
                <w:highlight w:val="none"/>
              </w:rPr>
              <w:t>服务范围内，且</w:t>
            </w:r>
            <w:r>
              <w:rPr>
                <w:rFonts w:hint="eastAsia" w:ascii="Times New Roman" w:hAnsi="Times New Roman" w:eastAsia="宋体" w:cs="Times New Roman"/>
                <w:color w:val="auto"/>
                <w:kern w:val="2"/>
                <w:sz w:val="24"/>
                <w:highlight w:val="none"/>
                <w:lang w:val="en-US" w:eastAsia="zh-CN"/>
              </w:rPr>
              <w:t>本项目周边分布有园区污水管网</w:t>
            </w:r>
            <w:r>
              <w:rPr>
                <w:rFonts w:hint="eastAsia" w:ascii="Times New Roman" w:hAnsi="Times New Roman" w:eastAsia="宋体" w:cs="Times New Roman"/>
                <w:color w:val="auto"/>
                <w:kern w:val="2"/>
                <w:sz w:val="24"/>
                <w:highlight w:val="none"/>
              </w:rPr>
              <w:t>，本项目建成后废水排放量</w:t>
            </w:r>
            <w:r>
              <w:rPr>
                <w:rFonts w:hint="eastAsia" w:ascii="Times New Roman" w:hAnsi="Times New Roman" w:eastAsia="宋体" w:cs="Times New Roman"/>
                <w:color w:val="auto"/>
                <w:kern w:val="2"/>
                <w:sz w:val="24"/>
                <w:highlight w:val="none"/>
                <w:lang w:val="en-US" w:eastAsia="zh-CN"/>
              </w:rPr>
              <w:t>最大</w:t>
            </w:r>
            <w:r>
              <w:rPr>
                <w:rFonts w:hint="eastAsia" w:ascii="Times New Roman" w:hAnsi="Times New Roman" w:eastAsia="宋体" w:cs="Times New Roman"/>
                <w:color w:val="auto"/>
                <w:kern w:val="2"/>
                <w:sz w:val="24"/>
                <w:highlight w:val="none"/>
              </w:rPr>
              <w:t>为</w:t>
            </w:r>
            <w:r>
              <w:rPr>
                <w:rFonts w:hint="eastAsia"/>
                <w:bCs/>
                <w:color w:val="auto"/>
                <w:sz w:val="24"/>
                <w:highlight w:val="none"/>
                <w:lang w:val="en-US" w:eastAsia="zh-CN"/>
              </w:rPr>
              <w:t>97.17</w:t>
            </w:r>
            <w:r>
              <w:rPr>
                <w:color w:val="auto"/>
                <w:sz w:val="24"/>
                <w:highlight w:val="none"/>
              </w:rPr>
              <w:t>m</w:t>
            </w:r>
            <w:r>
              <w:rPr>
                <w:color w:val="auto"/>
                <w:sz w:val="24"/>
                <w:highlight w:val="none"/>
                <w:vertAlign w:val="superscript"/>
              </w:rPr>
              <w:t>3</w:t>
            </w:r>
            <w:r>
              <w:rPr>
                <w:color w:val="auto"/>
                <w:sz w:val="24"/>
                <w:highlight w:val="none"/>
              </w:rPr>
              <w:t>/d</w:t>
            </w:r>
            <w:r>
              <w:rPr>
                <w:rFonts w:hint="eastAsia" w:ascii="Times New Roman" w:hAnsi="Times New Roman" w:eastAsia="宋体" w:cs="Times New Roman"/>
                <w:color w:val="auto"/>
                <w:kern w:val="2"/>
                <w:sz w:val="24"/>
                <w:highlight w:val="none"/>
                <w:lang w:eastAsia="zh-CN"/>
              </w:rPr>
              <w:t>，</w:t>
            </w:r>
            <w:r>
              <w:rPr>
                <w:rFonts w:hint="eastAsia" w:ascii="Times New Roman" w:hAnsi="Times New Roman" w:eastAsia="宋体" w:cs="Times New Roman"/>
                <w:color w:val="auto"/>
                <w:kern w:val="2"/>
                <w:sz w:val="24"/>
                <w:highlight w:val="none"/>
              </w:rPr>
              <w:t>远低于污水处理厂接纳能力，废水经污水处理设施处理后，接入市政污水管网，进入</w:t>
            </w:r>
            <w:r>
              <w:rPr>
                <w:rFonts w:hint="eastAsia" w:ascii="Times New Roman" w:hAnsi="Times New Roman" w:eastAsia="宋体" w:cs="Times New Roman"/>
                <w:color w:val="auto"/>
                <w:kern w:val="2"/>
                <w:sz w:val="24"/>
                <w:highlight w:val="none"/>
                <w:lang w:val="en-US" w:eastAsia="zh-CN"/>
              </w:rPr>
              <w:t>园区</w:t>
            </w:r>
            <w:r>
              <w:rPr>
                <w:rFonts w:hint="eastAsia" w:ascii="Times New Roman" w:hAnsi="Times New Roman" w:eastAsia="宋体" w:cs="Times New Roman"/>
                <w:color w:val="auto"/>
                <w:kern w:val="2"/>
                <w:sz w:val="24"/>
                <w:highlight w:val="none"/>
              </w:rPr>
              <w:t>污水处理厂处理达标后排入大坝河。因此，本项目依托园区污水处理厂处理废水可行。</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rPr>
              <w:t>综上，本项目废水治理措施可行。按照环评提出的措施</w:t>
            </w:r>
            <w:r>
              <w:rPr>
                <w:rFonts w:hint="eastAsia" w:ascii="Times New Roman" w:hAnsi="Times New Roman" w:eastAsia="宋体" w:cs="Times New Roman"/>
                <w:color w:val="auto"/>
                <w:kern w:val="2"/>
                <w:sz w:val="24"/>
                <w:highlight w:val="none"/>
                <w:lang w:val="en-US" w:eastAsia="zh-CN"/>
              </w:rPr>
              <w:t>处理</w:t>
            </w:r>
            <w:r>
              <w:rPr>
                <w:rFonts w:hint="eastAsia" w:ascii="Times New Roman" w:hAnsi="Times New Roman" w:eastAsia="宋体" w:cs="Times New Roman"/>
                <w:color w:val="auto"/>
                <w:kern w:val="2"/>
                <w:sz w:val="24"/>
                <w:highlight w:val="none"/>
              </w:rPr>
              <w:t>后，</w:t>
            </w:r>
            <w:r>
              <w:rPr>
                <w:rFonts w:hint="eastAsia" w:ascii="Times New Roman" w:hAnsi="Times New Roman" w:eastAsia="宋体" w:cs="Times New Roman"/>
                <w:color w:val="auto"/>
                <w:kern w:val="2"/>
                <w:sz w:val="24"/>
                <w:highlight w:val="none"/>
                <w:lang w:val="en-US" w:eastAsia="zh-CN"/>
              </w:rPr>
              <w:t>项目产生的废水能达标排放，对地表水体影响较小。</w:t>
            </w:r>
          </w:p>
          <w:p>
            <w:pPr>
              <w:spacing w:line="360" w:lineRule="auto"/>
              <w:ind w:firstLine="482" w:firstLineChars="200"/>
              <w:rPr>
                <w:b/>
                <w:bCs/>
                <w:color w:val="auto"/>
                <w:sz w:val="24"/>
                <w:highlight w:val="none"/>
              </w:rPr>
            </w:pPr>
            <w:r>
              <w:rPr>
                <w:rFonts w:hint="eastAsia"/>
                <w:b/>
                <w:bCs/>
                <w:color w:val="auto"/>
                <w:sz w:val="24"/>
                <w:highlight w:val="none"/>
              </w:rPr>
              <w:t>6、监测要求</w:t>
            </w:r>
          </w:p>
          <w:p>
            <w:pPr>
              <w:spacing w:line="360" w:lineRule="auto"/>
              <w:ind w:firstLine="480" w:firstLineChars="200"/>
              <w:rPr>
                <w:rFonts w:hint="eastAsia"/>
                <w:color w:val="auto"/>
              </w:rPr>
            </w:pPr>
            <w:r>
              <w:rPr>
                <w:rFonts w:hint="eastAsia"/>
                <w:color w:val="auto"/>
                <w:sz w:val="24"/>
                <w:highlight w:val="none"/>
              </w:rPr>
              <w:t>项目投产后，</w:t>
            </w:r>
            <w:r>
              <w:rPr>
                <w:rFonts w:hint="eastAsia"/>
                <w:color w:val="auto"/>
                <w:sz w:val="24"/>
                <w:highlight w:val="none"/>
                <w:lang w:val="en-US" w:eastAsia="zh-CN"/>
              </w:rPr>
              <w:t>根据《排污单位自行监测技术指南 总则》（HJ 819-2017）、《排污单位自行监测技术指南 农副食品加工业》（HJ 986-2018）、《排污单位自行监测技术指南 火力发电及锅炉》（HJ 820-2017）和《排污许可证申请与核发技术规范 锅炉》（HJ953-2018），</w:t>
            </w:r>
            <w:r>
              <w:rPr>
                <w:rFonts w:hint="eastAsia"/>
                <w:color w:val="auto"/>
                <w:sz w:val="24"/>
                <w:highlight w:val="none"/>
              </w:rPr>
              <w:t>企业应定期委托组织具有监测资质的单位开展废水监测</w:t>
            </w:r>
            <w:r>
              <w:rPr>
                <w:rFonts w:hint="eastAsia"/>
                <w:color w:val="auto"/>
                <w:sz w:val="24"/>
                <w:highlight w:val="none"/>
                <w:lang w:eastAsia="zh-CN"/>
              </w:rPr>
              <w:t>，</w:t>
            </w:r>
            <w:r>
              <w:rPr>
                <w:rFonts w:hint="eastAsia"/>
                <w:color w:val="auto"/>
                <w:sz w:val="24"/>
                <w:highlight w:val="none"/>
                <w:lang w:val="en-US" w:eastAsia="zh-CN"/>
              </w:rPr>
              <w:t>并安装自动测流设施并开展流量自动监测</w:t>
            </w:r>
            <w:r>
              <w:rPr>
                <w:rFonts w:hint="eastAsia"/>
                <w:color w:val="auto"/>
                <w:sz w:val="24"/>
                <w:highlight w:val="none"/>
              </w:rPr>
              <w:t>。项目废水监测要求具体如下表所示。</w:t>
            </w:r>
          </w:p>
          <w:p>
            <w:pPr>
              <w:pStyle w:val="41"/>
              <w:bidi w:val="0"/>
              <w:rPr>
                <w:rFonts w:hint="eastAsia"/>
                <w:b/>
                <w:bCs/>
                <w:color w:val="auto"/>
                <w:kern w:val="0"/>
                <w:szCs w:val="21"/>
                <w:highlight w:val="none"/>
                <w:lang w:val="zh-CN"/>
              </w:rPr>
            </w:pPr>
            <w:r>
              <w:rPr>
                <w:rFonts w:hint="eastAsia"/>
                <w:b/>
                <w:bCs/>
                <w:color w:val="auto"/>
                <w:kern w:val="0"/>
                <w:szCs w:val="21"/>
                <w:highlight w:val="none"/>
                <w:lang w:val="zh-CN"/>
              </w:rPr>
              <w:t>表</w:t>
            </w:r>
            <w:r>
              <w:rPr>
                <w:rFonts w:hint="eastAsia"/>
                <w:b/>
                <w:bCs/>
                <w:color w:val="auto"/>
                <w:kern w:val="0"/>
                <w:szCs w:val="21"/>
                <w:highlight w:val="none"/>
              </w:rPr>
              <w:t>4</w:t>
            </w:r>
            <w:r>
              <w:rPr>
                <w:rFonts w:hint="eastAsia"/>
                <w:b/>
                <w:bCs/>
                <w:color w:val="auto"/>
                <w:kern w:val="0"/>
                <w:szCs w:val="21"/>
                <w:highlight w:val="none"/>
                <w:lang w:val="zh-CN"/>
              </w:rPr>
              <w:t>-</w:t>
            </w:r>
            <w:r>
              <w:rPr>
                <w:rFonts w:hint="eastAsia"/>
                <w:b/>
                <w:bCs/>
                <w:color w:val="auto"/>
                <w:kern w:val="0"/>
                <w:szCs w:val="21"/>
                <w:highlight w:val="none"/>
                <w:lang w:val="en-US" w:eastAsia="zh-CN"/>
              </w:rPr>
              <w:t>9</w:t>
            </w:r>
            <w:r>
              <w:rPr>
                <w:rFonts w:hint="eastAsia"/>
                <w:b/>
                <w:bCs/>
                <w:color w:val="auto"/>
                <w:kern w:val="0"/>
                <w:szCs w:val="21"/>
                <w:highlight w:val="none"/>
              </w:rPr>
              <w:t xml:space="preserve">  </w:t>
            </w:r>
            <w:r>
              <w:rPr>
                <w:rFonts w:hint="eastAsia"/>
                <w:b/>
                <w:bCs/>
                <w:color w:val="auto"/>
                <w:kern w:val="0"/>
                <w:szCs w:val="21"/>
                <w:highlight w:val="none"/>
                <w:lang w:val="zh-CN"/>
              </w:rPr>
              <w:t>本项目营运期</w:t>
            </w:r>
            <w:r>
              <w:rPr>
                <w:rFonts w:hint="eastAsia"/>
                <w:b/>
                <w:bCs/>
                <w:color w:val="auto"/>
                <w:kern w:val="0"/>
                <w:szCs w:val="21"/>
                <w:highlight w:val="none"/>
              </w:rPr>
              <w:t>废水</w:t>
            </w:r>
            <w:r>
              <w:rPr>
                <w:rFonts w:hint="eastAsia"/>
                <w:b/>
                <w:bCs/>
                <w:color w:val="auto"/>
                <w:kern w:val="0"/>
                <w:szCs w:val="21"/>
                <w:highlight w:val="none"/>
                <w:lang w:val="zh-CN"/>
              </w:rPr>
              <w:t>监测要求</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59"/>
              <w:gridCol w:w="4018"/>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372" w:type="pct"/>
                  <w:noWrap w:val="0"/>
                  <w:vAlign w:val="center"/>
                </w:tcPr>
                <w:p>
                  <w:pPr>
                    <w:pStyle w:val="59"/>
                    <w:rPr>
                      <w:rFonts w:hint="eastAsia" w:eastAsia="宋体"/>
                      <w:b/>
                      <w:bCs/>
                      <w:color w:val="auto"/>
                      <w:highlight w:val="none"/>
                      <w:lang w:val="en-US" w:eastAsia="zh-CN"/>
                    </w:rPr>
                  </w:pPr>
                  <w:r>
                    <w:rPr>
                      <w:b/>
                      <w:bCs/>
                      <w:color w:val="auto"/>
                      <w:highlight w:val="none"/>
                    </w:rPr>
                    <w:t>监测点</w:t>
                  </w:r>
                  <w:r>
                    <w:rPr>
                      <w:rFonts w:hint="eastAsia"/>
                      <w:b/>
                      <w:bCs/>
                      <w:color w:val="auto"/>
                      <w:highlight w:val="none"/>
                      <w:lang w:val="en-US" w:eastAsia="zh-CN"/>
                    </w:rPr>
                    <w:t>位</w:t>
                  </w:r>
                </w:p>
              </w:tc>
              <w:tc>
                <w:tcPr>
                  <w:tcW w:w="2439" w:type="pct"/>
                  <w:noWrap w:val="0"/>
                  <w:vAlign w:val="center"/>
                </w:tcPr>
                <w:p>
                  <w:pPr>
                    <w:pStyle w:val="59"/>
                    <w:rPr>
                      <w:rFonts w:hint="eastAsia" w:eastAsia="宋体"/>
                      <w:b/>
                      <w:bCs/>
                      <w:color w:val="auto"/>
                      <w:highlight w:val="none"/>
                      <w:lang w:val="en-US" w:eastAsia="zh-CN"/>
                    </w:rPr>
                  </w:pPr>
                  <w:r>
                    <w:rPr>
                      <w:b/>
                      <w:bCs/>
                      <w:color w:val="auto"/>
                      <w:highlight w:val="none"/>
                    </w:rPr>
                    <w:t>监测</w:t>
                  </w:r>
                  <w:r>
                    <w:rPr>
                      <w:rFonts w:hint="eastAsia"/>
                      <w:b/>
                      <w:bCs/>
                      <w:color w:val="auto"/>
                      <w:highlight w:val="none"/>
                      <w:lang w:val="en-US" w:eastAsia="zh-CN"/>
                    </w:rPr>
                    <w:t>指标</w:t>
                  </w:r>
                </w:p>
              </w:tc>
              <w:tc>
                <w:tcPr>
                  <w:tcW w:w="1188" w:type="pct"/>
                  <w:noWrap w:val="0"/>
                  <w:vAlign w:val="center"/>
                </w:tcPr>
                <w:p>
                  <w:pPr>
                    <w:pStyle w:val="59"/>
                    <w:rPr>
                      <w:b/>
                      <w:bCs/>
                      <w:color w:val="auto"/>
                      <w:highlight w:val="none"/>
                    </w:rPr>
                  </w:pPr>
                  <w:r>
                    <w:rPr>
                      <w:b/>
                      <w:bCs/>
                      <w:color w:val="auto"/>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1372" w:type="pct"/>
                  <w:vMerge w:val="restart"/>
                  <w:noWrap w:val="0"/>
                  <w:vAlign w:val="center"/>
                </w:tcPr>
                <w:p>
                  <w:pPr>
                    <w:pStyle w:val="59"/>
                    <w:rPr>
                      <w:color w:val="auto"/>
                      <w:highlight w:val="none"/>
                    </w:rPr>
                  </w:pPr>
                  <w:r>
                    <w:rPr>
                      <w:rFonts w:hint="eastAsia"/>
                      <w:color w:val="auto"/>
                      <w:highlight w:val="none"/>
                      <w:lang w:val="en-US" w:eastAsia="zh-CN"/>
                    </w:rPr>
                    <w:t>废水</w:t>
                  </w:r>
                  <w:r>
                    <w:rPr>
                      <w:rFonts w:hint="eastAsia"/>
                      <w:color w:val="auto"/>
                      <w:highlight w:val="none"/>
                    </w:rPr>
                    <w:t>总排</w:t>
                  </w:r>
                  <w:r>
                    <w:rPr>
                      <w:rFonts w:hint="eastAsia"/>
                      <w:color w:val="auto"/>
                      <w:highlight w:val="none"/>
                      <w:lang w:val="en-US" w:eastAsia="zh-CN"/>
                    </w:rPr>
                    <w:t>放</w:t>
                  </w:r>
                  <w:r>
                    <w:rPr>
                      <w:rFonts w:hint="eastAsia"/>
                      <w:color w:val="auto"/>
                      <w:highlight w:val="none"/>
                    </w:rPr>
                    <w:t>口</w:t>
                  </w:r>
                </w:p>
              </w:tc>
              <w:tc>
                <w:tcPr>
                  <w:tcW w:w="2439" w:type="pct"/>
                  <w:noWrap w:val="0"/>
                  <w:vAlign w:val="center"/>
                </w:tcPr>
                <w:p>
                  <w:pPr>
                    <w:pStyle w:val="59"/>
                    <w:rPr>
                      <w:rFonts w:hint="default" w:eastAsia="宋体"/>
                      <w:color w:val="auto"/>
                      <w:highlight w:val="none"/>
                      <w:lang w:val="en-US" w:eastAsia="zh-CN"/>
                    </w:rPr>
                  </w:pPr>
                  <w:r>
                    <w:rPr>
                      <w:rFonts w:hint="eastAsia"/>
                      <w:color w:val="auto"/>
                      <w:highlight w:val="none"/>
                      <w:lang w:val="en-US" w:eastAsia="zh-CN"/>
                    </w:rPr>
                    <w:t>流量、pH值、化学需氧量</w:t>
                  </w:r>
                  <w:r>
                    <w:rPr>
                      <w:rFonts w:hint="eastAsia"/>
                      <w:color w:val="auto"/>
                      <w:highlight w:val="none"/>
                    </w:rPr>
                    <w:t>、</w:t>
                  </w:r>
                  <w:r>
                    <w:rPr>
                      <w:rFonts w:hint="eastAsia"/>
                      <w:color w:val="auto"/>
                      <w:highlight w:val="none"/>
                      <w:lang w:val="en-US" w:eastAsia="zh-CN"/>
                    </w:rPr>
                    <w:t>氨氮</w:t>
                  </w:r>
                  <w:r>
                    <w:rPr>
                      <w:rFonts w:hint="eastAsia"/>
                      <w:color w:val="auto"/>
                      <w:kern w:val="2"/>
                      <w:highlight w:val="none"/>
                      <w:lang w:eastAsia="zh-CN"/>
                    </w:rPr>
                    <w:t>、</w:t>
                  </w:r>
                  <w:r>
                    <w:rPr>
                      <w:rFonts w:hint="eastAsia"/>
                      <w:color w:val="auto"/>
                      <w:kern w:val="2"/>
                      <w:highlight w:val="none"/>
                      <w:lang w:val="en-US" w:eastAsia="zh-CN"/>
                    </w:rPr>
                    <w:t>总氮、总磷、悬浮物、五日生化需氧量</w:t>
                  </w:r>
                </w:p>
              </w:tc>
              <w:tc>
                <w:tcPr>
                  <w:tcW w:w="1188" w:type="pct"/>
                  <w:noWrap w:val="0"/>
                  <w:vAlign w:val="center"/>
                </w:tcPr>
                <w:p>
                  <w:pPr>
                    <w:pStyle w:val="59"/>
                    <w:rPr>
                      <w:rFonts w:hint="eastAsia" w:eastAsia="宋体"/>
                      <w:color w:val="auto"/>
                      <w:highlight w:val="none"/>
                      <w:lang w:val="en-US" w:eastAsia="zh-CN"/>
                    </w:rPr>
                  </w:pPr>
                  <w:r>
                    <w:rPr>
                      <w:rFonts w:hint="eastAsia"/>
                      <w:color w:val="auto"/>
                      <w:highlight w:val="none"/>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1372" w:type="pct"/>
                  <w:vMerge w:val="continue"/>
                  <w:noWrap w:val="0"/>
                  <w:vAlign w:val="center"/>
                </w:tcPr>
                <w:p>
                  <w:pPr>
                    <w:pStyle w:val="59"/>
                    <w:rPr>
                      <w:rFonts w:hint="eastAsia"/>
                      <w:color w:val="auto"/>
                      <w:highlight w:val="none"/>
                      <w:lang w:val="en-US" w:eastAsia="zh-CN"/>
                    </w:rPr>
                  </w:pPr>
                </w:p>
              </w:tc>
              <w:tc>
                <w:tcPr>
                  <w:tcW w:w="2439" w:type="pct"/>
                  <w:noWrap w:val="0"/>
                  <w:vAlign w:val="center"/>
                </w:tcPr>
                <w:p>
                  <w:pPr>
                    <w:pStyle w:val="59"/>
                    <w:rPr>
                      <w:rFonts w:hint="default"/>
                      <w:color w:val="auto"/>
                      <w:highlight w:val="none"/>
                      <w:lang w:val="en-US" w:eastAsia="zh-CN"/>
                    </w:rPr>
                  </w:pPr>
                  <w:r>
                    <w:rPr>
                      <w:rFonts w:hint="eastAsia"/>
                      <w:color w:val="auto"/>
                      <w:highlight w:val="none"/>
                      <w:lang w:val="en-US" w:eastAsia="zh-CN"/>
                    </w:rPr>
                    <w:t>动植物油、阴离子表面活性剂</w:t>
                  </w:r>
                </w:p>
              </w:tc>
              <w:tc>
                <w:tcPr>
                  <w:tcW w:w="1188" w:type="pct"/>
                  <w:noWrap w:val="0"/>
                  <w:vAlign w:val="center"/>
                </w:tcPr>
                <w:p>
                  <w:pPr>
                    <w:pStyle w:val="59"/>
                    <w:rPr>
                      <w:rFonts w:hint="eastAsia"/>
                      <w:color w:val="auto"/>
                      <w:highlight w:val="none"/>
                      <w:lang w:val="en-US" w:eastAsia="zh-CN"/>
                    </w:rPr>
                  </w:pPr>
                  <w:r>
                    <w:rPr>
                      <w:rFonts w:hint="eastAsia"/>
                      <w:color w:val="auto"/>
                      <w:highlight w:val="none"/>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1372" w:type="pct"/>
                  <w:noWrap w:val="0"/>
                  <w:vAlign w:val="center"/>
                </w:tcPr>
                <w:p>
                  <w:pPr>
                    <w:pStyle w:val="59"/>
                    <w:rPr>
                      <w:rFonts w:hint="default"/>
                      <w:color w:val="auto"/>
                      <w:highlight w:val="none"/>
                      <w:lang w:val="en-US" w:eastAsia="zh-CN"/>
                    </w:rPr>
                  </w:pPr>
                  <w:r>
                    <w:rPr>
                      <w:rFonts w:hint="eastAsia"/>
                      <w:color w:val="auto"/>
                      <w:highlight w:val="none"/>
                      <w:lang w:val="en-US" w:eastAsia="zh-CN"/>
                    </w:rPr>
                    <w:t>雨水排放口</w:t>
                  </w:r>
                </w:p>
              </w:tc>
              <w:tc>
                <w:tcPr>
                  <w:tcW w:w="2439" w:type="pct"/>
                  <w:noWrap w:val="0"/>
                  <w:vAlign w:val="center"/>
                </w:tcPr>
                <w:p>
                  <w:pPr>
                    <w:pStyle w:val="59"/>
                    <w:rPr>
                      <w:rFonts w:hint="default"/>
                      <w:color w:val="auto"/>
                      <w:highlight w:val="none"/>
                      <w:lang w:val="en-US" w:eastAsia="zh-CN"/>
                    </w:rPr>
                  </w:pPr>
                  <w:r>
                    <w:rPr>
                      <w:rFonts w:hint="eastAsia"/>
                      <w:color w:val="auto"/>
                      <w:highlight w:val="none"/>
                      <w:lang w:val="en-US" w:eastAsia="zh-CN"/>
                    </w:rPr>
                    <w:t>化学需氧量</w:t>
                  </w:r>
                </w:p>
              </w:tc>
              <w:tc>
                <w:tcPr>
                  <w:tcW w:w="1188" w:type="pct"/>
                  <w:noWrap w:val="0"/>
                  <w:vAlign w:val="center"/>
                </w:tcPr>
                <w:p>
                  <w:pPr>
                    <w:pStyle w:val="59"/>
                    <w:rPr>
                      <w:rFonts w:hint="default"/>
                      <w:color w:val="auto"/>
                      <w:highlight w:val="none"/>
                      <w:lang w:val="en-US" w:eastAsia="zh-CN"/>
                    </w:rPr>
                  </w:pPr>
                  <w:r>
                    <w:rPr>
                      <w:rFonts w:hint="eastAsia"/>
                      <w:color w:val="auto"/>
                      <w:highlight w:val="no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5000" w:type="pct"/>
                  <w:gridSpan w:val="3"/>
                  <w:noWrap w:val="0"/>
                  <w:vAlign w:val="center"/>
                </w:tcPr>
                <w:p>
                  <w:pPr>
                    <w:pStyle w:val="59"/>
                    <w:jc w:val="both"/>
                    <w:rPr>
                      <w:rFonts w:hint="default"/>
                      <w:color w:val="auto"/>
                      <w:highlight w:val="none"/>
                      <w:lang w:val="en-US" w:eastAsia="zh-CN"/>
                    </w:rPr>
                  </w:pPr>
                  <w:r>
                    <w:rPr>
                      <w:rFonts w:hint="eastAsia"/>
                      <w:color w:val="auto"/>
                      <w:highlight w:val="none"/>
                      <w:lang w:val="en-US" w:eastAsia="zh-CN"/>
                    </w:rPr>
                    <w:t>注：雨水排放口有流动水排放时开展监测，排放期间按日监测。</w:t>
                  </w:r>
                </w:p>
              </w:tc>
            </w:tr>
          </w:tbl>
          <w:p>
            <w:pPr>
              <w:widowControl/>
              <w:snapToGrid w:val="0"/>
              <w:spacing w:line="360" w:lineRule="auto"/>
              <w:rPr>
                <w:rFonts w:hint="eastAsia"/>
                <w:b/>
                <w:bCs/>
                <w:color w:val="auto"/>
                <w:sz w:val="24"/>
                <w:highlight w:val="none"/>
              </w:rPr>
            </w:pPr>
            <w:r>
              <w:rPr>
                <w:rFonts w:hint="eastAsia"/>
                <w:b/>
                <w:bCs/>
                <w:color w:val="auto"/>
                <w:sz w:val="24"/>
                <w:highlight w:val="none"/>
              </w:rPr>
              <w:t>三、噪声环境影响和保护措施</w:t>
            </w:r>
          </w:p>
          <w:p>
            <w:pPr>
              <w:spacing w:line="360" w:lineRule="auto"/>
              <w:ind w:firstLine="482" w:firstLineChars="200"/>
              <w:rPr>
                <w:rFonts w:hint="eastAsia"/>
                <w:b/>
                <w:bCs/>
                <w:color w:val="auto"/>
                <w:sz w:val="24"/>
                <w:highlight w:val="none"/>
              </w:rPr>
            </w:pPr>
            <w:r>
              <w:rPr>
                <w:rFonts w:hint="eastAsia"/>
                <w:b/>
                <w:bCs/>
                <w:color w:val="auto"/>
                <w:sz w:val="24"/>
                <w:highlight w:val="none"/>
              </w:rPr>
              <w:t>1、噪声产生情况</w:t>
            </w:r>
          </w:p>
          <w:p>
            <w:pPr>
              <w:adjustRightInd w:val="0"/>
              <w:snapToGrid w:val="0"/>
              <w:spacing w:line="360" w:lineRule="auto"/>
              <w:ind w:firstLine="480" w:firstLineChars="200"/>
              <w:rPr>
                <w:rFonts w:hint="eastAsia"/>
                <w:bCs/>
                <w:color w:val="auto"/>
                <w:sz w:val="24"/>
                <w:highlight w:val="none"/>
              </w:rPr>
            </w:pPr>
            <w:r>
              <w:rPr>
                <w:bCs/>
                <w:color w:val="auto"/>
                <w:sz w:val="24"/>
                <w:highlight w:val="none"/>
              </w:rPr>
              <w:t>本项目噪声主要来源于</w:t>
            </w:r>
            <w:r>
              <w:rPr>
                <w:rFonts w:hint="eastAsia"/>
                <w:bCs/>
                <w:color w:val="auto"/>
                <w:sz w:val="24"/>
                <w:highlight w:val="none"/>
              </w:rPr>
              <w:t>设备运行噪声，</w:t>
            </w:r>
            <w:r>
              <w:rPr>
                <w:bCs/>
                <w:color w:val="auto"/>
                <w:sz w:val="24"/>
                <w:highlight w:val="none"/>
              </w:rPr>
              <w:t>运营期的主要噪声声源情况见表</w:t>
            </w:r>
            <w:r>
              <w:rPr>
                <w:bCs/>
                <w:i w:val="0"/>
                <w:iCs w:val="0"/>
                <w:color w:val="auto"/>
                <w:sz w:val="24"/>
                <w:highlight w:val="none"/>
              </w:rPr>
              <w:t>4</w:t>
            </w:r>
            <w:r>
              <w:rPr>
                <w:rFonts w:hint="eastAsia"/>
                <w:bCs/>
                <w:i w:val="0"/>
                <w:iCs w:val="0"/>
                <w:color w:val="auto"/>
                <w:sz w:val="24"/>
                <w:highlight w:val="none"/>
                <w:lang w:val="en-US" w:eastAsia="zh-CN"/>
              </w:rPr>
              <w:t>-10</w:t>
            </w:r>
            <w:r>
              <w:rPr>
                <w:rFonts w:hint="eastAsia"/>
                <w:bCs/>
                <w:color w:val="auto"/>
                <w:sz w:val="24"/>
                <w:highlight w:val="none"/>
                <w:lang w:val="en-US" w:eastAsia="zh-CN"/>
              </w:rPr>
              <w:t>和表4-11</w:t>
            </w:r>
            <w:r>
              <w:rPr>
                <w:rFonts w:hint="eastAsia"/>
                <w:bCs/>
                <w:color w:val="auto"/>
                <w:sz w:val="24"/>
                <w:highlight w:val="none"/>
              </w:rPr>
              <w:t>。</w:t>
            </w:r>
          </w:p>
          <w:p>
            <w:pPr>
              <w:pStyle w:val="41"/>
              <w:bidi w:val="0"/>
              <w:rPr>
                <w:rFonts w:hint="eastAsia" w:ascii="Times New Roman" w:hAnsi="Times New Roman" w:eastAsia="宋体" w:cs="宋体"/>
                <w:b/>
                <w:bCs/>
                <w:color w:val="auto"/>
                <w:kern w:val="0"/>
                <w:szCs w:val="21"/>
                <w:highlight w:val="none"/>
                <w:lang w:val="zh-CN"/>
              </w:rPr>
            </w:pPr>
            <w:r>
              <w:rPr>
                <w:rFonts w:hint="eastAsia" w:ascii="Times New Roman" w:hAnsi="Times New Roman" w:eastAsia="宋体" w:cs="宋体"/>
                <w:b/>
                <w:bCs/>
                <w:color w:val="auto"/>
                <w:kern w:val="0"/>
                <w:szCs w:val="21"/>
                <w:highlight w:val="none"/>
                <w:lang w:val="zh-CN"/>
              </w:rPr>
              <w:t>表4-</w:t>
            </w:r>
            <w:r>
              <w:rPr>
                <w:rFonts w:hint="eastAsia" w:cs="宋体"/>
                <w:b/>
                <w:bCs/>
                <w:color w:val="auto"/>
                <w:kern w:val="0"/>
                <w:szCs w:val="21"/>
                <w:highlight w:val="none"/>
                <w:lang w:val="en-US" w:eastAsia="zh-CN"/>
              </w:rPr>
              <w:t>10</w:t>
            </w:r>
            <w:r>
              <w:rPr>
                <w:rFonts w:hint="eastAsia" w:ascii="Times New Roman" w:hAnsi="Times New Roman" w:eastAsia="宋体" w:cs="宋体"/>
                <w:b/>
                <w:bCs/>
                <w:color w:val="auto"/>
                <w:kern w:val="0"/>
                <w:szCs w:val="21"/>
                <w:highlight w:val="none"/>
                <w:lang w:val="zh-CN"/>
              </w:rPr>
              <w:t xml:space="preserve">  项目噪声源强调查清单（室内声源）</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342"/>
              <w:gridCol w:w="408"/>
              <w:gridCol w:w="781"/>
              <w:gridCol w:w="622"/>
              <w:gridCol w:w="570"/>
              <w:gridCol w:w="638"/>
              <w:gridCol w:w="509"/>
              <w:gridCol w:w="728"/>
              <w:gridCol w:w="772"/>
              <w:gridCol w:w="417"/>
              <w:gridCol w:w="772"/>
              <w:gridCol w:w="772"/>
              <w:gridCol w:w="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restart"/>
                  <w:noWrap w:val="0"/>
                  <w:vAlign w:val="center"/>
                </w:tcPr>
                <w:p>
                  <w:pPr>
                    <w:pStyle w:val="59"/>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序号</w:t>
                  </w:r>
                </w:p>
              </w:tc>
              <w:tc>
                <w:tcPr>
                  <w:tcW w:w="207" w:type="pct"/>
                  <w:vMerge w:val="restart"/>
                  <w:noWrap w:val="0"/>
                  <w:vAlign w:val="center"/>
                </w:tcPr>
                <w:p>
                  <w:pPr>
                    <w:pStyle w:val="59"/>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建筑物名称</w:t>
                  </w:r>
                </w:p>
              </w:tc>
              <w:tc>
                <w:tcPr>
                  <w:tcW w:w="247" w:type="pct"/>
                  <w:vMerge w:val="restart"/>
                  <w:noWrap w:val="0"/>
                  <w:vAlign w:val="center"/>
                </w:tcPr>
                <w:p>
                  <w:pPr>
                    <w:pStyle w:val="59"/>
                    <w:ind w:firstLine="0" w:firstLineChars="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声源名称</w:t>
                  </w:r>
                </w:p>
              </w:tc>
              <w:tc>
                <w:tcPr>
                  <w:tcW w:w="473" w:type="pct"/>
                  <w:vMerge w:val="restart"/>
                  <w:noWrap w:val="0"/>
                  <w:vAlign w:val="center"/>
                </w:tcPr>
                <w:p>
                  <w:pPr>
                    <w:pStyle w:val="59"/>
                    <w:ind w:firstLine="0" w:firstLineChars="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声源源强（dB（A）/m）</w:t>
                  </w:r>
                </w:p>
              </w:tc>
              <w:tc>
                <w:tcPr>
                  <w:tcW w:w="377" w:type="pct"/>
                  <w:vMerge w:val="restart"/>
                  <w:noWrap w:val="0"/>
                  <w:vAlign w:val="center"/>
                </w:tcPr>
                <w:p>
                  <w:pPr>
                    <w:pStyle w:val="59"/>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声源控制措施</w:t>
                  </w:r>
                </w:p>
              </w:tc>
              <w:tc>
                <w:tcPr>
                  <w:tcW w:w="1041" w:type="pct"/>
                  <w:gridSpan w:val="3"/>
                  <w:noWrap w:val="0"/>
                  <w:vAlign w:val="center"/>
                </w:tcPr>
                <w:p>
                  <w:pPr>
                    <w:pStyle w:val="59"/>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空间相对位置/m</w:t>
                  </w:r>
                </w:p>
              </w:tc>
              <w:tc>
                <w:tcPr>
                  <w:tcW w:w="441" w:type="pct"/>
                  <w:vMerge w:val="restart"/>
                  <w:noWrap w:val="0"/>
                  <w:vAlign w:val="center"/>
                </w:tcPr>
                <w:p>
                  <w:pPr>
                    <w:pStyle w:val="59"/>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室内边界距离/m</w:t>
                  </w:r>
                </w:p>
              </w:tc>
              <w:tc>
                <w:tcPr>
                  <w:tcW w:w="468" w:type="pct"/>
                  <w:vMerge w:val="restart"/>
                  <w:noWrap w:val="0"/>
                  <w:vAlign w:val="center"/>
                </w:tcPr>
                <w:p>
                  <w:pPr>
                    <w:pStyle w:val="59"/>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室内边界声级/dB（A）</w:t>
                  </w:r>
                </w:p>
              </w:tc>
              <w:tc>
                <w:tcPr>
                  <w:tcW w:w="253" w:type="pct"/>
                  <w:vMerge w:val="restart"/>
                  <w:noWrap w:val="0"/>
                  <w:vAlign w:val="center"/>
                </w:tcPr>
                <w:p>
                  <w:pPr>
                    <w:pStyle w:val="59"/>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运行时段</w:t>
                  </w:r>
                </w:p>
              </w:tc>
              <w:tc>
                <w:tcPr>
                  <w:tcW w:w="468" w:type="pct"/>
                  <w:vMerge w:val="restart"/>
                  <w:noWrap w:val="0"/>
                  <w:vAlign w:val="center"/>
                </w:tcPr>
                <w:p>
                  <w:pPr>
                    <w:pStyle w:val="59"/>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建筑物插入损失/dB（A）</w:t>
                  </w:r>
                </w:p>
              </w:tc>
              <w:tc>
                <w:tcPr>
                  <w:tcW w:w="721" w:type="pct"/>
                  <w:gridSpan w:val="2"/>
                  <w:noWrap w:val="0"/>
                  <w:vAlign w:val="center"/>
                </w:tcPr>
                <w:p>
                  <w:pPr>
                    <w:pStyle w:val="59"/>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noWrap w:val="0"/>
                  <w:vAlign w:val="center"/>
                </w:tcPr>
                <w:p>
                  <w:pPr>
                    <w:pStyle w:val="59"/>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X</w:t>
                  </w:r>
                </w:p>
              </w:tc>
              <w:tc>
                <w:tcPr>
                  <w:tcW w:w="387" w:type="pct"/>
                  <w:noWrap w:val="0"/>
                  <w:vAlign w:val="center"/>
                </w:tcPr>
                <w:p>
                  <w:pPr>
                    <w:pStyle w:val="59"/>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Y</w:t>
                  </w:r>
                </w:p>
              </w:tc>
              <w:tc>
                <w:tcPr>
                  <w:tcW w:w="308" w:type="pct"/>
                  <w:noWrap w:val="0"/>
                  <w:vAlign w:val="center"/>
                </w:tcPr>
                <w:p>
                  <w:pPr>
                    <w:pStyle w:val="59"/>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Z</w:t>
                  </w:r>
                </w:p>
              </w:tc>
              <w:tc>
                <w:tcPr>
                  <w:tcW w:w="441"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声压级/dB（A）</w:t>
                  </w:r>
                </w:p>
              </w:tc>
              <w:tc>
                <w:tcPr>
                  <w:tcW w:w="253" w:type="pct"/>
                  <w:noWrap w:val="0"/>
                  <w:vAlign w:val="center"/>
                </w:tcPr>
                <w:p>
                  <w:pPr>
                    <w:pStyle w:val="59"/>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207" w:type="pct"/>
                  <w:vMerge w:val="restar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1号车间</w:t>
                  </w:r>
                </w:p>
              </w:tc>
              <w:tc>
                <w:tcPr>
                  <w:tcW w:w="24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高速斩拌机</w:t>
                  </w:r>
                </w:p>
              </w:tc>
              <w:tc>
                <w:tcPr>
                  <w:tcW w:w="473" w:type="pct"/>
                  <w:vMerge w:val="restar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80~85</w:t>
                  </w:r>
                </w:p>
              </w:tc>
              <w:tc>
                <w:tcPr>
                  <w:tcW w:w="37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优化设备选型，安装减震垫、基础减震、墙体隔声</w:t>
                  </w:r>
                </w:p>
              </w:tc>
              <w:tc>
                <w:tcPr>
                  <w:tcW w:w="345"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43.4</w:t>
                  </w:r>
                </w:p>
              </w:tc>
              <w:tc>
                <w:tcPr>
                  <w:tcW w:w="38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-98.7</w:t>
                  </w:r>
                </w:p>
              </w:tc>
              <w:tc>
                <w:tcPr>
                  <w:tcW w:w="308" w:type="pct"/>
                  <w:vMerge w:val="restar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1"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24.5</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67.1</w:t>
                  </w:r>
                </w:p>
              </w:tc>
              <w:tc>
                <w:tcPr>
                  <w:tcW w:w="253" w:type="pct"/>
                  <w:vMerge w:val="restar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c>
                <w:tcPr>
                  <w:tcW w:w="468" w:type="pct"/>
                  <w:vMerge w:val="restar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26.0</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41.1</w:t>
                  </w:r>
                </w:p>
              </w:tc>
              <w:tc>
                <w:tcPr>
                  <w:tcW w:w="253"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3.3</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68.7</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42.7</w:t>
                  </w:r>
                </w:p>
              </w:tc>
              <w:tc>
                <w:tcPr>
                  <w:tcW w:w="253"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69.4</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67.0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41.0</w:t>
                  </w:r>
                </w:p>
              </w:tc>
              <w:tc>
                <w:tcPr>
                  <w:tcW w:w="253"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200.2</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67.0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41.0</w:t>
                  </w:r>
                </w:p>
              </w:tc>
              <w:tc>
                <w:tcPr>
                  <w:tcW w:w="253"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restar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szCs w:val="21"/>
                      <w:highlight w:val="none"/>
                      <w:lang w:val="en-US" w:eastAsia="zh-CN"/>
                    </w:rPr>
                    <w:t>分切机</w:t>
                  </w:r>
                </w:p>
              </w:tc>
              <w:tc>
                <w:tcPr>
                  <w:tcW w:w="473"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70~75</w:t>
                  </w: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46.8</w:t>
                  </w:r>
                </w:p>
              </w:tc>
              <w:tc>
                <w:tcPr>
                  <w:tcW w:w="38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-97.7</w:t>
                  </w:r>
                </w:p>
              </w:tc>
              <w:tc>
                <w:tcPr>
                  <w:tcW w:w="308" w:type="pct"/>
                  <w:vMerge w:val="restar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1"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21.0</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57.1</w:t>
                  </w:r>
                </w:p>
              </w:tc>
              <w:tc>
                <w:tcPr>
                  <w:tcW w:w="253"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c>
                <w:tcPr>
                  <w:tcW w:w="46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26.0</w:t>
                  </w: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31.1</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6.9</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57.5</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31.5</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72.9</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57.0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202.6</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57.0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restar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w:t>
                  </w: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szCs w:val="21"/>
                      <w:highlight w:val="none"/>
                      <w:lang w:val="en-US" w:eastAsia="zh-CN"/>
                    </w:rPr>
                    <w:t>烘烤线</w:t>
                  </w:r>
                </w:p>
              </w:tc>
              <w:tc>
                <w:tcPr>
                  <w:tcW w:w="473"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75~80</w:t>
                  </w: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43.4</w:t>
                  </w:r>
                </w:p>
              </w:tc>
              <w:tc>
                <w:tcPr>
                  <w:tcW w:w="38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-77.7</w:t>
                  </w:r>
                </w:p>
              </w:tc>
              <w:tc>
                <w:tcPr>
                  <w:tcW w:w="308" w:type="pct"/>
                  <w:vMerge w:val="restar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1"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19.5</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62.1</w:t>
                  </w:r>
                </w:p>
              </w:tc>
              <w:tc>
                <w:tcPr>
                  <w:tcW w:w="253"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c>
                <w:tcPr>
                  <w:tcW w:w="46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26.0</w:t>
                  </w: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36.1</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color w:val="auto"/>
                      <w:highlight w:val="none"/>
                    </w:rPr>
                  </w:pPr>
                </w:p>
              </w:tc>
              <w:tc>
                <w:tcPr>
                  <w:tcW w:w="207" w:type="pct"/>
                  <w:vMerge w:val="continue"/>
                  <w:noWrap w:val="0"/>
                  <w:vAlign w:val="center"/>
                </w:tcPr>
                <w:p>
                  <w:pPr>
                    <w:pStyle w:val="59"/>
                    <w:rPr>
                      <w:color w:val="auto"/>
                      <w:highlight w:val="none"/>
                    </w:rPr>
                  </w:pPr>
                </w:p>
              </w:tc>
              <w:tc>
                <w:tcPr>
                  <w:tcW w:w="247" w:type="pct"/>
                  <w:vMerge w:val="continue"/>
                  <w:noWrap w:val="0"/>
                  <w:vAlign w:val="center"/>
                </w:tcPr>
                <w:p>
                  <w:pPr>
                    <w:pStyle w:val="59"/>
                    <w:rPr>
                      <w:color w:val="auto"/>
                      <w:highlight w:val="none"/>
                    </w:rPr>
                  </w:pPr>
                </w:p>
              </w:tc>
              <w:tc>
                <w:tcPr>
                  <w:tcW w:w="473" w:type="pct"/>
                  <w:vMerge w:val="continue"/>
                  <w:noWrap w:val="0"/>
                  <w:vAlign w:val="center"/>
                </w:tcPr>
                <w:p>
                  <w:pPr>
                    <w:pStyle w:val="59"/>
                    <w:rPr>
                      <w:color w:val="auto"/>
                      <w:highlight w:val="none"/>
                    </w:rPr>
                  </w:pPr>
                </w:p>
              </w:tc>
              <w:tc>
                <w:tcPr>
                  <w:tcW w:w="377" w:type="pct"/>
                  <w:vMerge w:val="continue"/>
                  <w:noWrap w:val="0"/>
                  <w:vAlign w:val="center"/>
                </w:tcPr>
                <w:p>
                  <w:pPr>
                    <w:pStyle w:val="59"/>
                    <w:rPr>
                      <w:color w:val="auto"/>
                      <w:highlight w:val="none"/>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8.0</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62.4</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36.4</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73.3</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189.5</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restar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烘烤线</w:t>
                  </w:r>
                </w:p>
              </w:tc>
              <w:tc>
                <w:tcPr>
                  <w:tcW w:w="473" w:type="pct"/>
                  <w:vMerge w:val="restart"/>
                  <w:noWrap w:val="0"/>
                  <w:vAlign w:val="center"/>
                </w:tcPr>
                <w:p>
                  <w:pP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75~80</w:t>
                  </w: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45.7</w:t>
                  </w:r>
                </w:p>
              </w:tc>
              <w:tc>
                <w:tcPr>
                  <w:tcW w:w="38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-77.2</w:t>
                  </w:r>
                </w:p>
              </w:tc>
              <w:tc>
                <w:tcPr>
                  <w:tcW w:w="308" w:type="pct"/>
                  <w:vMerge w:val="restar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17.1</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62.1</w:t>
                  </w:r>
                </w:p>
              </w:tc>
              <w:tc>
                <w:tcPr>
                  <w:tcW w:w="253"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c>
                <w:tcPr>
                  <w:tcW w:w="46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26.0</w:t>
                  </w: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36.1</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ind w:firstLine="0" w:firstLineChars="0"/>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10.4</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62.2</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36.2</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ind w:firstLine="0" w:firstLineChars="0"/>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75.6</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ind w:firstLine="0" w:firstLineChars="0"/>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191.3</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restart"/>
                  <w:noWrap w:val="0"/>
                  <w:vAlign w:val="center"/>
                </w:tcPr>
                <w:p>
                  <w:pPr>
                    <w:pStyle w:val="59"/>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szCs w:val="21"/>
                      <w:highlight w:val="none"/>
                      <w:lang w:val="en-US" w:eastAsia="zh-CN"/>
                    </w:rPr>
                    <w:t>拌料桶</w:t>
                  </w:r>
                </w:p>
              </w:tc>
              <w:tc>
                <w:tcPr>
                  <w:tcW w:w="473" w:type="pct"/>
                  <w:vMerge w:val="restart"/>
                  <w:noWrap w:val="0"/>
                  <w:vAlign w:val="center"/>
                </w:tcPr>
                <w:p>
                  <w:pP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75~80</w:t>
                  </w: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43.8</w:t>
                  </w:r>
                </w:p>
              </w:tc>
              <w:tc>
                <w:tcPr>
                  <w:tcW w:w="38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-61.2</w:t>
                  </w:r>
                </w:p>
              </w:tc>
              <w:tc>
                <w:tcPr>
                  <w:tcW w:w="30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15.2</w:t>
                  </w: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62.1</w:t>
                  </w:r>
                </w:p>
              </w:tc>
              <w:tc>
                <w:tcPr>
                  <w:tcW w:w="253"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c>
                <w:tcPr>
                  <w:tcW w:w="46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26.0</w:t>
                  </w: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36.1</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color w:val="auto"/>
                      <w:highlight w:val="none"/>
                    </w:rPr>
                  </w:pPr>
                </w:p>
              </w:tc>
              <w:tc>
                <w:tcPr>
                  <w:tcW w:w="207" w:type="pct"/>
                  <w:vMerge w:val="continue"/>
                  <w:noWrap w:val="0"/>
                  <w:vAlign w:val="center"/>
                </w:tcPr>
                <w:p>
                  <w:pPr>
                    <w:pStyle w:val="59"/>
                    <w:rPr>
                      <w:color w:val="auto"/>
                      <w:highlight w:val="none"/>
                    </w:rPr>
                  </w:pPr>
                </w:p>
              </w:tc>
              <w:tc>
                <w:tcPr>
                  <w:tcW w:w="247" w:type="pct"/>
                  <w:vMerge w:val="continue"/>
                  <w:noWrap w:val="0"/>
                  <w:vAlign w:val="center"/>
                </w:tcPr>
                <w:p>
                  <w:pPr>
                    <w:pStyle w:val="59"/>
                    <w:rPr>
                      <w:color w:val="auto"/>
                      <w:highlight w:val="none"/>
                    </w:rPr>
                  </w:pPr>
                </w:p>
              </w:tc>
              <w:tc>
                <w:tcPr>
                  <w:tcW w:w="473" w:type="pct"/>
                  <w:vMerge w:val="continue"/>
                  <w:noWrap w:val="0"/>
                  <w:vAlign w:val="center"/>
                </w:tcPr>
                <w:p>
                  <w:pPr>
                    <w:pStyle w:val="59"/>
                    <w:rPr>
                      <w:color w:val="auto"/>
                      <w:highlight w:val="none"/>
                    </w:rPr>
                  </w:pPr>
                </w:p>
              </w:tc>
              <w:tc>
                <w:tcPr>
                  <w:tcW w:w="377" w:type="pct"/>
                  <w:vMerge w:val="continue"/>
                  <w:noWrap w:val="0"/>
                  <w:vAlign w:val="center"/>
                </w:tcPr>
                <w:p>
                  <w:pPr>
                    <w:pStyle w:val="59"/>
                    <w:rPr>
                      <w:color w:val="auto"/>
                      <w:highlight w:val="none"/>
                    </w:rPr>
                  </w:pPr>
                </w:p>
              </w:tc>
              <w:tc>
                <w:tcPr>
                  <w:tcW w:w="345" w:type="pct"/>
                  <w:vMerge w:val="continue"/>
                  <w:noWrap w:val="0"/>
                  <w:vAlign w:val="center"/>
                </w:tcPr>
                <w:p>
                  <w:pPr>
                    <w:pStyle w:val="59"/>
                    <w:rPr>
                      <w:color w:val="auto"/>
                      <w:highlight w:val="none"/>
                    </w:rPr>
                  </w:pPr>
                </w:p>
              </w:tc>
              <w:tc>
                <w:tcPr>
                  <w:tcW w:w="387" w:type="pct"/>
                  <w:vMerge w:val="continue"/>
                  <w:noWrap w:val="0"/>
                  <w:vAlign w:val="center"/>
                </w:tcPr>
                <w:p>
                  <w:pPr>
                    <w:pStyle w:val="59"/>
                    <w:rPr>
                      <w:color w:val="auto"/>
                      <w:highlight w:val="none"/>
                    </w:rPr>
                  </w:pPr>
                </w:p>
              </w:tc>
              <w:tc>
                <w:tcPr>
                  <w:tcW w:w="308" w:type="pct"/>
                  <w:vMerge w:val="continue"/>
                  <w:noWrap w:val="0"/>
                  <w:vAlign w:val="center"/>
                </w:tcPr>
                <w:p>
                  <w:pPr>
                    <w:pStyle w:val="59"/>
                    <w:rPr>
                      <w:color w:val="auto"/>
                      <w:highlight w:val="none"/>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12.1</w:t>
                  </w: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62.2</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36.2</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76.7</w:t>
                  </w: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181.5</w:t>
                  </w: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restart"/>
                  <w:noWrap w:val="0"/>
                  <w:vAlign w:val="center"/>
                </w:tcPr>
                <w:p>
                  <w:pPr>
                    <w:pStyle w:val="59"/>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w:t>
                  </w: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szCs w:val="21"/>
                      <w:highlight w:val="none"/>
                      <w:lang w:val="en-US" w:eastAsia="zh-CN"/>
                    </w:rPr>
                    <w:t>拌料桶</w:t>
                  </w:r>
                </w:p>
              </w:tc>
              <w:tc>
                <w:tcPr>
                  <w:tcW w:w="473" w:type="pct"/>
                  <w:vMerge w:val="restart"/>
                  <w:noWrap w:val="0"/>
                  <w:vAlign w:val="center"/>
                </w:tcPr>
                <w:p>
                  <w:pP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75~80</w:t>
                  </w: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40.5</w:t>
                  </w:r>
                </w:p>
              </w:tc>
              <w:tc>
                <w:tcPr>
                  <w:tcW w:w="38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-62.1</w:t>
                  </w:r>
                </w:p>
              </w:tc>
              <w:tc>
                <w:tcPr>
                  <w:tcW w:w="30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18.6</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62.1</w:t>
                  </w:r>
                </w:p>
              </w:tc>
              <w:tc>
                <w:tcPr>
                  <w:tcW w:w="253"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c>
                <w:tcPr>
                  <w:tcW w:w="46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26.0</w:t>
                  </w: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36.1</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color w:val="auto"/>
                      <w:highlight w:val="none"/>
                    </w:rPr>
                  </w:pPr>
                </w:p>
              </w:tc>
              <w:tc>
                <w:tcPr>
                  <w:tcW w:w="207" w:type="pct"/>
                  <w:vMerge w:val="continue"/>
                  <w:noWrap w:val="0"/>
                  <w:vAlign w:val="center"/>
                </w:tcPr>
                <w:p>
                  <w:pPr>
                    <w:pStyle w:val="59"/>
                    <w:rPr>
                      <w:color w:val="auto"/>
                      <w:highlight w:val="none"/>
                    </w:rPr>
                  </w:pPr>
                </w:p>
              </w:tc>
              <w:tc>
                <w:tcPr>
                  <w:tcW w:w="247" w:type="pct"/>
                  <w:vMerge w:val="continue"/>
                  <w:noWrap w:val="0"/>
                  <w:vAlign w:val="center"/>
                </w:tcPr>
                <w:p>
                  <w:pPr>
                    <w:pStyle w:val="59"/>
                    <w:rPr>
                      <w:color w:val="auto"/>
                      <w:highlight w:val="none"/>
                    </w:rPr>
                  </w:pPr>
                </w:p>
              </w:tc>
              <w:tc>
                <w:tcPr>
                  <w:tcW w:w="473" w:type="pct"/>
                  <w:vMerge w:val="continue"/>
                  <w:noWrap w:val="0"/>
                  <w:vAlign w:val="center"/>
                </w:tcPr>
                <w:p>
                  <w:pPr>
                    <w:pStyle w:val="59"/>
                    <w:rPr>
                      <w:color w:val="auto"/>
                      <w:highlight w:val="none"/>
                    </w:rPr>
                  </w:pPr>
                </w:p>
              </w:tc>
              <w:tc>
                <w:tcPr>
                  <w:tcW w:w="377" w:type="pct"/>
                  <w:vMerge w:val="continue"/>
                  <w:noWrap w:val="0"/>
                  <w:vAlign w:val="center"/>
                </w:tcPr>
                <w:p>
                  <w:pPr>
                    <w:pStyle w:val="59"/>
                    <w:rPr>
                      <w:color w:val="auto"/>
                      <w:highlight w:val="none"/>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8.7</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62.3</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36.3</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73.3</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179.1</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restart"/>
                  <w:noWrap w:val="0"/>
                  <w:vAlign w:val="center"/>
                </w:tcPr>
                <w:p>
                  <w:pPr>
                    <w:pStyle w:val="59"/>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w:t>
                  </w: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szCs w:val="21"/>
                      <w:highlight w:val="none"/>
                      <w:lang w:val="en-US" w:eastAsia="zh-CN"/>
                    </w:rPr>
                    <w:t>拌料桶</w:t>
                  </w:r>
                </w:p>
              </w:tc>
              <w:tc>
                <w:tcPr>
                  <w:tcW w:w="473" w:type="pct"/>
                  <w:vMerge w:val="restart"/>
                  <w:noWrap w:val="0"/>
                  <w:vAlign w:val="center"/>
                </w:tcPr>
                <w:p>
                  <w:pP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75~80</w:t>
                  </w: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37.3</w:t>
                  </w:r>
                </w:p>
              </w:tc>
              <w:tc>
                <w:tcPr>
                  <w:tcW w:w="38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-62.9</w:t>
                  </w:r>
                </w:p>
              </w:tc>
              <w:tc>
                <w:tcPr>
                  <w:tcW w:w="308" w:type="pct"/>
                  <w:vMerge w:val="restar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1.2</w:t>
                  </w:r>
                </w:p>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21.9</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62.1</w:t>
                  </w:r>
                </w:p>
              </w:tc>
              <w:tc>
                <w:tcPr>
                  <w:tcW w:w="253"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c>
                <w:tcPr>
                  <w:tcW w:w="46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26.0</w:t>
                  </w: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36.1</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color w:val="auto"/>
                      <w:highlight w:val="none"/>
                    </w:rPr>
                  </w:pPr>
                </w:p>
              </w:tc>
              <w:tc>
                <w:tcPr>
                  <w:tcW w:w="207" w:type="pct"/>
                  <w:vMerge w:val="continue"/>
                  <w:noWrap w:val="0"/>
                  <w:vAlign w:val="center"/>
                </w:tcPr>
                <w:p>
                  <w:pPr>
                    <w:pStyle w:val="59"/>
                    <w:rPr>
                      <w:color w:val="auto"/>
                      <w:highlight w:val="none"/>
                    </w:rPr>
                  </w:pPr>
                </w:p>
              </w:tc>
              <w:tc>
                <w:tcPr>
                  <w:tcW w:w="247" w:type="pct"/>
                  <w:vMerge w:val="continue"/>
                  <w:noWrap w:val="0"/>
                  <w:vAlign w:val="center"/>
                </w:tcPr>
                <w:p>
                  <w:pPr>
                    <w:pStyle w:val="59"/>
                    <w:rPr>
                      <w:color w:val="auto"/>
                      <w:highlight w:val="none"/>
                    </w:rPr>
                  </w:pPr>
                </w:p>
              </w:tc>
              <w:tc>
                <w:tcPr>
                  <w:tcW w:w="473" w:type="pct"/>
                  <w:vMerge w:val="continue"/>
                  <w:noWrap w:val="0"/>
                  <w:vAlign w:val="center"/>
                </w:tcPr>
                <w:p>
                  <w:pPr>
                    <w:pStyle w:val="59"/>
                    <w:rPr>
                      <w:color w:val="auto"/>
                      <w:highlight w:val="none"/>
                    </w:rPr>
                  </w:pPr>
                </w:p>
              </w:tc>
              <w:tc>
                <w:tcPr>
                  <w:tcW w:w="377" w:type="pct"/>
                  <w:vMerge w:val="continue"/>
                  <w:noWrap w:val="0"/>
                  <w:vAlign w:val="center"/>
                </w:tcPr>
                <w:p>
                  <w:pPr>
                    <w:pStyle w:val="59"/>
                    <w:rPr>
                      <w:color w:val="auto"/>
                      <w:highlight w:val="none"/>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5.4</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62.7</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36.7</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70.0</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176.8</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restart"/>
                  <w:noWrap w:val="0"/>
                  <w:vAlign w:val="center"/>
                </w:tcPr>
                <w:p>
                  <w:pPr>
                    <w:pStyle w:val="59"/>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w:t>
                  </w: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szCs w:val="21"/>
                      <w:highlight w:val="none"/>
                      <w:lang w:val="en-US" w:eastAsia="zh-CN"/>
                    </w:rPr>
                    <w:t>拌料桶</w:t>
                  </w:r>
                </w:p>
              </w:tc>
              <w:tc>
                <w:tcPr>
                  <w:tcW w:w="473" w:type="pct"/>
                  <w:vMerge w:val="restart"/>
                  <w:noWrap w:val="0"/>
                  <w:vAlign w:val="center"/>
                </w:tcPr>
                <w:p>
                  <w:pP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75~80</w:t>
                  </w: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34</w:t>
                  </w:r>
                </w:p>
              </w:tc>
              <w:tc>
                <w:tcPr>
                  <w:tcW w:w="38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-63.8</w:t>
                  </w:r>
                </w:p>
              </w:tc>
              <w:tc>
                <w:tcPr>
                  <w:tcW w:w="308" w:type="pct"/>
                  <w:vMerge w:val="restar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1.2</w:t>
                  </w: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25.3</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62.1</w:t>
                  </w:r>
                </w:p>
              </w:tc>
              <w:tc>
                <w:tcPr>
                  <w:tcW w:w="253"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c>
                <w:tcPr>
                  <w:tcW w:w="46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26.0</w:t>
                  </w: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36.1</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color w:val="auto"/>
                      <w:highlight w:val="none"/>
                    </w:rPr>
                  </w:pPr>
                </w:p>
              </w:tc>
              <w:tc>
                <w:tcPr>
                  <w:tcW w:w="207" w:type="pct"/>
                  <w:vMerge w:val="continue"/>
                  <w:noWrap w:val="0"/>
                  <w:vAlign w:val="center"/>
                </w:tcPr>
                <w:p>
                  <w:pPr>
                    <w:pStyle w:val="59"/>
                    <w:rPr>
                      <w:color w:val="auto"/>
                      <w:highlight w:val="none"/>
                    </w:rPr>
                  </w:pPr>
                </w:p>
              </w:tc>
              <w:tc>
                <w:tcPr>
                  <w:tcW w:w="247" w:type="pct"/>
                  <w:vMerge w:val="continue"/>
                  <w:noWrap w:val="0"/>
                  <w:vAlign w:val="center"/>
                </w:tcPr>
                <w:p>
                  <w:pPr>
                    <w:pStyle w:val="59"/>
                    <w:rPr>
                      <w:color w:val="auto"/>
                      <w:highlight w:val="none"/>
                    </w:rPr>
                  </w:pPr>
                </w:p>
              </w:tc>
              <w:tc>
                <w:tcPr>
                  <w:tcW w:w="473" w:type="pct"/>
                  <w:vMerge w:val="continue"/>
                  <w:noWrap w:val="0"/>
                  <w:vAlign w:val="center"/>
                </w:tcPr>
                <w:p>
                  <w:pPr>
                    <w:pStyle w:val="59"/>
                    <w:rPr>
                      <w:color w:val="auto"/>
                      <w:highlight w:val="none"/>
                    </w:rPr>
                  </w:pPr>
                </w:p>
              </w:tc>
              <w:tc>
                <w:tcPr>
                  <w:tcW w:w="377" w:type="pct"/>
                  <w:vMerge w:val="continue"/>
                  <w:noWrap w:val="0"/>
                  <w:vAlign w:val="center"/>
                </w:tcPr>
                <w:p>
                  <w:pPr>
                    <w:pStyle w:val="59"/>
                    <w:rPr>
                      <w:color w:val="auto"/>
                      <w:highlight w:val="none"/>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w:t>
                  </w:r>
                </w:p>
              </w:tc>
              <w:tc>
                <w:tcPr>
                  <w:tcW w:w="468" w:type="pct"/>
                  <w:noWrap w:val="0"/>
                  <w:vAlign w:val="center"/>
                </w:tcPr>
                <w:p>
                  <w:pPr>
                    <w:pStyle w:val="59"/>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65.5</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39.5</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66.6</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174.4</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restart"/>
                  <w:noWrap w:val="0"/>
                  <w:vAlign w:val="center"/>
                </w:tcPr>
                <w:p>
                  <w:pPr>
                    <w:pStyle w:val="59"/>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w:t>
                  </w: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restart"/>
                  <w:noWrap w:val="0"/>
                  <w:vAlign w:val="center"/>
                </w:tcPr>
                <w:p>
                  <w:pPr>
                    <w:pStyle w:val="59"/>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szCs w:val="21"/>
                      <w:highlight w:val="none"/>
                      <w:lang w:val="en-US" w:eastAsia="zh-CN"/>
                    </w:rPr>
                    <w:t>拌料桶</w:t>
                  </w:r>
                </w:p>
              </w:tc>
              <w:tc>
                <w:tcPr>
                  <w:tcW w:w="473" w:type="pct"/>
                  <w:vMerge w:val="restart"/>
                  <w:noWrap w:val="0"/>
                  <w:vAlign w:val="center"/>
                </w:tcPr>
                <w:p>
                  <w:pP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75~80</w:t>
                  </w: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45.3</w:t>
                  </w:r>
                </w:p>
              </w:tc>
              <w:tc>
                <w:tcPr>
                  <w:tcW w:w="38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-65.6</w:t>
                  </w:r>
                </w:p>
              </w:tc>
              <w:tc>
                <w:tcPr>
                  <w:tcW w:w="30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14.8</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62.1</w:t>
                  </w:r>
                </w:p>
              </w:tc>
              <w:tc>
                <w:tcPr>
                  <w:tcW w:w="253" w:type="pct"/>
                  <w:vMerge w:val="restar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昼间</w:t>
                  </w:r>
                </w:p>
                <w:p>
                  <w:pPr>
                    <w:pStyle w:val="59"/>
                    <w:rPr>
                      <w:rFonts w:hint="eastAsia" w:ascii="Times New Roman" w:hAnsi="Times New Roman" w:eastAsia="宋体" w:cs="Times New Roman"/>
                      <w:color w:val="auto"/>
                      <w:highlight w:val="none"/>
                      <w:lang w:val="en-US" w:eastAsia="zh-CN"/>
                    </w:rPr>
                  </w:pPr>
                </w:p>
              </w:tc>
              <w:tc>
                <w:tcPr>
                  <w:tcW w:w="46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26.0</w:t>
                  </w: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36.1</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color w:val="auto"/>
                      <w:highlight w:val="none"/>
                    </w:rPr>
                  </w:pPr>
                </w:p>
              </w:tc>
              <w:tc>
                <w:tcPr>
                  <w:tcW w:w="207" w:type="pct"/>
                  <w:vMerge w:val="continue"/>
                  <w:noWrap w:val="0"/>
                  <w:vAlign w:val="center"/>
                </w:tcPr>
                <w:p>
                  <w:pPr>
                    <w:pStyle w:val="59"/>
                    <w:rPr>
                      <w:color w:val="auto"/>
                      <w:highlight w:val="none"/>
                    </w:rPr>
                  </w:pPr>
                </w:p>
              </w:tc>
              <w:tc>
                <w:tcPr>
                  <w:tcW w:w="247" w:type="pct"/>
                  <w:vMerge w:val="continue"/>
                  <w:noWrap w:val="0"/>
                  <w:vAlign w:val="center"/>
                </w:tcPr>
                <w:p>
                  <w:pPr>
                    <w:pStyle w:val="59"/>
                    <w:rPr>
                      <w:color w:val="auto"/>
                      <w:highlight w:val="none"/>
                    </w:rPr>
                  </w:pPr>
                </w:p>
              </w:tc>
              <w:tc>
                <w:tcPr>
                  <w:tcW w:w="473" w:type="pct"/>
                  <w:vMerge w:val="continue"/>
                  <w:noWrap w:val="0"/>
                  <w:vAlign w:val="center"/>
                </w:tcPr>
                <w:p>
                  <w:pPr>
                    <w:pStyle w:val="59"/>
                    <w:rPr>
                      <w:color w:val="auto"/>
                      <w:highlight w:val="none"/>
                    </w:rPr>
                  </w:pPr>
                </w:p>
              </w:tc>
              <w:tc>
                <w:tcPr>
                  <w:tcW w:w="377" w:type="pct"/>
                  <w:vMerge w:val="continue"/>
                  <w:noWrap w:val="0"/>
                  <w:vAlign w:val="center"/>
                </w:tcPr>
                <w:p>
                  <w:pPr>
                    <w:pStyle w:val="59"/>
                    <w:rPr>
                      <w:color w:val="auto"/>
                      <w:highlight w:val="none"/>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12.6</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62.2</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36.2</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77.4</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185.0</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restart"/>
                  <w:noWrap w:val="0"/>
                  <w:vAlign w:val="center"/>
                </w:tcPr>
                <w:p>
                  <w:pPr>
                    <w:pStyle w:val="59"/>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w:t>
                  </w: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restar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拌料桶</w:t>
                  </w:r>
                </w:p>
              </w:tc>
              <w:tc>
                <w:tcPr>
                  <w:tcW w:w="473" w:type="pct"/>
                  <w:vMerge w:val="restart"/>
                  <w:noWrap w:val="0"/>
                  <w:vAlign w:val="center"/>
                </w:tcPr>
                <w:p>
                  <w:pP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75~80</w:t>
                  </w: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41.8</w:t>
                  </w:r>
                </w:p>
              </w:tc>
              <w:tc>
                <w:tcPr>
                  <w:tcW w:w="38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-66.6</w:t>
                  </w:r>
                </w:p>
              </w:tc>
              <w:tc>
                <w:tcPr>
                  <w:tcW w:w="30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18.4</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62.1</w:t>
                  </w:r>
                </w:p>
              </w:tc>
              <w:tc>
                <w:tcPr>
                  <w:tcW w:w="253"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c>
                <w:tcPr>
                  <w:tcW w:w="46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26.0</w:t>
                  </w: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36.1</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color w:val="auto"/>
                      <w:highlight w:val="none"/>
                    </w:rPr>
                  </w:pPr>
                </w:p>
              </w:tc>
              <w:tc>
                <w:tcPr>
                  <w:tcW w:w="207" w:type="pct"/>
                  <w:vMerge w:val="continue"/>
                  <w:noWrap w:val="0"/>
                  <w:vAlign w:val="center"/>
                </w:tcPr>
                <w:p>
                  <w:pPr>
                    <w:pStyle w:val="59"/>
                    <w:rPr>
                      <w:color w:val="auto"/>
                      <w:highlight w:val="none"/>
                    </w:rPr>
                  </w:pPr>
                </w:p>
              </w:tc>
              <w:tc>
                <w:tcPr>
                  <w:tcW w:w="247" w:type="pct"/>
                  <w:vMerge w:val="continue"/>
                  <w:noWrap w:val="0"/>
                  <w:vAlign w:val="center"/>
                </w:tcPr>
                <w:p>
                  <w:pPr>
                    <w:pStyle w:val="59"/>
                    <w:rPr>
                      <w:color w:val="auto"/>
                      <w:highlight w:val="none"/>
                    </w:rPr>
                  </w:pPr>
                </w:p>
              </w:tc>
              <w:tc>
                <w:tcPr>
                  <w:tcW w:w="473" w:type="pct"/>
                  <w:vMerge w:val="continue"/>
                  <w:noWrap w:val="0"/>
                  <w:vAlign w:val="center"/>
                </w:tcPr>
                <w:p>
                  <w:pPr>
                    <w:pStyle w:val="59"/>
                    <w:rPr>
                      <w:color w:val="auto"/>
                      <w:highlight w:val="none"/>
                    </w:rPr>
                  </w:pPr>
                </w:p>
              </w:tc>
              <w:tc>
                <w:tcPr>
                  <w:tcW w:w="377" w:type="pct"/>
                  <w:vMerge w:val="continue"/>
                  <w:noWrap w:val="0"/>
                  <w:vAlign w:val="center"/>
                </w:tcPr>
                <w:p>
                  <w:pPr>
                    <w:pStyle w:val="59"/>
                    <w:rPr>
                      <w:color w:val="auto"/>
                      <w:highlight w:val="none"/>
                    </w:rPr>
                  </w:pPr>
                </w:p>
              </w:tc>
              <w:tc>
                <w:tcPr>
                  <w:tcW w:w="345" w:type="pct"/>
                  <w:vMerge w:val="continue"/>
                  <w:noWrap w:val="0"/>
                  <w:vAlign w:val="center"/>
                </w:tcPr>
                <w:p>
                  <w:pPr>
                    <w:pStyle w:val="59"/>
                    <w:rPr>
                      <w:color w:val="auto"/>
                      <w:highlight w:val="none"/>
                    </w:rPr>
                  </w:pPr>
                </w:p>
              </w:tc>
              <w:tc>
                <w:tcPr>
                  <w:tcW w:w="387" w:type="pct"/>
                  <w:vMerge w:val="continue"/>
                  <w:noWrap w:val="0"/>
                  <w:vAlign w:val="center"/>
                </w:tcPr>
                <w:p>
                  <w:pPr>
                    <w:pStyle w:val="59"/>
                    <w:rPr>
                      <w:color w:val="auto"/>
                      <w:highlight w:val="none"/>
                    </w:rPr>
                  </w:pPr>
                </w:p>
              </w:tc>
              <w:tc>
                <w:tcPr>
                  <w:tcW w:w="308" w:type="pct"/>
                  <w:vMerge w:val="continue"/>
                  <w:noWrap w:val="0"/>
                  <w:vAlign w:val="center"/>
                </w:tcPr>
                <w:p>
                  <w:pPr>
                    <w:pStyle w:val="59"/>
                    <w:rPr>
                      <w:color w:val="auto"/>
                      <w:highlight w:val="none"/>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9.0</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62.3</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36.3</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73.8</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182.5</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97" w:type="pct"/>
                  <w:vMerge w:val="restart"/>
                  <w:noWrap w:val="0"/>
                  <w:vAlign w:val="center"/>
                </w:tcPr>
                <w:p>
                  <w:pPr>
                    <w:pStyle w:val="59"/>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11</w:t>
                  </w: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restart"/>
                  <w:noWrap w:val="0"/>
                  <w:vAlign w:val="center"/>
                </w:tcPr>
                <w:p>
                  <w:pPr>
                    <w:pStyle w:val="59"/>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szCs w:val="21"/>
                      <w:highlight w:val="none"/>
                      <w:lang w:val="en-US" w:eastAsia="zh-CN"/>
                    </w:rPr>
                    <w:t>拌料桶</w:t>
                  </w:r>
                </w:p>
              </w:tc>
              <w:tc>
                <w:tcPr>
                  <w:tcW w:w="473" w:type="pct"/>
                  <w:vMerge w:val="restart"/>
                  <w:noWrap w:val="0"/>
                  <w:vAlign w:val="center"/>
                </w:tcPr>
                <w:p>
                  <w:pP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75~80</w:t>
                  </w: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38.7</w:t>
                  </w:r>
                </w:p>
              </w:tc>
              <w:tc>
                <w:tcPr>
                  <w:tcW w:w="38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-67.4</w:t>
                  </w:r>
                </w:p>
              </w:tc>
              <w:tc>
                <w:tcPr>
                  <w:tcW w:w="30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21.6</w:t>
                  </w:r>
                </w:p>
              </w:tc>
              <w:tc>
                <w:tcPr>
                  <w:tcW w:w="468" w:type="pc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62.1</w:t>
                  </w:r>
                </w:p>
              </w:tc>
              <w:tc>
                <w:tcPr>
                  <w:tcW w:w="253"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c>
                <w:tcPr>
                  <w:tcW w:w="46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26.0</w:t>
                  </w: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36.1</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97" w:type="pct"/>
                  <w:vMerge w:val="continue"/>
                  <w:noWrap w:val="0"/>
                  <w:vAlign w:val="center"/>
                </w:tcPr>
                <w:p>
                  <w:pPr>
                    <w:pStyle w:val="59"/>
                    <w:rPr>
                      <w:color w:val="auto"/>
                      <w:highlight w:val="none"/>
                    </w:rPr>
                  </w:pPr>
                </w:p>
              </w:tc>
              <w:tc>
                <w:tcPr>
                  <w:tcW w:w="207" w:type="pct"/>
                  <w:vMerge w:val="continue"/>
                  <w:noWrap w:val="0"/>
                  <w:vAlign w:val="center"/>
                </w:tcPr>
                <w:p>
                  <w:pPr>
                    <w:pStyle w:val="59"/>
                    <w:rPr>
                      <w:color w:val="auto"/>
                      <w:highlight w:val="none"/>
                    </w:rPr>
                  </w:pPr>
                </w:p>
              </w:tc>
              <w:tc>
                <w:tcPr>
                  <w:tcW w:w="247" w:type="pct"/>
                  <w:vMerge w:val="continue"/>
                  <w:noWrap w:val="0"/>
                  <w:vAlign w:val="center"/>
                </w:tcPr>
                <w:p>
                  <w:pPr>
                    <w:pStyle w:val="59"/>
                    <w:rPr>
                      <w:color w:val="auto"/>
                      <w:highlight w:val="none"/>
                    </w:rPr>
                  </w:pPr>
                </w:p>
              </w:tc>
              <w:tc>
                <w:tcPr>
                  <w:tcW w:w="473" w:type="pct"/>
                  <w:vMerge w:val="continue"/>
                  <w:noWrap w:val="0"/>
                  <w:vAlign w:val="center"/>
                </w:tcPr>
                <w:p>
                  <w:pPr>
                    <w:pStyle w:val="59"/>
                    <w:rPr>
                      <w:color w:val="auto"/>
                      <w:highlight w:val="none"/>
                    </w:rPr>
                  </w:pPr>
                </w:p>
              </w:tc>
              <w:tc>
                <w:tcPr>
                  <w:tcW w:w="377" w:type="pct"/>
                  <w:vMerge w:val="continue"/>
                  <w:noWrap w:val="0"/>
                  <w:vAlign w:val="center"/>
                </w:tcPr>
                <w:p>
                  <w:pPr>
                    <w:pStyle w:val="59"/>
                    <w:rPr>
                      <w:color w:val="auto"/>
                      <w:highlight w:val="none"/>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5.8</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62.6</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36.6</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70.6</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180.3</w:t>
                  </w:r>
                </w:p>
              </w:tc>
              <w:tc>
                <w:tcPr>
                  <w:tcW w:w="468" w:type="pc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97" w:type="pct"/>
                  <w:vMerge w:val="restart"/>
                  <w:noWrap w:val="0"/>
                  <w:vAlign w:val="center"/>
                </w:tcPr>
                <w:p>
                  <w:pPr>
                    <w:pStyle w:val="59"/>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restar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拌料桶</w:t>
                  </w:r>
                </w:p>
              </w:tc>
              <w:tc>
                <w:tcPr>
                  <w:tcW w:w="473" w:type="pct"/>
                  <w:vMerge w:val="restart"/>
                  <w:noWrap w:val="0"/>
                  <w:vAlign w:val="center"/>
                </w:tcPr>
                <w:p>
                  <w:pP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75~80</w:t>
                  </w: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35.7</w:t>
                  </w:r>
                </w:p>
              </w:tc>
              <w:tc>
                <w:tcPr>
                  <w:tcW w:w="38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-68.3</w:t>
                  </w:r>
                </w:p>
              </w:tc>
              <w:tc>
                <w:tcPr>
                  <w:tcW w:w="308" w:type="pct"/>
                  <w:vMerge w:val="restar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1.2</w:t>
                  </w: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24.7</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62.1</w:t>
                  </w:r>
                </w:p>
              </w:tc>
              <w:tc>
                <w:tcPr>
                  <w:tcW w:w="253"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c>
                <w:tcPr>
                  <w:tcW w:w="46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26.0</w:t>
                  </w: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36.1</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97" w:type="pct"/>
                  <w:vMerge w:val="continue"/>
                  <w:noWrap w:val="0"/>
                  <w:vAlign w:val="center"/>
                </w:tcPr>
                <w:p>
                  <w:pPr>
                    <w:pStyle w:val="59"/>
                    <w:rPr>
                      <w:color w:val="auto"/>
                      <w:highlight w:val="none"/>
                    </w:rPr>
                  </w:pPr>
                </w:p>
              </w:tc>
              <w:tc>
                <w:tcPr>
                  <w:tcW w:w="207" w:type="pct"/>
                  <w:vMerge w:val="continue"/>
                  <w:noWrap w:val="0"/>
                  <w:vAlign w:val="center"/>
                </w:tcPr>
                <w:p>
                  <w:pPr>
                    <w:pStyle w:val="59"/>
                    <w:rPr>
                      <w:color w:val="auto"/>
                      <w:highlight w:val="none"/>
                    </w:rPr>
                  </w:pPr>
                </w:p>
              </w:tc>
              <w:tc>
                <w:tcPr>
                  <w:tcW w:w="247" w:type="pct"/>
                  <w:vMerge w:val="continue"/>
                  <w:noWrap w:val="0"/>
                  <w:vAlign w:val="center"/>
                </w:tcPr>
                <w:p>
                  <w:pPr>
                    <w:pStyle w:val="59"/>
                    <w:rPr>
                      <w:color w:val="auto"/>
                      <w:highlight w:val="none"/>
                    </w:rPr>
                  </w:pPr>
                </w:p>
              </w:tc>
              <w:tc>
                <w:tcPr>
                  <w:tcW w:w="473" w:type="pct"/>
                  <w:vMerge w:val="continue"/>
                  <w:noWrap w:val="0"/>
                  <w:vAlign w:val="center"/>
                </w:tcPr>
                <w:p>
                  <w:pPr>
                    <w:pStyle w:val="59"/>
                    <w:rPr>
                      <w:color w:val="auto"/>
                      <w:highlight w:val="none"/>
                    </w:rPr>
                  </w:pPr>
                </w:p>
              </w:tc>
              <w:tc>
                <w:tcPr>
                  <w:tcW w:w="377" w:type="pct"/>
                  <w:vMerge w:val="continue"/>
                  <w:noWrap w:val="0"/>
                  <w:vAlign w:val="center"/>
                </w:tcPr>
                <w:p>
                  <w:pPr>
                    <w:pStyle w:val="59"/>
                    <w:rPr>
                      <w:color w:val="auto"/>
                      <w:highlight w:val="none"/>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2.7</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64.3</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38.3</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67.5</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178.1</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97" w:type="pct"/>
                  <w:vMerge w:val="restart"/>
                  <w:noWrap w:val="0"/>
                  <w:vAlign w:val="center"/>
                </w:tcPr>
                <w:p>
                  <w:pPr>
                    <w:pStyle w:val="59"/>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13</w:t>
                  </w: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restar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油炸锅</w:t>
                  </w:r>
                </w:p>
              </w:tc>
              <w:tc>
                <w:tcPr>
                  <w:tcW w:w="473" w:type="pct"/>
                  <w:vMerge w:val="restart"/>
                  <w:noWrap w:val="0"/>
                  <w:vAlign w:val="center"/>
                </w:tcPr>
                <w:p>
                  <w:pP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70~75</w:t>
                  </w: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58.1</w:t>
                  </w:r>
                </w:p>
              </w:tc>
              <w:tc>
                <w:tcPr>
                  <w:tcW w:w="38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c>
                <w:tcPr>
                  <w:tcW w:w="30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1"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4.6</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57.9</w:t>
                  </w:r>
                </w:p>
              </w:tc>
              <w:tc>
                <w:tcPr>
                  <w:tcW w:w="253"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c>
                <w:tcPr>
                  <w:tcW w:w="46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26.0</w:t>
                  </w: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31.9</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97" w:type="pct"/>
                  <w:vMerge w:val="continue"/>
                  <w:noWrap w:val="0"/>
                  <w:vAlign w:val="center"/>
                </w:tcPr>
                <w:p>
                  <w:pPr>
                    <w:pStyle w:val="59"/>
                    <w:rPr>
                      <w:color w:val="auto"/>
                      <w:highlight w:val="none"/>
                    </w:rPr>
                  </w:pPr>
                </w:p>
              </w:tc>
              <w:tc>
                <w:tcPr>
                  <w:tcW w:w="207" w:type="pct"/>
                  <w:vMerge w:val="continue"/>
                  <w:noWrap w:val="0"/>
                  <w:vAlign w:val="center"/>
                </w:tcPr>
                <w:p>
                  <w:pPr>
                    <w:pStyle w:val="59"/>
                    <w:rPr>
                      <w:color w:val="auto"/>
                      <w:highlight w:val="none"/>
                    </w:rPr>
                  </w:pPr>
                </w:p>
              </w:tc>
              <w:tc>
                <w:tcPr>
                  <w:tcW w:w="247" w:type="pct"/>
                  <w:vMerge w:val="continue"/>
                  <w:noWrap w:val="0"/>
                  <w:vAlign w:val="center"/>
                </w:tcPr>
                <w:p>
                  <w:pPr>
                    <w:pStyle w:val="59"/>
                    <w:rPr>
                      <w:color w:val="auto"/>
                      <w:highlight w:val="none"/>
                    </w:rPr>
                  </w:pPr>
                </w:p>
              </w:tc>
              <w:tc>
                <w:tcPr>
                  <w:tcW w:w="473" w:type="pct"/>
                  <w:vMerge w:val="continue"/>
                  <w:noWrap w:val="0"/>
                  <w:vAlign w:val="center"/>
                </w:tcPr>
                <w:p>
                  <w:pPr>
                    <w:pStyle w:val="59"/>
                    <w:rPr>
                      <w:color w:val="auto"/>
                      <w:highlight w:val="none"/>
                    </w:rPr>
                  </w:pPr>
                </w:p>
              </w:tc>
              <w:tc>
                <w:tcPr>
                  <w:tcW w:w="377" w:type="pct"/>
                  <w:vMerge w:val="continue"/>
                  <w:noWrap w:val="0"/>
                  <w:vAlign w:val="center"/>
                </w:tcPr>
                <w:p>
                  <w:pPr>
                    <w:pStyle w:val="59"/>
                    <w:rPr>
                      <w:color w:val="auto"/>
                      <w:highlight w:val="none"/>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23.0</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57.1</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31.1</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88.2</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57.0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200.8</w:t>
                  </w:r>
                </w:p>
              </w:tc>
              <w:tc>
                <w:tcPr>
                  <w:tcW w:w="468" w:type="pc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57.0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97" w:type="pct"/>
                  <w:vMerge w:val="restart"/>
                  <w:noWrap w:val="0"/>
                  <w:vAlign w:val="center"/>
                </w:tcPr>
                <w:p>
                  <w:pPr>
                    <w:pStyle w:val="59"/>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14</w:t>
                  </w: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气动榨床</w:t>
                  </w:r>
                </w:p>
              </w:tc>
              <w:tc>
                <w:tcPr>
                  <w:tcW w:w="473" w:type="pct"/>
                  <w:vMerge w:val="restart"/>
                  <w:noWrap w:val="0"/>
                  <w:vAlign w:val="center"/>
                </w:tcPr>
                <w:p>
                  <w:pP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75~80</w:t>
                  </w: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59.9</w:t>
                  </w:r>
                </w:p>
              </w:tc>
              <w:tc>
                <w:tcPr>
                  <w:tcW w:w="38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-79.8</w:t>
                  </w:r>
                </w:p>
              </w:tc>
              <w:tc>
                <w:tcPr>
                  <w:tcW w:w="30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1"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4.0</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63.2</w:t>
                  </w:r>
                </w:p>
              </w:tc>
              <w:tc>
                <w:tcPr>
                  <w:tcW w:w="253"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c>
                <w:tcPr>
                  <w:tcW w:w="46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26.0</w:t>
                  </w: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37.2</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97" w:type="pct"/>
                  <w:vMerge w:val="continue"/>
                  <w:noWrap w:val="0"/>
                  <w:vAlign w:val="center"/>
                </w:tcPr>
                <w:p>
                  <w:pPr>
                    <w:pStyle w:val="59"/>
                    <w:rPr>
                      <w:color w:val="auto"/>
                      <w:highlight w:val="none"/>
                    </w:rPr>
                  </w:pPr>
                </w:p>
              </w:tc>
              <w:tc>
                <w:tcPr>
                  <w:tcW w:w="207" w:type="pct"/>
                  <w:vMerge w:val="continue"/>
                  <w:noWrap w:val="0"/>
                  <w:vAlign w:val="center"/>
                </w:tcPr>
                <w:p>
                  <w:pPr>
                    <w:pStyle w:val="59"/>
                    <w:rPr>
                      <w:color w:val="auto"/>
                      <w:highlight w:val="none"/>
                    </w:rPr>
                  </w:pPr>
                </w:p>
              </w:tc>
              <w:tc>
                <w:tcPr>
                  <w:tcW w:w="247" w:type="pct"/>
                  <w:vMerge w:val="continue"/>
                  <w:noWrap w:val="0"/>
                  <w:vAlign w:val="top"/>
                </w:tcPr>
                <w:p>
                  <w:pPr>
                    <w:pStyle w:val="59"/>
                    <w:rPr>
                      <w:color w:val="auto"/>
                      <w:highlight w:val="none"/>
                    </w:rPr>
                  </w:pPr>
                </w:p>
              </w:tc>
              <w:tc>
                <w:tcPr>
                  <w:tcW w:w="473" w:type="pct"/>
                  <w:vMerge w:val="continue"/>
                  <w:noWrap w:val="0"/>
                  <w:vAlign w:val="top"/>
                </w:tcPr>
                <w:p>
                  <w:pPr>
                    <w:pStyle w:val="59"/>
                    <w:rPr>
                      <w:color w:val="auto"/>
                      <w:highlight w:val="none"/>
                    </w:rPr>
                  </w:pPr>
                </w:p>
              </w:tc>
              <w:tc>
                <w:tcPr>
                  <w:tcW w:w="377" w:type="pct"/>
                  <w:vMerge w:val="continue"/>
                  <w:noWrap w:val="0"/>
                  <w:vAlign w:val="center"/>
                </w:tcPr>
                <w:p>
                  <w:pPr>
                    <w:pStyle w:val="59"/>
                    <w:rPr>
                      <w:color w:val="auto"/>
                      <w:highlight w:val="none"/>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23.6</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62.1</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ind w:firstLine="0" w:firstLineChars="0"/>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36.1</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top"/>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top"/>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89.1</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ind w:firstLine="0" w:firstLineChars="0"/>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top"/>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p>
              </w:tc>
              <w:tc>
                <w:tcPr>
                  <w:tcW w:w="473" w:type="pct"/>
                  <w:vMerge w:val="continue"/>
                  <w:noWrap w:val="0"/>
                  <w:vAlign w:val="top"/>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204.8</w:t>
                  </w:r>
                </w:p>
              </w:tc>
              <w:tc>
                <w:tcPr>
                  <w:tcW w:w="468" w:type="pc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ind w:firstLine="0" w:firstLineChars="0"/>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restart"/>
                  <w:noWrap w:val="0"/>
                  <w:vAlign w:val="center"/>
                </w:tcPr>
                <w:p>
                  <w:pPr>
                    <w:pStyle w:val="59"/>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w:t>
                  </w: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restart"/>
                  <w:noWrap w:val="0"/>
                  <w:vAlign w:val="center"/>
                </w:tcPr>
                <w:p>
                  <w:pPr>
                    <w:pStyle w:val="59"/>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气动榨床</w:t>
                  </w:r>
                </w:p>
              </w:tc>
              <w:tc>
                <w:tcPr>
                  <w:tcW w:w="473" w:type="pct"/>
                  <w:vMerge w:val="restart"/>
                  <w:noWrap w:val="0"/>
                  <w:vAlign w:val="center"/>
                </w:tcPr>
                <w:p>
                  <w:pP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75~80</w:t>
                  </w: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61</w:t>
                  </w:r>
                </w:p>
              </w:tc>
              <w:tc>
                <w:tcPr>
                  <w:tcW w:w="38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-82.7</w:t>
                  </w:r>
                </w:p>
              </w:tc>
              <w:tc>
                <w:tcPr>
                  <w:tcW w:w="30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63.4</w:t>
                  </w:r>
                </w:p>
              </w:tc>
              <w:tc>
                <w:tcPr>
                  <w:tcW w:w="253"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c>
                <w:tcPr>
                  <w:tcW w:w="46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26.0</w:t>
                  </w: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37.4</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color w:val="auto"/>
                      <w:highlight w:val="none"/>
                    </w:rPr>
                  </w:pPr>
                </w:p>
              </w:tc>
              <w:tc>
                <w:tcPr>
                  <w:tcW w:w="207" w:type="pct"/>
                  <w:vMerge w:val="continue"/>
                  <w:noWrap w:val="0"/>
                  <w:vAlign w:val="center"/>
                </w:tcPr>
                <w:p>
                  <w:pPr>
                    <w:pStyle w:val="59"/>
                    <w:rPr>
                      <w:color w:val="auto"/>
                      <w:highlight w:val="none"/>
                    </w:rPr>
                  </w:pPr>
                </w:p>
              </w:tc>
              <w:tc>
                <w:tcPr>
                  <w:tcW w:w="247" w:type="pct"/>
                  <w:vMerge w:val="continue"/>
                  <w:noWrap w:val="0"/>
                  <w:vAlign w:val="top"/>
                </w:tcPr>
                <w:p>
                  <w:pPr>
                    <w:pStyle w:val="59"/>
                    <w:rPr>
                      <w:color w:val="auto"/>
                      <w:highlight w:val="none"/>
                    </w:rPr>
                  </w:pPr>
                </w:p>
              </w:tc>
              <w:tc>
                <w:tcPr>
                  <w:tcW w:w="473" w:type="pct"/>
                  <w:vMerge w:val="continue"/>
                  <w:noWrap w:val="0"/>
                  <w:vAlign w:val="top"/>
                </w:tcPr>
                <w:p>
                  <w:pPr>
                    <w:pStyle w:val="59"/>
                    <w:rPr>
                      <w:color w:val="auto"/>
                      <w:highlight w:val="none"/>
                    </w:rPr>
                  </w:pPr>
                </w:p>
              </w:tc>
              <w:tc>
                <w:tcPr>
                  <w:tcW w:w="377" w:type="pct"/>
                  <w:vMerge w:val="continue"/>
                  <w:noWrap w:val="0"/>
                  <w:vAlign w:val="center"/>
                </w:tcPr>
                <w:p>
                  <w:pPr>
                    <w:pStyle w:val="59"/>
                    <w:rPr>
                      <w:color w:val="auto"/>
                      <w:highlight w:val="none"/>
                    </w:rPr>
                  </w:pPr>
                </w:p>
              </w:tc>
              <w:tc>
                <w:tcPr>
                  <w:tcW w:w="345" w:type="pct"/>
                  <w:vMerge w:val="continue"/>
                  <w:noWrap w:val="0"/>
                  <w:vAlign w:val="center"/>
                </w:tcPr>
                <w:p>
                  <w:pPr>
                    <w:pStyle w:val="59"/>
                    <w:rPr>
                      <w:color w:val="auto"/>
                      <w:highlight w:val="none"/>
                    </w:rPr>
                  </w:pPr>
                </w:p>
              </w:tc>
              <w:tc>
                <w:tcPr>
                  <w:tcW w:w="387" w:type="pct"/>
                  <w:vMerge w:val="continue"/>
                  <w:noWrap w:val="0"/>
                  <w:vAlign w:val="center"/>
                </w:tcPr>
                <w:p>
                  <w:pPr>
                    <w:pStyle w:val="59"/>
                    <w:rPr>
                      <w:color w:val="auto"/>
                      <w:highlight w:val="none"/>
                    </w:rPr>
                  </w:pPr>
                </w:p>
              </w:tc>
              <w:tc>
                <w:tcPr>
                  <w:tcW w:w="308" w:type="pct"/>
                  <w:vMerge w:val="continue"/>
                  <w:noWrap w:val="0"/>
                  <w:vAlign w:val="center"/>
                </w:tcPr>
                <w:p>
                  <w:pPr>
                    <w:pStyle w:val="59"/>
                    <w:rPr>
                      <w:color w:val="auto"/>
                      <w:highlight w:val="none"/>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24.1</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62.1</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36.1</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top"/>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top"/>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89.6</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top"/>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p>
              </w:tc>
              <w:tc>
                <w:tcPr>
                  <w:tcW w:w="473" w:type="pct"/>
                  <w:vMerge w:val="continue"/>
                  <w:noWrap w:val="0"/>
                  <w:vAlign w:val="top"/>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207.2</w:t>
                  </w:r>
                </w:p>
              </w:tc>
              <w:tc>
                <w:tcPr>
                  <w:tcW w:w="468" w:type="pc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restart"/>
                  <w:noWrap w:val="0"/>
                  <w:vAlign w:val="center"/>
                </w:tcPr>
                <w:p>
                  <w:pPr>
                    <w:pStyle w:val="59"/>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16</w:t>
                  </w: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restart"/>
                  <w:noWrap w:val="0"/>
                  <w:vAlign w:val="center"/>
                </w:tcPr>
                <w:p>
                  <w:pPr>
                    <w:pStyle w:val="59"/>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气动榨床</w:t>
                  </w:r>
                </w:p>
              </w:tc>
              <w:tc>
                <w:tcPr>
                  <w:tcW w:w="473" w:type="pct"/>
                  <w:vMerge w:val="restart"/>
                  <w:noWrap w:val="0"/>
                  <w:vAlign w:val="center"/>
                </w:tcPr>
                <w:p>
                  <w:pP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75~80</w:t>
                  </w: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w:t>
                  </w:r>
                </w:p>
              </w:tc>
              <w:tc>
                <w:tcPr>
                  <w:tcW w:w="38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-86.5</w:t>
                  </w:r>
                </w:p>
              </w:tc>
              <w:tc>
                <w:tcPr>
                  <w:tcW w:w="308" w:type="pct"/>
                  <w:vMerge w:val="restar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1.2</w:t>
                  </w: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63.4</w:t>
                  </w:r>
                </w:p>
              </w:tc>
              <w:tc>
                <w:tcPr>
                  <w:tcW w:w="253"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c>
                <w:tcPr>
                  <w:tcW w:w="468"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26.0</w:t>
                  </w: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37.4</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color w:val="auto"/>
                      <w:highlight w:val="none"/>
                    </w:rPr>
                  </w:pPr>
                </w:p>
              </w:tc>
              <w:tc>
                <w:tcPr>
                  <w:tcW w:w="207" w:type="pct"/>
                  <w:vMerge w:val="continue"/>
                  <w:noWrap w:val="0"/>
                  <w:vAlign w:val="center"/>
                </w:tcPr>
                <w:p>
                  <w:pPr>
                    <w:pStyle w:val="59"/>
                    <w:rPr>
                      <w:color w:val="auto"/>
                      <w:highlight w:val="none"/>
                    </w:rPr>
                  </w:pPr>
                </w:p>
              </w:tc>
              <w:tc>
                <w:tcPr>
                  <w:tcW w:w="247" w:type="pct"/>
                  <w:vMerge w:val="continue"/>
                  <w:noWrap w:val="0"/>
                  <w:vAlign w:val="top"/>
                </w:tcPr>
                <w:p>
                  <w:pPr>
                    <w:pStyle w:val="59"/>
                    <w:rPr>
                      <w:color w:val="auto"/>
                      <w:highlight w:val="none"/>
                    </w:rPr>
                  </w:pPr>
                </w:p>
              </w:tc>
              <w:tc>
                <w:tcPr>
                  <w:tcW w:w="473" w:type="pct"/>
                  <w:vMerge w:val="continue"/>
                  <w:noWrap w:val="0"/>
                  <w:vAlign w:val="top"/>
                </w:tcPr>
                <w:p>
                  <w:pPr>
                    <w:pStyle w:val="59"/>
                    <w:rPr>
                      <w:color w:val="auto"/>
                      <w:highlight w:val="none"/>
                    </w:rPr>
                  </w:pPr>
                </w:p>
              </w:tc>
              <w:tc>
                <w:tcPr>
                  <w:tcW w:w="377" w:type="pct"/>
                  <w:vMerge w:val="continue"/>
                  <w:noWrap w:val="0"/>
                  <w:vAlign w:val="center"/>
                </w:tcPr>
                <w:p>
                  <w:pPr>
                    <w:pStyle w:val="59"/>
                    <w:rPr>
                      <w:color w:val="auto"/>
                      <w:highlight w:val="none"/>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24.2</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62.1</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36.1</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top"/>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top"/>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89.9</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top"/>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p>
              </w:tc>
              <w:tc>
                <w:tcPr>
                  <w:tcW w:w="473" w:type="pct"/>
                  <w:vMerge w:val="continue"/>
                  <w:noWrap w:val="0"/>
                  <w:vAlign w:val="top"/>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210.0</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restart"/>
                  <w:noWrap w:val="0"/>
                  <w:vAlign w:val="center"/>
                </w:tcPr>
                <w:p>
                  <w:pPr>
                    <w:pStyle w:val="59"/>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17</w:t>
                  </w: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restar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气动榨床</w:t>
                  </w:r>
                </w:p>
              </w:tc>
              <w:tc>
                <w:tcPr>
                  <w:tcW w:w="473" w:type="pct"/>
                  <w:vMerge w:val="restart"/>
                  <w:noWrap w:val="0"/>
                  <w:vAlign w:val="center"/>
                </w:tcPr>
                <w:p>
                  <w:pP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75~80</w:t>
                  </w: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63</w:t>
                  </w:r>
                </w:p>
              </w:tc>
              <w:tc>
                <w:tcPr>
                  <w:tcW w:w="387"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-89.9</w:t>
                  </w:r>
                </w:p>
              </w:tc>
              <w:tc>
                <w:tcPr>
                  <w:tcW w:w="308" w:type="pct"/>
                  <w:vMerge w:val="restar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3.4</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63.6</w:t>
                  </w:r>
                </w:p>
              </w:tc>
              <w:tc>
                <w:tcPr>
                  <w:tcW w:w="253" w:type="pct"/>
                  <w:vMerge w:val="restart"/>
                  <w:noWrap w:val="0"/>
                  <w:vAlign w:val="center"/>
                </w:tcPr>
                <w:p>
                  <w:pPr>
                    <w:pStyle w:val="59"/>
                    <w:ind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c>
                <w:tcPr>
                  <w:tcW w:w="468" w:type="pct"/>
                  <w:vMerge w:val="restart"/>
                  <w:noWrap w:val="0"/>
                  <w:vAlign w:val="center"/>
                </w:tcPr>
                <w:p>
                  <w:pPr>
                    <w:pStyle w:val="59"/>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26.0</w:t>
                  </w: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37.6</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color w:val="auto"/>
                      <w:highlight w:val="none"/>
                    </w:rPr>
                  </w:pPr>
                </w:p>
              </w:tc>
              <w:tc>
                <w:tcPr>
                  <w:tcW w:w="207" w:type="pct"/>
                  <w:vMerge w:val="continue"/>
                  <w:noWrap w:val="0"/>
                  <w:vAlign w:val="center"/>
                </w:tcPr>
                <w:p>
                  <w:pPr>
                    <w:pStyle w:val="59"/>
                    <w:rPr>
                      <w:color w:val="auto"/>
                      <w:highlight w:val="none"/>
                    </w:rPr>
                  </w:pPr>
                </w:p>
              </w:tc>
              <w:tc>
                <w:tcPr>
                  <w:tcW w:w="247" w:type="pct"/>
                  <w:vMerge w:val="continue"/>
                  <w:noWrap w:val="0"/>
                  <w:vAlign w:val="center"/>
                </w:tcPr>
                <w:p>
                  <w:pPr>
                    <w:pStyle w:val="59"/>
                    <w:rPr>
                      <w:color w:val="auto"/>
                      <w:highlight w:val="none"/>
                    </w:rPr>
                  </w:pPr>
                </w:p>
              </w:tc>
              <w:tc>
                <w:tcPr>
                  <w:tcW w:w="473" w:type="pct"/>
                  <w:vMerge w:val="continue"/>
                  <w:noWrap w:val="0"/>
                  <w:vAlign w:val="center"/>
                </w:tcPr>
                <w:p>
                  <w:pPr>
                    <w:pStyle w:val="59"/>
                    <w:rPr>
                      <w:color w:val="auto"/>
                      <w:highlight w:val="none"/>
                    </w:rPr>
                  </w:pPr>
                </w:p>
              </w:tc>
              <w:tc>
                <w:tcPr>
                  <w:tcW w:w="377" w:type="pct"/>
                  <w:vMerge w:val="continue"/>
                  <w:noWrap w:val="0"/>
                  <w:vAlign w:val="center"/>
                </w:tcPr>
                <w:p>
                  <w:pPr>
                    <w:pStyle w:val="59"/>
                    <w:rPr>
                      <w:color w:val="auto"/>
                      <w:highlight w:val="none"/>
                    </w:rPr>
                  </w:pPr>
                </w:p>
              </w:tc>
              <w:tc>
                <w:tcPr>
                  <w:tcW w:w="345" w:type="pct"/>
                  <w:vMerge w:val="continue"/>
                  <w:noWrap w:val="0"/>
                  <w:vAlign w:val="center"/>
                </w:tcPr>
                <w:p>
                  <w:pPr>
                    <w:pStyle w:val="59"/>
                    <w:rPr>
                      <w:color w:val="auto"/>
                      <w:highlight w:val="none"/>
                    </w:rPr>
                  </w:pPr>
                </w:p>
              </w:tc>
              <w:tc>
                <w:tcPr>
                  <w:tcW w:w="387" w:type="pct"/>
                  <w:vMerge w:val="continue"/>
                  <w:noWrap w:val="0"/>
                  <w:vAlign w:val="center"/>
                </w:tcPr>
                <w:p>
                  <w:pPr>
                    <w:pStyle w:val="59"/>
                    <w:rPr>
                      <w:color w:val="auto"/>
                      <w:highlight w:val="none"/>
                    </w:rPr>
                  </w:pPr>
                </w:p>
              </w:tc>
              <w:tc>
                <w:tcPr>
                  <w:tcW w:w="308" w:type="pct"/>
                  <w:vMerge w:val="continue"/>
                  <w:noWrap w:val="0"/>
                  <w:vAlign w:val="center"/>
                </w:tcPr>
                <w:p>
                  <w:pPr>
                    <w:pStyle w:val="59"/>
                    <w:rPr>
                      <w:color w:val="auto"/>
                      <w:highlight w:val="none"/>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24.4</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62.1</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36.1</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90.2</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9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0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24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7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7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45"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87"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30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1" w:type="pct"/>
                  <w:noWrap w:val="0"/>
                  <w:vAlign w:val="center"/>
                </w:tcPr>
                <w:p>
                  <w:pPr>
                    <w:pStyle w:val="59"/>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212.6</w:t>
                  </w:r>
                </w:p>
              </w:tc>
              <w:tc>
                <w:tcPr>
                  <w:tcW w:w="468"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62.0</w:t>
                  </w:r>
                </w:p>
              </w:tc>
              <w:tc>
                <w:tcPr>
                  <w:tcW w:w="253"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8"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36.0</w:t>
                  </w:r>
                </w:p>
              </w:tc>
              <w:tc>
                <w:tcPr>
                  <w:tcW w:w="253" w:type="pct"/>
                  <w:noWrap w:val="0"/>
                  <w:vAlign w:val="center"/>
                </w:tcPr>
                <w:p>
                  <w:pPr>
                    <w:pStyle w:val="59"/>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r>
          </w:tbl>
          <w:p>
            <w:pPr>
              <w:pStyle w:val="41"/>
              <w:bidi w:val="0"/>
              <w:rPr>
                <w:rFonts w:hint="eastAsia"/>
                <w:color w:val="auto"/>
                <w:highlight w:val="none"/>
              </w:rPr>
            </w:pPr>
          </w:p>
          <w:p>
            <w:pPr>
              <w:pStyle w:val="41"/>
              <w:bidi w:val="0"/>
              <w:rPr>
                <w:rFonts w:hint="eastAsia"/>
                <w:color w:val="auto"/>
                <w:highlight w:val="none"/>
              </w:rPr>
            </w:pPr>
          </w:p>
          <w:p>
            <w:pPr>
              <w:pStyle w:val="41"/>
              <w:bidi w:val="0"/>
              <w:rPr>
                <w:rFonts w:hint="eastAsia"/>
                <w:color w:val="auto"/>
                <w:highlight w:val="none"/>
              </w:rPr>
            </w:pPr>
            <w:r>
              <w:rPr>
                <w:rFonts w:hint="eastAsia"/>
                <w:color w:val="auto"/>
                <w:highlight w:val="none"/>
              </w:rPr>
              <w:t>表4-1</w:t>
            </w:r>
            <w:r>
              <w:rPr>
                <w:rFonts w:hint="eastAsia"/>
                <w:color w:val="auto"/>
                <w:highlight w:val="none"/>
                <w:lang w:val="en-US" w:eastAsia="zh-CN"/>
              </w:rPr>
              <w:t>1</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项目噪声源强调查清单（室外声源）</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735"/>
              <w:gridCol w:w="675"/>
              <w:gridCol w:w="735"/>
              <w:gridCol w:w="585"/>
              <w:gridCol w:w="1770"/>
              <w:gridCol w:w="2265"/>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序号</w:t>
                  </w:r>
                </w:p>
              </w:tc>
              <w:tc>
                <w:tcPr>
                  <w:tcW w:w="446"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声源名称</w:t>
                  </w:r>
                </w:p>
              </w:tc>
              <w:tc>
                <w:tcPr>
                  <w:tcW w:w="1210" w:type="pct"/>
                  <w:gridSpan w:val="3"/>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空间相对位置/m</w:t>
                  </w:r>
                </w:p>
              </w:tc>
              <w:tc>
                <w:tcPr>
                  <w:tcW w:w="1074" w:type="pc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声源源强</w:t>
                  </w:r>
                </w:p>
              </w:tc>
              <w:tc>
                <w:tcPr>
                  <w:tcW w:w="1374"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声源控制措施</w:t>
                  </w:r>
                </w:p>
              </w:tc>
              <w:tc>
                <w:tcPr>
                  <w:tcW w:w="460" w:type="pct"/>
                  <w:vMerge w:val="restar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46"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09" w:type="pc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X</w:t>
                  </w:r>
                </w:p>
              </w:tc>
              <w:tc>
                <w:tcPr>
                  <w:tcW w:w="446" w:type="pc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Y</w:t>
                  </w:r>
                </w:p>
              </w:tc>
              <w:tc>
                <w:tcPr>
                  <w:tcW w:w="355" w:type="pc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Z</w:t>
                  </w:r>
                </w:p>
              </w:tc>
              <w:tc>
                <w:tcPr>
                  <w:tcW w:w="1074" w:type="pc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声功率级/dB（A）</w:t>
                  </w:r>
                </w:p>
              </w:tc>
              <w:tc>
                <w:tcPr>
                  <w:tcW w:w="1374"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c>
                <w:tcPr>
                  <w:tcW w:w="460" w:type="pct"/>
                  <w:vMerge w:val="continue"/>
                  <w:noWrap w:val="0"/>
                  <w:vAlign w:val="center"/>
                </w:tcPr>
                <w:p>
                  <w:pPr>
                    <w:pStyle w:val="59"/>
                    <w:rPr>
                      <w:rFonts w:hint="eastAsia"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446"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风机</w:t>
                  </w:r>
                </w:p>
              </w:tc>
              <w:tc>
                <w:tcPr>
                  <w:tcW w:w="409" w:type="pc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64.3</w:t>
                  </w:r>
                </w:p>
              </w:tc>
              <w:tc>
                <w:tcPr>
                  <w:tcW w:w="446" w:type="pc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-73.5</w:t>
                  </w:r>
                </w:p>
              </w:tc>
              <w:tc>
                <w:tcPr>
                  <w:tcW w:w="355" w:type="pc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w:t>
                  </w:r>
                </w:p>
              </w:tc>
              <w:tc>
                <w:tcPr>
                  <w:tcW w:w="1074" w:type="pc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75~80</w:t>
                  </w:r>
                </w:p>
              </w:tc>
              <w:tc>
                <w:tcPr>
                  <w:tcW w:w="1374" w:type="pct"/>
                  <w:noWrap w:val="0"/>
                  <w:vAlign w:val="center"/>
                </w:tcPr>
                <w:p>
                  <w:pPr>
                    <w:pStyle w:val="59"/>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合理布局，选用低噪声设备，风机柔性连接</w:t>
                  </w:r>
                </w:p>
              </w:tc>
              <w:tc>
                <w:tcPr>
                  <w:tcW w:w="460" w:type="pct"/>
                  <w:noWrap w:val="0"/>
                  <w:vAlign w:val="center"/>
                </w:tcPr>
                <w:p>
                  <w:pPr>
                    <w:pStyle w:val="5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r>
          </w:tbl>
          <w:p>
            <w:pPr>
              <w:adjustRightInd w:val="0"/>
              <w:snapToGrid w:val="0"/>
              <w:spacing w:line="360" w:lineRule="auto"/>
              <w:ind w:firstLine="482" w:firstLineChars="200"/>
              <w:rPr>
                <w:rFonts w:ascii="Times New Roman" w:hAnsi="Times New Roman" w:eastAsia="宋体" w:cs="Times New Roman"/>
                <w:b/>
                <w:bCs w:val="0"/>
                <w:color w:val="auto"/>
                <w:sz w:val="24"/>
                <w:highlight w:val="none"/>
                <w:lang w:val="zh-CN"/>
              </w:rPr>
            </w:pPr>
            <w:r>
              <w:rPr>
                <w:rFonts w:ascii="Times New Roman" w:hAnsi="Times New Roman" w:eastAsia="宋体" w:cs="Times New Roman"/>
                <w:b/>
                <w:bCs w:val="0"/>
                <w:color w:val="auto"/>
                <w:sz w:val="24"/>
                <w:highlight w:val="none"/>
                <w:lang w:val="zh-CN"/>
              </w:rPr>
              <w:t>2、预测方法</w:t>
            </w:r>
          </w:p>
          <w:p>
            <w:pPr>
              <w:adjustRightInd w:val="0"/>
              <w:snapToGrid w:val="0"/>
              <w:spacing w:line="360" w:lineRule="auto"/>
              <w:ind w:firstLine="480" w:firstLineChars="200"/>
              <w:rPr>
                <w:rFonts w:hint="eastAsia" w:ascii="Times New Roman" w:hAnsi="Times New Roman" w:eastAsia="宋体" w:cs="Times New Roman"/>
                <w:bCs/>
                <w:color w:val="auto"/>
                <w:sz w:val="24"/>
                <w:highlight w:val="none"/>
                <w:lang w:eastAsia="zh-CN"/>
              </w:rPr>
            </w:pPr>
            <w:r>
              <w:rPr>
                <w:rFonts w:ascii="Times New Roman" w:hAnsi="Times New Roman" w:eastAsia="宋体" w:cs="Times New Roman"/>
                <w:bCs/>
                <w:color w:val="auto"/>
                <w:sz w:val="24"/>
                <w:highlight w:val="none"/>
              </w:rPr>
              <w:t>根据本工程噪声源和环境特征，采用《环境影响评价技术导则 声环境》（HJ2.4-</w:t>
            </w:r>
            <w:r>
              <w:rPr>
                <w:rFonts w:hint="eastAsia" w:ascii="Times New Roman" w:hAnsi="Times New Roman" w:eastAsia="宋体" w:cs="Times New Roman"/>
                <w:bCs/>
                <w:color w:val="auto"/>
                <w:sz w:val="24"/>
                <w:highlight w:val="none"/>
              </w:rPr>
              <w:t>2021</w:t>
            </w:r>
            <w:r>
              <w:rPr>
                <w:rFonts w:ascii="Times New Roman" w:hAnsi="Times New Roman" w:eastAsia="宋体" w:cs="Times New Roman"/>
                <w:bCs/>
                <w:color w:val="auto"/>
                <w:sz w:val="24"/>
                <w:highlight w:val="none"/>
              </w:rPr>
              <w:t>）推荐的方法和模式进行预测</w:t>
            </w:r>
            <w:r>
              <w:rPr>
                <w:rFonts w:hint="eastAsia" w:ascii="Times New Roman" w:hAnsi="Times New Roman" w:eastAsia="宋体" w:cs="Times New Roman"/>
                <w:bCs/>
                <w:color w:val="auto"/>
                <w:sz w:val="24"/>
                <w:highlight w:val="none"/>
                <w:lang w:eastAsia="zh-CN"/>
              </w:rPr>
              <w:t>。</w:t>
            </w:r>
          </w:p>
          <w:p>
            <w:pPr>
              <w:adjustRightInd w:val="0"/>
              <w:snapToGrid w:val="0"/>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噪声衰减模式：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1</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rPr>
              <w:t>声源描述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声环境影响预测，一般采用声源的倍频带声功率级、A声功率级或靠近声源某一位置的倍频带声压级、A声级来预测计算距声源不同距离的声级。工业声源有室外和室内两种声源，应分别计算。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2</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rPr>
              <w:t>室外声源在预测点产生的声级计算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按照无指向性点声源几何发散衰减进行计算：</w:t>
            </w:r>
          </w:p>
          <w:p>
            <w:pPr>
              <w:keepNext w:val="0"/>
              <w:keepLines w:val="0"/>
              <w:pageBreakBefore w:val="0"/>
              <w:widowControl w:val="0"/>
              <w:tabs>
                <w:tab w:val="left" w:pos="6489"/>
              </w:tabs>
              <w:kinsoku/>
              <w:wordWrap/>
              <w:overflowPunct/>
              <w:topLinePunct w:val="0"/>
              <w:autoSpaceDE/>
              <w:autoSpaceDN/>
              <w:bidi w:val="0"/>
              <w:spacing w:line="360" w:lineRule="auto"/>
              <w:ind w:firstLine="0" w:firstLineChars="0"/>
              <w:jc w:val="center"/>
              <w:textAlignment w:val="auto"/>
              <w:rPr>
                <w:color w:val="auto"/>
                <w:szCs w:val="24"/>
                <w:highlight w:val="none"/>
              </w:rPr>
            </w:pPr>
            <w:r>
              <w:rPr>
                <w:rFonts w:hint="eastAsia"/>
                <w:color w:val="auto"/>
                <w:position w:val="-12"/>
                <w:szCs w:val="24"/>
                <w:highlight w:val="none"/>
              </w:rPr>
              <w:object>
                <v:shape id="_x0000_i1033" o:spt="75" type="#_x0000_t75" style="height:17.65pt;width:137.15pt;" o:ole="t" filled="f" o:preferrelative="t" stroked="f" coordsize="21600,21600">
                  <v:path/>
                  <v:fill on="f" focussize="0,0"/>
                  <v:stroke on="f" joinstyle="miter"/>
                  <v:imagedata r:id="rId34" o:title=""/>
                  <o:lock v:ext="edit" aspectratio="t"/>
                  <w10:wrap type="none"/>
                  <w10:anchorlock/>
                </v:shape>
                <o:OLEObject Type="Embed" ProgID="Equation.3" ShapeID="_x0000_i1033" DrawAspect="Content" ObjectID="_1468075733" r:id="rId33">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式中：Lp（r）——预测点处声压级，dB；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Lp（r0）——参考位置r0处的声压级，dB；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r——预测点距声源的距离，m；</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r0——参考位置距声源的距离，m。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3</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rPr>
              <w:t>室内声源等效室外声源声功率级计算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如下图所示，声源位于室内，室内声源可采用等效室外声源声功率级法进行计算。设靠近开口处（或窗户）室内、室外某倍频带的声压级分别为Lp1和Lp2，若声源所在室内声场为近似扩散声场，则室外倍频带声压级按下式计算：</w:t>
            </w:r>
          </w:p>
          <w:p>
            <w:pPr>
              <w:keepNext w:val="0"/>
              <w:keepLines w:val="0"/>
              <w:pageBreakBefore w:val="0"/>
              <w:widowControl w:val="0"/>
              <w:tabs>
                <w:tab w:val="left" w:pos="6489"/>
              </w:tabs>
              <w:kinsoku/>
              <w:wordWrap/>
              <w:overflowPunct/>
              <w:topLinePunct w:val="0"/>
              <w:autoSpaceDE/>
              <w:autoSpaceDN/>
              <w:bidi w:val="0"/>
              <w:spacing w:line="360" w:lineRule="auto"/>
              <w:ind w:firstLine="0" w:firstLineChars="0"/>
              <w:jc w:val="center"/>
              <w:textAlignment w:val="auto"/>
              <w:rPr>
                <w:rFonts w:hint="eastAsia" w:ascii="Times New Roman" w:hAnsi="Times New Roman" w:eastAsia="宋体" w:cs="Times New Roman"/>
                <w:color w:val="auto"/>
                <w:position w:val="-12"/>
                <w:szCs w:val="24"/>
                <w:highlight w:val="none"/>
              </w:rPr>
            </w:pPr>
            <w:r>
              <w:rPr>
                <w:rFonts w:hint="eastAsia" w:ascii="Times New Roman" w:hAnsi="Times New Roman" w:eastAsia="宋体" w:cs="Times New Roman"/>
                <w:color w:val="auto"/>
                <w:position w:val="-12"/>
                <w:szCs w:val="24"/>
                <w:highlight w:val="none"/>
              </w:rPr>
              <w:object>
                <v:shape id="_x0000_i1034" o:spt="75" type="#_x0000_t75" style="height:17pt;width:98.55pt;" o:ole="t" filled="f" o:preferrelative="t" stroked="f" coordsize="21600,21600">
                  <v:path/>
                  <v:fill on="f" focussize="0,0"/>
                  <v:stroke on="f" joinstyle="miter"/>
                  <v:imagedata r:id="rId36" o:title=""/>
                  <o:lock v:ext="edit" aspectratio="t"/>
                  <w10:wrap type="none"/>
                  <w10:anchorlock/>
                </v:shape>
                <o:OLEObject Type="Embed" ProgID="Equation.3" ShapeID="_x0000_i1034" DrawAspect="Content" ObjectID="_1468075734" r:id="rId35">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式中：Lp1——靠近开口处（或窗户）室内某倍频带的声压级或A声级，dB；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Lp2——靠近开口处（或窗户）室外某倍频带的声压级或A声级，dB；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TL——隔墙（或窗户）倍频带或A声级的隔声量，dB。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某一室内声源靠近围护结构处产生的倍频带声压级或A声级按下式计算：</w:t>
            </w:r>
          </w:p>
          <w:p>
            <w:pPr>
              <w:keepNext w:val="0"/>
              <w:keepLines w:val="0"/>
              <w:pageBreakBefore w:val="0"/>
              <w:widowControl w:val="0"/>
              <w:tabs>
                <w:tab w:val="left" w:pos="6489"/>
              </w:tabs>
              <w:kinsoku/>
              <w:wordWrap/>
              <w:overflowPunct/>
              <w:topLinePunct w:val="0"/>
              <w:autoSpaceDE/>
              <w:autoSpaceDN/>
              <w:bidi w:val="0"/>
              <w:spacing w:line="360" w:lineRule="auto"/>
              <w:ind w:firstLine="0" w:firstLineChars="0"/>
              <w:jc w:val="center"/>
              <w:textAlignment w:val="auto"/>
              <w:rPr>
                <w:rFonts w:hint="eastAsia" w:ascii="Times New Roman" w:hAnsi="Times New Roman" w:eastAsia="宋体" w:cs="Times New Roman"/>
                <w:color w:val="auto"/>
                <w:position w:val="-12"/>
                <w:szCs w:val="24"/>
                <w:highlight w:val="none"/>
              </w:rPr>
            </w:pPr>
            <w:r>
              <w:rPr>
                <w:rFonts w:hint="eastAsia" w:ascii="Times New Roman" w:hAnsi="Times New Roman" w:eastAsia="宋体" w:cs="Times New Roman"/>
                <w:color w:val="auto"/>
                <w:position w:val="-12"/>
                <w:szCs w:val="24"/>
                <w:highlight w:val="none"/>
              </w:rPr>
              <w:object>
                <v:shape id="_x0000_i1035" o:spt="75" type="#_x0000_t75" style="height:30.55pt;width:138.5pt;" o:ole="t" filled="f" o:preferrelative="t" stroked="f" coordsize="21600,21600">
                  <v:path/>
                  <v:fill on="f" focussize="0,0"/>
                  <v:stroke on="f" joinstyle="miter"/>
                  <v:imagedata r:id="rId38" o:title=""/>
                  <o:lock v:ext="edit" aspectratio="t"/>
                  <w10:wrap type="none"/>
                  <w10:anchorlock/>
                </v:shape>
                <o:OLEObject Type="Embed" ProgID="Equation.3" ShapeID="_x0000_i1035" DrawAspect="Content" ObjectID="_1468075735" r:id="rId37">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式中：Lw——点声源声功率级（A计权或倍频带），dB；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Q——指向性因数；通常对无指向性声源，当声源放在房间中心时，Q=1；当放在一面墙的中心时，Q=2；当放在两面墙夹角处时，Q=4；当放在三面墙夹角处时，Q=8；</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R——房间常数；R=</w:t>
            </w:r>
            <w:r>
              <w:rPr>
                <w:rFonts w:hint="default" w:ascii="Times New Roman" w:hAnsi="Times New Roman" w:eastAsia="宋体" w:cs="Times New Roman"/>
                <w:bCs/>
                <w:color w:val="auto"/>
                <w:sz w:val="24"/>
                <w:highlight w:val="none"/>
              </w:rPr>
              <w:t>Sα/（1-α）</w:t>
            </w:r>
            <w:r>
              <w:rPr>
                <w:rFonts w:hint="eastAsia" w:ascii="Times New Roman" w:hAnsi="Times New Roman" w:eastAsia="宋体" w:cs="Times New Roman"/>
                <w:bCs/>
                <w:color w:val="auto"/>
                <w:sz w:val="24"/>
                <w:highlight w:val="none"/>
              </w:rPr>
              <w:t>，S为房间内表面面积，m</w:t>
            </w:r>
            <w:r>
              <w:rPr>
                <w:rFonts w:hint="eastAsia" w:ascii="Times New Roman" w:hAnsi="Times New Roman" w:eastAsia="宋体" w:cs="Times New Roman"/>
                <w:bCs/>
                <w:color w:val="auto"/>
                <w:sz w:val="24"/>
                <w:highlight w:val="none"/>
                <w:vertAlign w:val="superscript"/>
              </w:rPr>
              <w:t>2</w:t>
            </w:r>
            <w:r>
              <w:rPr>
                <w:rFonts w:hint="eastAsia"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rPr>
              <w:t>α</w:t>
            </w:r>
            <w:r>
              <w:rPr>
                <w:rFonts w:hint="eastAsia" w:ascii="Times New Roman" w:hAnsi="Times New Roman" w:eastAsia="宋体" w:cs="Times New Roman"/>
                <w:bCs/>
                <w:color w:val="auto"/>
                <w:sz w:val="24"/>
                <w:highlight w:val="none"/>
              </w:rPr>
              <w:t>为平均吸声系数；</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r——声源到靠近围护结构某点处的距离，m。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然后按下式计算出所有室内声源在围护结构处产生的i倍频带叠加声压级：</w:t>
            </w:r>
          </w:p>
          <w:p>
            <w:pPr>
              <w:keepNext w:val="0"/>
              <w:keepLines w:val="0"/>
              <w:pageBreakBefore w:val="0"/>
              <w:widowControl w:val="0"/>
              <w:tabs>
                <w:tab w:val="left" w:pos="6489"/>
              </w:tabs>
              <w:kinsoku/>
              <w:wordWrap/>
              <w:overflowPunct/>
              <w:topLinePunct w:val="0"/>
              <w:autoSpaceDE/>
              <w:autoSpaceDN/>
              <w:bidi w:val="0"/>
              <w:spacing w:line="360" w:lineRule="auto"/>
              <w:ind w:firstLine="0" w:firstLineChars="0"/>
              <w:jc w:val="center"/>
              <w:textAlignment w:val="auto"/>
              <w:rPr>
                <w:rFonts w:hint="eastAsia" w:ascii="Times New Roman" w:hAnsi="Times New Roman" w:eastAsia="宋体" w:cs="Times New Roman"/>
                <w:color w:val="auto"/>
                <w:position w:val="-12"/>
                <w:szCs w:val="24"/>
                <w:highlight w:val="none"/>
              </w:rPr>
            </w:pPr>
            <w:r>
              <w:rPr>
                <w:rFonts w:hint="eastAsia" w:ascii="Times New Roman" w:hAnsi="Times New Roman" w:eastAsia="宋体" w:cs="Times New Roman"/>
                <w:color w:val="auto"/>
                <w:position w:val="-12"/>
                <w:szCs w:val="24"/>
                <w:highlight w:val="none"/>
              </w:rPr>
              <w:object>
                <v:shape id="_x0000_i1036" o:spt="75" type="#_x0000_t75" style="height:35.3pt;width:127.75pt;" o:ole="t" filled="f" o:preferrelative="t" stroked="f" coordsize="21600,21600">
                  <v:path/>
                  <v:fill on="f" focussize="0,0"/>
                  <v:stroke on="f" joinstyle="miter"/>
                  <v:imagedata r:id="rId40" o:title=""/>
                  <o:lock v:ext="edit" aspectratio="t"/>
                  <w10:wrap type="none"/>
                  <w10:anchorlock/>
                </v:shape>
                <o:OLEObject Type="Embed" ProgID="Equation.3" ShapeID="_x0000_i1036" DrawAspect="Content" ObjectID="_1468075736" r:id="rId39">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式中：Lp1i（T）——靠近围护结构处室内N个声源i倍频带的叠加声压级，dB；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Lp1ij——室内j声源i倍频带的声压级，dB；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N——室内声源总数。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4</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rPr>
              <w:t>靠近声源处的预测点噪声预测模型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如预测点在靠近声源处，但不能满足点声源条件时，需按线声源或面声源模型计算。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5</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rPr>
              <w:t>工业企业噪声计算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设第i个室外声源在预测点产生的A声级为LAi，在T时间内该声源工作时间为ti，第j个等效室外声源在预测点产生的A声级为LAj，在T时间内该声源工作时间为tj，则工程声源对预测点产生的贡献值（Leqg）为：</w:t>
            </w:r>
          </w:p>
          <w:p>
            <w:pPr>
              <w:keepNext w:val="0"/>
              <w:keepLines w:val="0"/>
              <w:pageBreakBefore w:val="0"/>
              <w:widowControl w:val="0"/>
              <w:tabs>
                <w:tab w:val="left" w:pos="6489"/>
              </w:tabs>
              <w:kinsoku/>
              <w:wordWrap/>
              <w:overflowPunct/>
              <w:topLinePunct w:val="0"/>
              <w:autoSpaceDE/>
              <w:autoSpaceDN/>
              <w:bidi w:val="0"/>
              <w:spacing w:line="360" w:lineRule="auto"/>
              <w:ind w:firstLine="0" w:firstLineChars="0"/>
              <w:jc w:val="center"/>
              <w:textAlignment w:val="auto"/>
              <w:rPr>
                <w:color w:val="auto"/>
                <w:szCs w:val="24"/>
                <w:highlight w:val="none"/>
              </w:rPr>
            </w:pPr>
            <w:r>
              <w:rPr>
                <w:rFonts w:hint="eastAsia" w:ascii="Times New Roman" w:hAnsi="Times New Roman" w:eastAsia="宋体" w:cs="Times New Roman"/>
                <w:color w:val="auto"/>
                <w:position w:val="-12"/>
                <w:szCs w:val="24"/>
                <w:highlight w:val="none"/>
              </w:rPr>
              <w:object>
                <v:shape id="_x0000_i1037" o:spt="75" type="#_x0000_t75" style="height:33.3pt;width:191.5pt;" o:ole="t" filled="f" o:preferrelative="t" stroked="f" coordsize="21600,21600">
                  <v:path/>
                  <v:fill on="f" focussize="0,0"/>
                  <v:stroke on="f" joinstyle="miter"/>
                  <v:imagedata r:id="rId42" o:title=""/>
                  <o:lock v:ext="edit" aspectratio="t"/>
                  <w10:wrap type="none"/>
                  <w10:anchorlock/>
                </v:shape>
                <o:OLEObject Type="Embed" ProgID="Equation.3" ShapeID="_x0000_i1037" DrawAspect="Content" ObjectID="_1468075737" r:id="rId41">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式中：Leqg——建设项目声源在预测点产生的噪声贡献值，dB；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T——用于计算等效声级的时间，s；</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N——室外声源个数；</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ti——在T时间内i声源工作时间，s；</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M——等效室外声源个数；</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tj——在T时间内j声源工作时间，s。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6</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rPr>
              <w:t>预测值计算</w:t>
            </w:r>
          </w:p>
          <w:p>
            <w:pPr>
              <w:keepNext w:val="0"/>
              <w:keepLines w:val="0"/>
              <w:pageBreakBefore w:val="0"/>
              <w:widowControl w:val="0"/>
              <w:tabs>
                <w:tab w:val="left" w:pos="6489"/>
              </w:tabs>
              <w:kinsoku/>
              <w:wordWrap/>
              <w:overflowPunct/>
              <w:topLinePunct w:val="0"/>
              <w:autoSpaceDE/>
              <w:autoSpaceDN/>
              <w:bidi w:val="0"/>
              <w:spacing w:line="360" w:lineRule="auto"/>
              <w:ind w:firstLine="0" w:firstLineChars="0"/>
              <w:jc w:val="center"/>
              <w:textAlignment w:val="auto"/>
              <w:rPr>
                <w:rFonts w:hint="eastAsia" w:ascii="Times New Roman" w:hAnsi="Times New Roman" w:eastAsia="宋体" w:cs="Times New Roman"/>
                <w:color w:val="auto"/>
                <w:position w:val="-12"/>
                <w:szCs w:val="24"/>
                <w:highlight w:val="none"/>
              </w:rPr>
            </w:pPr>
            <w:r>
              <w:rPr>
                <w:rFonts w:hint="eastAsia" w:ascii="Times New Roman" w:hAnsi="Times New Roman" w:eastAsia="宋体" w:cs="Times New Roman"/>
                <w:color w:val="auto"/>
                <w:position w:val="-12"/>
                <w:szCs w:val="24"/>
                <w:highlight w:val="none"/>
              </w:rPr>
              <w:object>
                <v:shape id="_x0000_i1038" o:spt="75" type="#_x0000_t75" style="height:21.05pt;width:138.5pt;" o:ole="t" filled="f" o:preferrelative="t" stroked="f" coordsize="21600,21600">
                  <v:path/>
                  <v:fill on="f" focussize="0,0"/>
                  <v:stroke on="f" joinstyle="miter"/>
                  <v:imagedata r:id="rId44" o:title=""/>
                  <o:lock v:ext="edit" aspectratio="t"/>
                  <w10:wrap type="none"/>
                  <w10:anchorlock/>
                </v:shape>
                <o:OLEObject Type="Embed" ProgID="Equation.3" ShapeID="_x0000_i1038" DrawAspect="Content" ObjectID="_1468075738" r:id="rId43">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式中：Leq——预测点的噪声预测值，dB；</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Leqb——预测点的背景值，dB。</w:t>
            </w:r>
          </w:p>
          <w:p>
            <w:pPr>
              <w:adjustRightInd w:val="0"/>
              <w:snapToGrid w:val="0"/>
              <w:spacing w:line="360" w:lineRule="auto"/>
              <w:ind w:firstLine="482" w:firstLineChars="200"/>
              <w:rPr>
                <w:rFonts w:ascii="Times New Roman" w:hAnsi="Times New Roman" w:eastAsia="宋体" w:cs="Times New Roman"/>
                <w:b/>
                <w:bCs w:val="0"/>
                <w:color w:val="auto"/>
                <w:sz w:val="24"/>
                <w:highlight w:val="none"/>
              </w:rPr>
            </w:pPr>
            <w:r>
              <w:rPr>
                <w:rFonts w:ascii="Times New Roman" w:hAnsi="Times New Roman" w:eastAsia="宋体" w:cs="Times New Roman"/>
                <w:b/>
                <w:bCs w:val="0"/>
                <w:color w:val="auto"/>
                <w:sz w:val="24"/>
                <w:highlight w:val="none"/>
              </w:rPr>
              <w:t>3、</w:t>
            </w:r>
            <w:r>
              <w:rPr>
                <w:rFonts w:hint="eastAsia" w:ascii="Times New Roman" w:hAnsi="Times New Roman" w:eastAsia="宋体" w:cs="Times New Roman"/>
                <w:b/>
                <w:bCs w:val="0"/>
                <w:color w:val="auto"/>
                <w:sz w:val="24"/>
                <w:highlight w:val="none"/>
              </w:rPr>
              <w:t>预测点和评价点的确定</w:t>
            </w:r>
          </w:p>
          <w:p>
            <w:pPr>
              <w:adjustRightInd w:val="0"/>
              <w:snapToGrid w:val="0"/>
              <w:spacing w:line="360" w:lineRule="auto"/>
              <w:ind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项目噪声</w:t>
            </w:r>
            <w:r>
              <w:rPr>
                <w:rFonts w:hint="eastAsia" w:ascii="Times New Roman" w:hAnsi="Times New Roman" w:eastAsia="宋体" w:cs="Times New Roman"/>
                <w:bCs/>
                <w:color w:val="auto"/>
                <w:sz w:val="24"/>
                <w:highlight w:val="none"/>
                <w:lang w:eastAsia="zh-CN"/>
              </w:rPr>
              <w:t>预测点和评价点包括厂界和</w:t>
            </w:r>
            <w:r>
              <w:rPr>
                <w:rFonts w:hint="eastAsia" w:ascii="Times New Roman" w:hAnsi="Times New Roman" w:eastAsia="宋体" w:cs="Times New Roman"/>
                <w:bCs/>
                <w:color w:val="auto"/>
                <w:sz w:val="24"/>
                <w:highlight w:val="none"/>
              </w:rPr>
              <w:t>评价范围内</w:t>
            </w:r>
            <w:r>
              <w:rPr>
                <w:rFonts w:hint="eastAsia" w:ascii="Times New Roman" w:hAnsi="Times New Roman" w:eastAsia="宋体" w:cs="Times New Roman"/>
                <w:bCs/>
                <w:color w:val="auto"/>
                <w:sz w:val="24"/>
                <w:highlight w:val="none"/>
                <w:lang w:val="en-US" w:eastAsia="zh-CN"/>
              </w:rPr>
              <w:t>5个敏感点，预测和评价的敏感点分别位于</w:t>
            </w:r>
            <w:r>
              <w:rPr>
                <w:rFonts w:hint="eastAsia" w:ascii="Times New Roman" w:hAnsi="Times New Roman" w:eastAsia="宋体" w:cs="Times New Roman"/>
                <w:bCs/>
                <w:color w:val="auto"/>
                <w:sz w:val="24"/>
                <w:highlight w:val="none"/>
              </w:rPr>
              <w:t>项目</w:t>
            </w:r>
            <w:r>
              <w:rPr>
                <w:rFonts w:hint="eastAsia" w:ascii="Times New Roman" w:hAnsi="Times New Roman" w:eastAsia="宋体" w:cs="Times New Roman"/>
                <w:bCs/>
                <w:color w:val="auto"/>
                <w:sz w:val="24"/>
                <w:highlight w:val="none"/>
                <w:lang w:eastAsia="zh-CN"/>
              </w:rPr>
              <w:t>西南侧</w:t>
            </w:r>
            <w:r>
              <w:rPr>
                <w:rFonts w:hint="eastAsia" w:ascii="Times New Roman" w:hAnsi="Times New Roman" w:eastAsia="宋体" w:cs="Times New Roman"/>
                <w:bCs/>
                <w:color w:val="auto"/>
                <w:sz w:val="24"/>
                <w:highlight w:val="none"/>
                <w:lang w:val="en-US" w:eastAsia="zh-CN"/>
              </w:rPr>
              <w:t>41m处</w:t>
            </w:r>
            <w:r>
              <w:rPr>
                <w:rFonts w:hint="eastAsia" w:ascii="Times New Roman" w:hAnsi="Times New Roman" w:eastAsia="宋体" w:cs="Times New Roman"/>
                <w:bCs/>
                <w:color w:val="auto"/>
                <w:sz w:val="24"/>
                <w:highlight w:val="none"/>
              </w:rPr>
              <w:t>居民</w:t>
            </w:r>
            <w:r>
              <w:rPr>
                <w:rFonts w:hint="eastAsia" w:ascii="Times New Roman" w:hAnsi="Times New Roman" w:eastAsia="宋体" w:cs="Times New Roman"/>
                <w:bCs/>
                <w:color w:val="auto"/>
                <w:sz w:val="24"/>
                <w:highlight w:val="none"/>
                <w:lang w:eastAsia="zh-CN"/>
              </w:rPr>
              <w:t>、西侧10m处居民、西侧22m处居民、西北侧42m处居民、北侧36m处学校</w:t>
            </w:r>
            <w:r>
              <w:rPr>
                <w:rFonts w:hint="eastAsia" w:ascii="Times New Roman" w:hAnsi="Times New Roman" w:eastAsia="宋体" w:cs="Times New Roman"/>
                <w:bCs/>
                <w:color w:val="auto"/>
                <w:sz w:val="24"/>
                <w:highlight w:val="none"/>
              </w:rPr>
              <w:t>。</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default" w:ascii="Times New Roman" w:hAnsi="Times New Roman" w:eastAsia="宋体" w:cs="Times New Roman"/>
                <w:b/>
                <w:bCs/>
                <w:color w:val="auto"/>
                <w:kern w:val="2"/>
                <w:sz w:val="24"/>
                <w:highlight w:val="none"/>
                <w:lang w:val="en-US" w:eastAsia="zh-CN"/>
              </w:rPr>
            </w:pPr>
            <w:r>
              <w:rPr>
                <w:rFonts w:hint="eastAsia" w:ascii="Times New Roman" w:hAnsi="Times New Roman" w:eastAsia="宋体" w:cs="Times New Roman"/>
                <w:b/>
                <w:bCs/>
                <w:color w:val="auto"/>
                <w:kern w:val="2"/>
                <w:sz w:val="24"/>
                <w:highlight w:val="none"/>
                <w:lang w:val="en-US" w:eastAsia="zh-CN"/>
              </w:rPr>
              <w:t>4、声环境影响预测</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default"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lang w:val="en-US" w:eastAsia="zh-CN"/>
              </w:rPr>
              <w:t>本项目为扩建项目，新增用地，且未与现有项目厂界相邻，因此，本次评价对本项目的厂区进行预测评价。夜间生产设备不运行，污水处理站位于现有项目厂界内，不在本次预测评价范围内。</w:t>
            </w:r>
          </w:p>
          <w:p>
            <w:pPr>
              <w:keepNext w:val="0"/>
              <w:keepLines w:val="0"/>
              <w:pageBreakBefore w:val="0"/>
              <w:widowControl w:val="0"/>
              <w:kinsoku/>
              <w:wordWrap/>
              <w:overflowPunct/>
              <w:topLinePunct w:val="0"/>
              <w:autoSpaceDE/>
              <w:autoSpaceDN/>
              <w:bidi w:val="0"/>
              <w:spacing w:after="0" w:line="360" w:lineRule="auto"/>
              <w:ind w:firstLine="482" w:firstLineChars="200"/>
              <w:rPr>
                <w:rFonts w:hint="eastAsia" w:ascii="Times New Roman" w:hAnsi="Times New Roman" w:eastAsia="宋体" w:cs="Times New Roman"/>
                <w:b/>
                <w:bCs/>
                <w:color w:val="auto"/>
                <w:kern w:val="2"/>
                <w:sz w:val="24"/>
                <w:highlight w:val="none"/>
              </w:rPr>
            </w:pPr>
            <w:r>
              <w:rPr>
                <w:rFonts w:hint="eastAsia" w:ascii="Times New Roman" w:hAnsi="Times New Roman" w:eastAsia="宋体" w:cs="Times New Roman"/>
                <w:b/>
                <w:bCs/>
                <w:color w:val="auto"/>
                <w:kern w:val="2"/>
                <w:sz w:val="24"/>
                <w:highlight w:val="none"/>
              </w:rPr>
              <w:t>（1）厂界贡献值</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kern w:val="2"/>
                <w:sz w:val="24"/>
                <w:highlight w:val="none"/>
              </w:rPr>
            </w:pPr>
            <w:r>
              <w:rPr>
                <w:rFonts w:hint="eastAsia" w:ascii="Times New Roman" w:hAnsi="Times New Roman" w:eastAsia="宋体" w:cs="Times New Roman"/>
                <w:color w:val="auto"/>
                <w:kern w:val="2"/>
                <w:sz w:val="24"/>
                <w:highlight w:val="none"/>
              </w:rPr>
              <w:t>本项目昼间噪声等声值线图：</w:t>
            </w:r>
          </w:p>
          <w:p>
            <w:pPr>
              <w:pStyle w:val="41"/>
              <w:bidi w:val="0"/>
              <w:rPr>
                <w:rFonts w:hint="eastAsia" w:ascii="Times New Roman" w:hAnsi="宋体" w:eastAsia="宋体" w:cs="宋体"/>
                <w:b/>
                <w:bCs/>
                <w:color w:val="auto"/>
                <w:sz w:val="21"/>
                <w:szCs w:val="21"/>
                <w:highlight w:val="none"/>
                <w:lang w:eastAsia="zh-CN"/>
              </w:rPr>
            </w:pPr>
            <w:r>
              <w:rPr>
                <w:rFonts w:hint="eastAsia" w:ascii="Times New Roman" w:hAnsi="宋体" w:eastAsia="宋体" w:cs="宋体"/>
                <w:b/>
                <w:bCs/>
                <w:color w:val="auto"/>
                <w:sz w:val="21"/>
                <w:szCs w:val="21"/>
                <w:highlight w:val="none"/>
                <w:lang w:eastAsia="zh-CN"/>
              </w:rPr>
              <w:drawing>
                <wp:inline distT="0" distB="0" distL="114300" distR="114300">
                  <wp:extent cx="5030470" cy="3275965"/>
                  <wp:effectExtent l="0" t="0" r="17780" b="635"/>
                  <wp:docPr id="18" name="图片 18" descr="167954057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79540574750"/>
                          <pic:cNvPicPr>
                            <a:picLocks noChangeAspect="1"/>
                          </pic:cNvPicPr>
                        </pic:nvPicPr>
                        <pic:blipFill>
                          <a:blip r:embed="rId45"/>
                          <a:stretch>
                            <a:fillRect/>
                          </a:stretch>
                        </pic:blipFill>
                        <pic:spPr>
                          <a:xfrm>
                            <a:off x="0" y="0"/>
                            <a:ext cx="5030470" cy="3275965"/>
                          </a:xfrm>
                          <a:prstGeom prst="rect">
                            <a:avLst/>
                          </a:prstGeom>
                        </pic:spPr>
                      </pic:pic>
                    </a:graphicData>
                  </a:graphic>
                </wp:inline>
              </w:drawing>
            </w:r>
          </w:p>
          <w:p>
            <w:pPr>
              <w:pStyle w:val="41"/>
              <w:bidi w:val="0"/>
              <w:rPr>
                <w:rFonts w:hint="eastAsia" w:ascii="Times New Roman" w:hAnsi="宋体" w:eastAsia="宋体" w:cs="宋体"/>
                <w:b/>
                <w:bCs/>
                <w:color w:val="auto"/>
                <w:sz w:val="21"/>
                <w:szCs w:val="21"/>
                <w:highlight w:val="none"/>
              </w:rPr>
            </w:pPr>
            <w:r>
              <w:rPr>
                <w:rFonts w:hint="eastAsia"/>
                <w:b/>
                <w:color w:val="auto"/>
                <w:sz w:val="21"/>
                <w:szCs w:val="21"/>
                <w:highlight w:val="none"/>
                <w:lang w:eastAsia="zh-CN"/>
              </w:rPr>
              <w:t>图</w:t>
            </w:r>
            <w:r>
              <w:rPr>
                <w:rFonts w:hint="eastAsia"/>
                <w:b/>
                <w:color w:val="auto"/>
                <w:sz w:val="21"/>
                <w:szCs w:val="21"/>
                <w:highlight w:val="none"/>
              </w:rPr>
              <w:t>4-1</w:t>
            </w:r>
            <w:r>
              <w:rPr>
                <w:b/>
                <w:color w:val="auto"/>
                <w:sz w:val="21"/>
                <w:szCs w:val="21"/>
                <w:highlight w:val="none"/>
              </w:rPr>
              <w:t xml:space="preserve">  </w:t>
            </w:r>
            <w:r>
              <w:rPr>
                <w:rFonts w:hint="eastAsia"/>
                <w:b/>
                <w:color w:val="auto"/>
                <w:sz w:val="21"/>
                <w:szCs w:val="21"/>
                <w:highlight w:val="none"/>
              </w:rPr>
              <w:t>昼间噪声等声值线图</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lang w:val="en-US" w:eastAsia="zh-CN"/>
              </w:rPr>
              <w:t>扩建完成后整个厂区噪声贡献值预测结果如下表示：</w:t>
            </w:r>
          </w:p>
          <w:p>
            <w:pPr>
              <w:pStyle w:val="41"/>
              <w:bidi w:val="0"/>
              <w:rPr>
                <w:rFonts w:hint="eastAsia"/>
                <w:b/>
                <w:bCs/>
                <w:color w:val="auto"/>
                <w:sz w:val="21"/>
                <w:szCs w:val="21"/>
                <w:highlight w:val="none"/>
              </w:rPr>
            </w:pPr>
            <w:r>
              <w:rPr>
                <w:rFonts w:hAnsi="宋体"/>
                <w:b/>
                <w:bCs/>
                <w:color w:val="auto"/>
                <w:sz w:val="21"/>
                <w:szCs w:val="21"/>
                <w:highlight w:val="none"/>
              </w:rPr>
              <w:t>表</w:t>
            </w:r>
            <w:r>
              <w:rPr>
                <w:rFonts w:hint="eastAsia"/>
                <w:b/>
                <w:bCs/>
                <w:color w:val="auto"/>
                <w:sz w:val="21"/>
                <w:szCs w:val="21"/>
                <w:highlight w:val="none"/>
              </w:rPr>
              <w:t>4-</w:t>
            </w:r>
            <w:r>
              <w:rPr>
                <w:rFonts w:hint="eastAsia"/>
                <w:b/>
                <w:bCs/>
                <w:color w:val="auto"/>
                <w:sz w:val="21"/>
                <w:szCs w:val="21"/>
                <w:highlight w:val="none"/>
                <w:lang w:val="en-US" w:eastAsia="zh-CN"/>
              </w:rPr>
              <w:t>12</w:t>
            </w:r>
            <w:r>
              <w:rPr>
                <w:b/>
                <w:bCs/>
                <w:color w:val="auto"/>
                <w:sz w:val="21"/>
                <w:szCs w:val="21"/>
                <w:highlight w:val="none"/>
              </w:rPr>
              <w:t xml:space="preserve">   </w:t>
            </w:r>
            <w:r>
              <w:rPr>
                <w:rFonts w:hAnsi="宋体"/>
                <w:b/>
                <w:bCs/>
                <w:color w:val="auto"/>
                <w:sz w:val="21"/>
                <w:szCs w:val="21"/>
                <w:highlight w:val="none"/>
              </w:rPr>
              <w:t>噪声预测结果</w:t>
            </w:r>
            <w:r>
              <w:rPr>
                <w:b/>
                <w:bCs/>
                <w:color w:val="auto"/>
                <w:sz w:val="21"/>
                <w:szCs w:val="21"/>
                <w:highlight w:val="none"/>
              </w:rPr>
              <w:t xml:space="preserve">     </w:t>
            </w:r>
            <w:r>
              <w:rPr>
                <w:rFonts w:hAnsi="宋体"/>
                <w:b/>
                <w:bCs/>
                <w:color w:val="auto"/>
                <w:sz w:val="21"/>
                <w:szCs w:val="21"/>
                <w:highlight w:val="none"/>
              </w:rPr>
              <w:t>单位</w:t>
            </w:r>
            <w:r>
              <w:rPr>
                <w:b/>
                <w:bCs/>
                <w:color w:val="auto"/>
                <w:sz w:val="21"/>
                <w:szCs w:val="21"/>
                <w:highlight w:val="none"/>
              </w:rPr>
              <w:t>dB(A)</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3"/>
              <w:gridCol w:w="1430"/>
              <w:gridCol w:w="2472"/>
              <w:gridCol w:w="2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blHeader/>
                <w:jc w:val="center"/>
              </w:trPr>
              <w:tc>
                <w:tcPr>
                  <w:tcW w:w="1246" w:type="pct"/>
                  <w:noWrap w:val="0"/>
                  <w:vAlign w:val="center"/>
                </w:tcPr>
                <w:p>
                  <w:pPr>
                    <w:pStyle w:val="62"/>
                    <w:jc w:val="center"/>
                    <w:rPr>
                      <w:b/>
                      <w:color w:val="auto"/>
                      <w:sz w:val="21"/>
                      <w:szCs w:val="21"/>
                      <w:highlight w:val="none"/>
                    </w:rPr>
                  </w:pPr>
                  <w:r>
                    <w:rPr>
                      <w:b/>
                      <w:color w:val="auto"/>
                      <w:sz w:val="21"/>
                      <w:szCs w:val="21"/>
                      <w:highlight w:val="none"/>
                    </w:rPr>
                    <w:t>噪声预测点</w:t>
                  </w:r>
                </w:p>
              </w:tc>
              <w:tc>
                <w:tcPr>
                  <w:tcW w:w="868" w:type="pct"/>
                  <w:noWrap w:val="0"/>
                  <w:vAlign w:val="center"/>
                </w:tcPr>
                <w:p>
                  <w:pPr>
                    <w:pStyle w:val="62"/>
                    <w:jc w:val="center"/>
                    <w:rPr>
                      <w:b/>
                      <w:color w:val="auto"/>
                      <w:sz w:val="21"/>
                      <w:szCs w:val="21"/>
                      <w:highlight w:val="none"/>
                    </w:rPr>
                  </w:pPr>
                  <w:r>
                    <w:rPr>
                      <w:b/>
                      <w:color w:val="auto"/>
                      <w:sz w:val="21"/>
                      <w:szCs w:val="21"/>
                      <w:highlight w:val="none"/>
                    </w:rPr>
                    <w:t>噪声源</w:t>
                  </w:r>
                </w:p>
              </w:tc>
              <w:tc>
                <w:tcPr>
                  <w:tcW w:w="1500" w:type="pct"/>
                  <w:noWrap w:val="0"/>
                  <w:vAlign w:val="center"/>
                </w:tcPr>
                <w:p>
                  <w:pPr>
                    <w:pStyle w:val="62"/>
                    <w:jc w:val="center"/>
                    <w:rPr>
                      <w:b/>
                      <w:color w:val="auto"/>
                      <w:sz w:val="21"/>
                      <w:szCs w:val="21"/>
                      <w:highlight w:val="none"/>
                    </w:rPr>
                  </w:pPr>
                  <w:r>
                    <w:rPr>
                      <w:b/>
                      <w:color w:val="auto"/>
                      <w:sz w:val="21"/>
                      <w:szCs w:val="21"/>
                      <w:highlight w:val="none"/>
                    </w:rPr>
                    <w:t>昼间噪声贡献值dB(A)</w:t>
                  </w:r>
                </w:p>
              </w:tc>
              <w:tc>
                <w:tcPr>
                  <w:tcW w:w="1386" w:type="pct"/>
                  <w:noWrap w:val="0"/>
                  <w:vAlign w:val="center"/>
                </w:tcPr>
                <w:p>
                  <w:pPr>
                    <w:pStyle w:val="62"/>
                    <w:jc w:val="center"/>
                    <w:rPr>
                      <w:b/>
                      <w:color w:val="auto"/>
                      <w:sz w:val="21"/>
                      <w:szCs w:val="21"/>
                      <w:highlight w:val="none"/>
                    </w:rPr>
                  </w:pPr>
                  <w:r>
                    <w:rPr>
                      <w:b/>
                      <w:color w:val="auto"/>
                      <w:sz w:val="21"/>
                      <w:szCs w:val="21"/>
                      <w:highlight w:val="none"/>
                    </w:rPr>
                    <w:t>夜间噪声贡献值dB(A)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246" w:type="pct"/>
                  <w:noWrap w:val="0"/>
                  <w:vAlign w:val="center"/>
                </w:tcPr>
                <w:p>
                  <w:pPr>
                    <w:pStyle w:val="62"/>
                    <w:jc w:val="center"/>
                    <w:rPr>
                      <w:color w:val="auto"/>
                      <w:sz w:val="21"/>
                      <w:szCs w:val="21"/>
                      <w:highlight w:val="none"/>
                    </w:rPr>
                  </w:pPr>
                  <w:r>
                    <w:rPr>
                      <w:color w:val="auto"/>
                      <w:sz w:val="21"/>
                      <w:szCs w:val="21"/>
                      <w:highlight w:val="none"/>
                    </w:rPr>
                    <w:t>1#（东面厂界）</w:t>
                  </w:r>
                </w:p>
              </w:tc>
              <w:tc>
                <w:tcPr>
                  <w:tcW w:w="868" w:type="pct"/>
                  <w:noWrap w:val="0"/>
                  <w:vAlign w:val="center"/>
                </w:tcPr>
                <w:p>
                  <w:pPr>
                    <w:pStyle w:val="62"/>
                    <w:jc w:val="center"/>
                    <w:rPr>
                      <w:color w:val="auto"/>
                      <w:sz w:val="21"/>
                      <w:szCs w:val="21"/>
                      <w:highlight w:val="none"/>
                    </w:rPr>
                  </w:pPr>
                  <w:r>
                    <w:rPr>
                      <w:color w:val="auto"/>
                      <w:sz w:val="21"/>
                      <w:szCs w:val="21"/>
                      <w:highlight w:val="none"/>
                    </w:rPr>
                    <w:t>设备噪声</w:t>
                  </w:r>
                </w:p>
              </w:tc>
              <w:tc>
                <w:tcPr>
                  <w:tcW w:w="1500" w:type="pct"/>
                  <w:noWrap w:val="0"/>
                  <w:vAlign w:val="center"/>
                </w:tcPr>
                <w:p>
                  <w:pPr>
                    <w:pStyle w:val="62"/>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62.9</w:t>
                  </w:r>
                </w:p>
              </w:tc>
              <w:tc>
                <w:tcPr>
                  <w:tcW w:w="1386" w:type="pct"/>
                  <w:noWrap w:val="0"/>
                  <w:vAlign w:val="center"/>
                </w:tcPr>
                <w:p>
                  <w:pPr>
                    <w:pStyle w:val="62"/>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6" w:type="pct"/>
                  <w:noWrap w:val="0"/>
                  <w:vAlign w:val="center"/>
                </w:tcPr>
                <w:p>
                  <w:pPr>
                    <w:pStyle w:val="62"/>
                    <w:jc w:val="center"/>
                    <w:rPr>
                      <w:color w:val="auto"/>
                      <w:sz w:val="21"/>
                      <w:szCs w:val="21"/>
                      <w:highlight w:val="none"/>
                    </w:rPr>
                  </w:pPr>
                  <w:r>
                    <w:rPr>
                      <w:color w:val="auto"/>
                      <w:sz w:val="21"/>
                      <w:szCs w:val="21"/>
                      <w:highlight w:val="none"/>
                    </w:rPr>
                    <w:t>2#（南面厂界）</w:t>
                  </w:r>
                </w:p>
              </w:tc>
              <w:tc>
                <w:tcPr>
                  <w:tcW w:w="868" w:type="pct"/>
                  <w:noWrap w:val="0"/>
                  <w:vAlign w:val="center"/>
                </w:tcPr>
                <w:p>
                  <w:pPr>
                    <w:pStyle w:val="62"/>
                    <w:jc w:val="center"/>
                    <w:rPr>
                      <w:color w:val="auto"/>
                      <w:sz w:val="21"/>
                      <w:szCs w:val="21"/>
                      <w:highlight w:val="none"/>
                    </w:rPr>
                  </w:pPr>
                  <w:r>
                    <w:rPr>
                      <w:color w:val="auto"/>
                      <w:sz w:val="21"/>
                      <w:szCs w:val="21"/>
                      <w:highlight w:val="none"/>
                    </w:rPr>
                    <w:t>设备噪声</w:t>
                  </w:r>
                </w:p>
              </w:tc>
              <w:tc>
                <w:tcPr>
                  <w:tcW w:w="1500" w:type="pct"/>
                  <w:noWrap w:val="0"/>
                  <w:vAlign w:val="center"/>
                </w:tcPr>
                <w:p>
                  <w:pPr>
                    <w:pStyle w:val="62"/>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62.2</w:t>
                  </w:r>
                </w:p>
              </w:tc>
              <w:tc>
                <w:tcPr>
                  <w:tcW w:w="1386" w:type="pct"/>
                  <w:noWrap w:val="0"/>
                  <w:vAlign w:val="center"/>
                </w:tcPr>
                <w:p>
                  <w:pPr>
                    <w:pStyle w:val="62"/>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246" w:type="pct"/>
                  <w:noWrap w:val="0"/>
                  <w:vAlign w:val="center"/>
                </w:tcPr>
                <w:p>
                  <w:pPr>
                    <w:pStyle w:val="62"/>
                    <w:jc w:val="center"/>
                    <w:rPr>
                      <w:color w:val="auto"/>
                      <w:sz w:val="21"/>
                      <w:szCs w:val="21"/>
                      <w:highlight w:val="none"/>
                    </w:rPr>
                  </w:pPr>
                  <w:r>
                    <w:rPr>
                      <w:color w:val="auto"/>
                      <w:sz w:val="21"/>
                      <w:szCs w:val="21"/>
                      <w:highlight w:val="none"/>
                    </w:rPr>
                    <w:t>3#（西面厂界）</w:t>
                  </w:r>
                </w:p>
              </w:tc>
              <w:tc>
                <w:tcPr>
                  <w:tcW w:w="868" w:type="pct"/>
                  <w:noWrap w:val="0"/>
                  <w:vAlign w:val="center"/>
                </w:tcPr>
                <w:p>
                  <w:pPr>
                    <w:pStyle w:val="62"/>
                    <w:jc w:val="center"/>
                    <w:rPr>
                      <w:color w:val="auto"/>
                      <w:sz w:val="21"/>
                      <w:szCs w:val="21"/>
                      <w:highlight w:val="none"/>
                    </w:rPr>
                  </w:pPr>
                  <w:r>
                    <w:rPr>
                      <w:color w:val="auto"/>
                      <w:sz w:val="21"/>
                      <w:szCs w:val="21"/>
                      <w:highlight w:val="none"/>
                    </w:rPr>
                    <w:t>设备噪声</w:t>
                  </w:r>
                </w:p>
              </w:tc>
              <w:tc>
                <w:tcPr>
                  <w:tcW w:w="1500" w:type="pct"/>
                  <w:noWrap w:val="0"/>
                  <w:vAlign w:val="center"/>
                </w:tcPr>
                <w:p>
                  <w:pPr>
                    <w:pStyle w:val="62"/>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46.1</w:t>
                  </w:r>
                </w:p>
              </w:tc>
              <w:tc>
                <w:tcPr>
                  <w:tcW w:w="1386" w:type="pct"/>
                  <w:noWrap w:val="0"/>
                  <w:vAlign w:val="center"/>
                </w:tcPr>
                <w:p>
                  <w:pPr>
                    <w:pStyle w:val="62"/>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6" w:type="pct"/>
                  <w:noWrap w:val="0"/>
                  <w:vAlign w:val="center"/>
                </w:tcPr>
                <w:p>
                  <w:pPr>
                    <w:pStyle w:val="62"/>
                    <w:jc w:val="center"/>
                    <w:rPr>
                      <w:color w:val="auto"/>
                      <w:sz w:val="21"/>
                      <w:szCs w:val="21"/>
                      <w:highlight w:val="none"/>
                    </w:rPr>
                  </w:pPr>
                  <w:r>
                    <w:rPr>
                      <w:color w:val="auto"/>
                      <w:sz w:val="21"/>
                      <w:szCs w:val="21"/>
                      <w:highlight w:val="none"/>
                    </w:rPr>
                    <w:t>4#（北面厂界）</w:t>
                  </w:r>
                </w:p>
              </w:tc>
              <w:tc>
                <w:tcPr>
                  <w:tcW w:w="868" w:type="pct"/>
                  <w:noWrap w:val="0"/>
                  <w:vAlign w:val="center"/>
                </w:tcPr>
                <w:p>
                  <w:pPr>
                    <w:pStyle w:val="62"/>
                    <w:jc w:val="center"/>
                    <w:rPr>
                      <w:color w:val="auto"/>
                      <w:sz w:val="21"/>
                      <w:szCs w:val="21"/>
                      <w:highlight w:val="none"/>
                    </w:rPr>
                  </w:pPr>
                  <w:r>
                    <w:rPr>
                      <w:color w:val="auto"/>
                      <w:sz w:val="21"/>
                      <w:szCs w:val="21"/>
                      <w:highlight w:val="none"/>
                    </w:rPr>
                    <w:t>设备噪声</w:t>
                  </w:r>
                </w:p>
              </w:tc>
              <w:tc>
                <w:tcPr>
                  <w:tcW w:w="1500" w:type="pct"/>
                  <w:noWrap w:val="0"/>
                  <w:vAlign w:val="center"/>
                </w:tcPr>
                <w:p>
                  <w:pPr>
                    <w:pStyle w:val="62"/>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46.8</w:t>
                  </w:r>
                </w:p>
              </w:tc>
              <w:tc>
                <w:tcPr>
                  <w:tcW w:w="1386" w:type="pct"/>
                  <w:noWrap w:val="0"/>
                  <w:vAlign w:val="center"/>
                </w:tcPr>
                <w:p>
                  <w:pPr>
                    <w:pStyle w:val="62"/>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noWrap w:val="0"/>
                  <w:vAlign w:val="center"/>
                </w:tcPr>
                <w:p>
                  <w:pPr>
                    <w:pStyle w:val="62"/>
                    <w:rPr>
                      <w:color w:val="auto"/>
                      <w:sz w:val="21"/>
                      <w:szCs w:val="21"/>
                      <w:highlight w:val="none"/>
                    </w:rPr>
                  </w:pPr>
                  <w:r>
                    <w:rPr>
                      <w:b w:val="0"/>
                      <w:bCs/>
                      <w:color w:val="auto"/>
                      <w:sz w:val="21"/>
                      <w:szCs w:val="21"/>
                      <w:highlight w:val="none"/>
                    </w:rPr>
                    <w:t>厂界最大值：</w:t>
                  </w:r>
                  <w:r>
                    <w:rPr>
                      <w:color w:val="auto"/>
                      <w:sz w:val="21"/>
                      <w:szCs w:val="21"/>
                      <w:highlight w:val="none"/>
                    </w:rPr>
                    <w:t>厂界</w:t>
                  </w:r>
                  <w:r>
                    <w:rPr>
                      <w:rFonts w:hint="eastAsia"/>
                      <w:color w:val="auto"/>
                      <w:sz w:val="21"/>
                      <w:szCs w:val="21"/>
                      <w:highlight w:val="none"/>
                      <w:lang w:eastAsia="zh-CN"/>
                    </w:rPr>
                    <w:t>东</w:t>
                  </w:r>
                  <w:r>
                    <w:rPr>
                      <w:color w:val="auto"/>
                      <w:sz w:val="21"/>
                      <w:szCs w:val="21"/>
                      <w:highlight w:val="none"/>
                    </w:rPr>
                    <w:t>面，昼间</w:t>
                  </w:r>
                  <w:r>
                    <w:rPr>
                      <w:rFonts w:hint="eastAsia"/>
                      <w:color w:val="auto"/>
                      <w:sz w:val="21"/>
                      <w:szCs w:val="21"/>
                      <w:highlight w:val="none"/>
                      <w:lang w:val="en-US" w:eastAsia="zh-CN"/>
                    </w:rPr>
                    <w:t>62.9</w:t>
                  </w:r>
                  <w:r>
                    <w:rPr>
                      <w:color w:val="auto"/>
                      <w:sz w:val="21"/>
                      <w:szCs w:val="21"/>
                      <w:highlight w:val="none"/>
                    </w:rPr>
                    <w:t>dB（A）</w:t>
                  </w:r>
                  <w:r>
                    <w:rPr>
                      <w:rFonts w:hint="eastAsia"/>
                      <w:color w:val="auto"/>
                      <w:sz w:val="21"/>
                      <w:szCs w:val="21"/>
                      <w:highlight w:val="none"/>
                      <w:lang w:eastAsia="zh-CN"/>
                    </w:rPr>
                    <w:t>，项目夜间不生产</w:t>
                  </w:r>
                  <w:r>
                    <w:rPr>
                      <w:color w:val="auto"/>
                      <w:sz w:val="21"/>
                      <w:szCs w:val="21"/>
                      <w:highlight w:val="none"/>
                    </w:rPr>
                    <w:t>。</w:t>
                  </w:r>
                </w:p>
              </w:tc>
            </w:tr>
          </w:tbl>
          <w:p>
            <w:pPr>
              <w:adjustRightInd w:val="0"/>
              <w:snapToGrid w:val="0"/>
              <w:spacing w:line="360" w:lineRule="auto"/>
              <w:ind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由上表可以看出，项目昼间噪声能满足《工业企业厂界环境噪声排放标准》（GB12348-2008）</w:t>
            </w:r>
            <w:r>
              <w:rPr>
                <w:rFonts w:hint="eastAsia" w:ascii="Times New Roman" w:hAnsi="Times New Roman" w:eastAsia="宋体" w:cs="Times New Roman"/>
                <w:bCs/>
                <w:color w:val="auto"/>
                <w:sz w:val="24"/>
                <w:highlight w:val="none"/>
                <w:lang w:val="en-US" w:eastAsia="zh-CN"/>
              </w:rPr>
              <w:t>3</w:t>
            </w:r>
            <w:r>
              <w:rPr>
                <w:rFonts w:hint="eastAsia" w:ascii="Times New Roman" w:hAnsi="Times New Roman" w:eastAsia="宋体" w:cs="Times New Roman"/>
                <w:bCs/>
                <w:color w:val="auto"/>
                <w:sz w:val="24"/>
                <w:highlight w:val="none"/>
              </w:rPr>
              <w:t>类标准（6</w:t>
            </w:r>
            <w:r>
              <w:rPr>
                <w:rFonts w:hint="eastAsia" w:ascii="Times New Roman" w:hAnsi="Times New Roman" w:eastAsia="宋体" w:cs="Times New Roman"/>
                <w:bCs/>
                <w:color w:val="auto"/>
                <w:sz w:val="24"/>
                <w:highlight w:val="none"/>
                <w:lang w:val="en-US" w:eastAsia="zh-CN"/>
              </w:rPr>
              <w:t>5</w:t>
            </w:r>
            <w:r>
              <w:rPr>
                <w:rFonts w:hint="eastAsia" w:ascii="Times New Roman" w:hAnsi="Times New Roman" w:eastAsia="宋体" w:cs="Times New Roman"/>
                <w:bCs/>
                <w:color w:val="auto"/>
                <w:sz w:val="24"/>
                <w:highlight w:val="none"/>
              </w:rPr>
              <w:t>dB（A）），做到达标排放。</w:t>
            </w:r>
          </w:p>
          <w:p>
            <w:pPr>
              <w:adjustRightInd w:val="0"/>
              <w:snapToGrid w:val="0"/>
              <w:spacing w:line="360" w:lineRule="auto"/>
              <w:ind w:firstLine="482" w:firstLineChars="200"/>
              <w:rPr>
                <w:rFonts w:hint="eastAsia" w:ascii="Times New Roman" w:hAnsi="Times New Roman" w:eastAsia="宋体" w:cs="Times New Roman"/>
                <w:b/>
                <w:bCs w:val="0"/>
                <w:color w:val="auto"/>
                <w:sz w:val="24"/>
                <w:highlight w:val="none"/>
              </w:rPr>
            </w:pPr>
            <w:r>
              <w:rPr>
                <w:rFonts w:hint="eastAsia" w:ascii="Times New Roman" w:hAnsi="Times New Roman" w:eastAsia="宋体" w:cs="Times New Roman"/>
                <w:b/>
                <w:bCs w:val="0"/>
                <w:color w:val="auto"/>
                <w:sz w:val="24"/>
                <w:highlight w:val="none"/>
              </w:rPr>
              <w:t>（2）敏感点预测结果</w:t>
            </w:r>
          </w:p>
          <w:p>
            <w:pPr>
              <w:adjustRightInd w:val="0"/>
              <w:snapToGrid w:val="0"/>
              <w:spacing w:line="360" w:lineRule="auto"/>
              <w:ind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根据现场踏勘，项目噪声评价范围内敏感点位</w:t>
            </w:r>
            <w:r>
              <w:rPr>
                <w:rFonts w:hint="eastAsia" w:ascii="Times New Roman" w:hAnsi="Times New Roman" w:eastAsia="宋体" w:cs="Times New Roman"/>
                <w:bCs/>
                <w:color w:val="auto"/>
                <w:sz w:val="24"/>
                <w:highlight w:val="none"/>
                <w:lang w:eastAsia="zh-CN"/>
              </w:rPr>
              <w:t>包括</w:t>
            </w:r>
            <w:r>
              <w:rPr>
                <w:rFonts w:hint="eastAsia" w:ascii="Times New Roman" w:hAnsi="Times New Roman" w:eastAsia="宋体" w:cs="Times New Roman"/>
                <w:bCs/>
                <w:color w:val="auto"/>
                <w:sz w:val="24"/>
                <w:highlight w:val="none"/>
              </w:rPr>
              <w:t>项目</w:t>
            </w:r>
            <w:r>
              <w:rPr>
                <w:rFonts w:hint="eastAsia" w:ascii="Times New Roman" w:hAnsi="Times New Roman" w:eastAsia="宋体" w:cs="Times New Roman"/>
                <w:bCs/>
                <w:color w:val="auto"/>
                <w:sz w:val="24"/>
                <w:highlight w:val="none"/>
                <w:lang w:eastAsia="zh-CN"/>
              </w:rPr>
              <w:t>西南侧</w:t>
            </w:r>
            <w:r>
              <w:rPr>
                <w:rFonts w:hint="eastAsia" w:ascii="Times New Roman" w:hAnsi="Times New Roman" w:eastAsia="宋体" w:cs="Times New Roman"/>
                <w:bCs/>
                <w:color w:val="auto"/>
                <w:sz w:val="24"/>
                <w:highlight w:val="none"/>
                <w:lang w:val="en-US" w:eastAsia="zh-CN"/>
              </w:rPr>
              <w:t>41m处</w:t>
            </w:r>
            <w:r>
              <w:rPr>
                <w:rFonts w:hint="eastAsia" w:ascii="Times New Roman" w:hAnsi="Times New Roman" w:eastAsia="宋体" w:cs="Times New Roman"/>
                <w:bCs/>
                <w:color w:val="auto"/>
                <w:sz w:val="24"/>
                <w:highlight w:val="none"/>
              </w:rPr>
              <w:t>居民</w:t>
            </w:r>
            <w:r>
              <w:rPr>
                <w:rFonts w:hint="eastAsia" w:ascii="Times New Roman" w:hAnsi="Times New Roman" w:eastAsia="宋体" w:cs="Times New Roman"/>
                <w:bCs/>
                <w:color w:val="auto"/>
                <w:sz w:val="24"/>
                <w:highlight w:val="none"/>
                <w:lang w:eastAsia="zh-CN"/>
              </w:rPr>
              <w:t>、西侧10m处居民、西侧22m处居民、西北侧42m处居民、北侧36m处学校</w:t>
            </w:r>
            <w:r>
              <w:rPr>
                <w:rFonts w:hint="eastAsia" w:ascii="Times New Roman" w:hAnsi="Times New Roman" w:eastAsia="宋体" w:cs="Times New Roman"/>
                <w:bCs/>
                <w:color w:val="auto"/>
                <w:sz w:val="24"/>
                <w:highlight w:val="none"/>
              </w:rPr>
              <w:t>。</w:t>
            </w:r>
          </w:p>
          <w:p>
            <w:pPr>
              <w:pStyle w:val="41"/>
              <w:bidi w:val="0"/>
              <w:rPr>
                <w:rFonts w:hint="eastAsia"/>
                <w:b/>
                <w:color w:val="auto"/>
                <w:sz w:val="21"/>
                <w:szCs w:val="21"/>
                <w:highlight w:val="none"/>
              </w:rPr>
            </w:pPr>
            <w:r>
              <w:rPr>
                <w:b/>
                <w:color w:val="auto"/>
                <w:sz w:val="21"/>
                <w:szCs w:val="21"/>
                <w:highlight w:val="none"/>
              </w:rPr>
              <w:t>表</w:t>
            </w:r>
            <w:r>
              <w:rPr>
                <w:rFonts w:hint="eastAsia"/>
                <w:b/>
                <w:color w:val="auto"/>
                <w:sz w:val="21"/>
                <w:szCs w:val="21"/>
                <w:highlight w:val="none"/>
              </w:rPr>
              <w:t>4-</w:t>
            </w:r>
            <w:r>
              <w:rPr>
                <w:rFonts w:hint="eastAsia"/>
                <w:b/>
                <w:color w:val="auto"/>
                <w:sz w:val="21"/>
                <w:szCs w:val="21"/>
                <w:highlight w:val="none"/>
                <w:lang w:val="en-US" w:eastAsia="zh-CN"/>
              </w:rPr>
              <w:t>13</w:t>
            </w:r>
            <w:r>
              <w:rPr>
                <w:b/>
                <w:color w:val="auto"/>
                <w:sz w:val="21"/>
                <w:szCs w:val="21"/>
                <w:highlight w:val="none"/>
              </w:rPr>
              <w:t xml:space="preserve">  运营期敏感点噪声影响预测结果      单位：dB(A)</w:t>
            </w:r>
          </w:p>
          <w:tbl>
            <w:tblPr>
              <w:tblStyle w:val="21"/>
              <w:tblW w:w="49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09"/>
              <w:gridCol w:w="516"/>
              <w:gridCol w:w="511"/>
              <w:gridCol w:w="516"/>
              <w:gridCol w:w="511"/>
              <w:gridCol w:w="516"/>
              <w:gridCol w:w="566"/>
              <w:gridCol w:w="517"/>
              <w:gridCol w:w="566"/>
              <w:gridCol w:w="514"/>
              <w:gridCol w:w="681"/>
              <w:gridCol w:w="514"/>
              <w:gridCol w:w="514"/>
              <w:gridCol w:w="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32" w:type="pct"/>
                  <w:vMerge w:val="restart"/>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名称</w:t>
                  </w:r>
                </w:p>
              </w:tc>
              <w:tc>
                <w:tcPr>
                  <w:tcW w:w="626" w:type="pct"/>
                  <w:gridSpan w:val="2"/>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背景值</w:t>
                  </w:r>
                </w:p>
              </w:tc>
              <w:tc>
                <w:tcPr>
                  <w:tcW w:w="628" w:type="pct"/>
                  <w:gridSpan w:val="2"/>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现状值</w:t>
                  </w:r>
                </w:p>
              </w:tc>
              <w:tc>
                <w:tcPr>
                  <w:tcW w:w="628" w:type="pct"/>
                  <w:gridSpan w:val="2"/>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噪声标准</w:t>
                  </w:r>
                </w:p>
              </w:tc>
              <w:tc>
                <w:tcPr>
                  <w:tcW w:w="662" w:type="pct"/>
                  <w:gridSpan w:val="2"/>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贡献值</w:t>
                  </w:r>
                </w:p>
              </w:tc>
              <w:tc>
                <w:tcPr>
                  <w:tcW w:w="660" w:type="pct"/>
                  <w:gridSpan w:val="2"/>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预测值</w:t>
                  </w:r>
                </w:p>
              </w:tc>
              <w:tc>
                <w:tcPr>
                  <w:tcW w:w="730" w:type="pct"/>
                  <w:gridSpan w:val="2"/>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较现状增量</w:t>
                  </w:r>
                </w:p>
              </w:tc>
              <w:tc>
                <w:tcPr>
                  <w:tcW w:w="630" w:type="pct"/>
                  <w:gridSpan w:val="2"/>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超标和达标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32" w:type="pct"/>
                  <w:vMerge w:val="continue"/>
                  <w:noWrap w:val="0"/>
                  <w:vAlign w:val="center"/>
                </w:tcPr>
                <w:p>
                  <w:pPr>
                    <w:pStyle w:val="58"/>
                    <w:jc w:val="center"/>
                    <w:rPr>
                      <w:rFonts w:ascii="Times New Roman"/>
                      <w:b/>
                      <w:bCs/>
                      <w:color w:val="auto"/>
                      <w:sz w:val="21"/>
                      <w:szCs w:val="21"/>
                      <w:highlight w:val="none"/>
                    </w:rPr>
                  </w:pPr>
                </w:p>
              </w:tc>
              <w:tc>
                <w:tcPr>
                  <w:tcW w:w="311" w:type="pct"/>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昼</w:t>
                  </w:r>
                </w:p>
              </w:tc>
              <w:tc>
                <w:tcPr>
                  <w:tcW w:w="315" w:type="pct"/>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夜</w:t>
                  </w:r>
                </w:p>
              </w:tc>
              <w:tc>
                <w:tcPr>
                  <w:tcW w:w="312" w:type="pct"/>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昼</w:t>
                  </w:r>
                </w:p>
              </w:tc>
              <w:tc>
                <w:tcPr>
                  <w:tcW w:w="315" w:type="pct"/>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夜</w:t>
                  </w:r>
                </w:p>
              </w:tc>
              <w:tc>
                <w:tcPr>
                  <w:tcW w:w="312" w:type="pct"/>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昼</w:t>
                  </w:r>
                </w:p>
              </w:tc>
              <w:tc>
                <w:tcPr>
                  <w:tcW w:w="315" w:type="pct"/>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夜</w:t>
                  </w:r>
                </w:p>
              </w:tc>
              <w:tc>
                <w:tcPr>
                  <w:tcW w:w="346" w:type="pct"/>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昼</w:t>
                  </w:r>
                </w:p>
              </w:tc>
              <w:tc>
                <w:tcPr>
                  <w:tcW w:w="316" w:type="pct"/>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夜</w:t>
                  </w:r>
                </w:p>
              </w:tc>
              <w:tc>
                <w:tcPr>
                  <w:tcW w:w="346" w:type="pct"/>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昼</w:t>
                  </w:r>
                </w:p>
              </w:tc>
              <w:tc>
                <w:tcPr>
                  <w:tcW w:w="314" w:type="pct"/>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夜</w:t>
                  </w:r>
                </w:p>
              </w:tc>
              <w:tc>
                <w:tcPr>
                  <w:tcW w:w="416" w:type="pct"/>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昼</w:t>
                  </w:r>
                </w:p>
              </w:tc>
              <w:tc>
                <w:tcPr>
                  <w:tcW w:w="314" w:type="pct"/>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夜</w:t>
                  </w:r>
                </w:p>
              </w:tc>
              <w:tc>
                <w:tcPr>
                  <w:tcW w:w="314" w:type="pct"/>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昼</w:t>
                  </w:r>
                </w:p>
              </w:tc>
              <w:tc>
                <w:tcPr>
                  <w:tcW w:w="316" w:type="pct"/>
                  <w:noWrap w:val="0"/>
                  <w:vAlign w:val="center"/>
                </w:tcPr>
                <w:p>
                  <w:pPr>
                    <w:pStyle w:val="58"/>
                    <w:jc w:val="center"/>
                    <w:rPr>
                      <w:rFonts w:ascii="Times New Roman"/>
                      <w:b/>
                      <w:bCs/>
                      <w:color w:val="auto"/>
                      <w:sz w:val="21"/>
                      <w:szCs w:val="21"/>
                      <w:highlight w:val="none"/>
                    </w:rPr>
                  </w:pPr>
                  <w:r>
                    <w:rPr>
                      <w:rFonts w:ascii="Times New Roman"/>
                      <w:b/>
                      <w:bCs/>
                      <w:color w:val="auto"/>
                      <w:sz w:val="21"/>
                      <w:szCs w:val="21"/>
                      <w:highlight w:val="none"/>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32" w:type="pct"/>
                  <w:noWrap w:val="0"/>
                  <w:vAlign w:val="center"/>
                </w:tcPr>
                <w:p>
                  <w:pPr>
                    <w:pStyle w:val="58"/>
                    <w:jc w:val="center"/>
                    <w:rPr>
                      <w:rFonts w:ascii="Times New Roman"/>
                      <w:color w:val="auto"/>
                      <w:sz w:val="21"/>
                      <w:szCs w:val="21"/>
                      <w:highlight w:val="none"/>
                    </w:rPr>
                  </w:pPr>
                  <w:r>
                    <w:rPr>
                      <w:rFonts w:hint="eastAsia" w:ascii="Times New Roman"/>
                      <w:color w:val="auto"/>
                      <w:sz w:val="21"/>
                      <w:szCs w:val="21"/>
                      <w:highlight w:val="none"/>
                    </w:rPr>
                    <w:t>西南侧41m</w:t>
                  </w:r>
                  <w:r>
                    <w:rPr>
                      <w:rFonts w:hint="eastAsia" w:ascii="Times New Roman"/>
                      <w:color w:val="auto"/>
                      <w:sz w:val="21"/>
                      <w:szCs w:val="21"/>
                      <w:highlight w:val="none"/>
                      <w:lang w:eastAsia="zh-CN"/>
                    </w:rPr>
                    <w:t>处</w:t>
                  </w:r>
                  <w:r>
                    <w:rPr>
                      <w:rFonts w:hint="eastAsia" w:ascii="Times New Roman"/>
                      <w:color w:val="auto"/>
                      <w:sz w:val="21"/>
                      <w:szCs w:val="21"/>
                      <w:highlight w:val="none"/>
                    </w:rPr>
                    <w:t>居民</w:t>
                  </w:r>
                </w:p>
              </w:tc>
              <w:tc>
                <w:tcPr>
                  <w:tcW w:w="311"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52</w:t>
                  </w:r>
                </w:p>
              </w:tc>
              <w:tc>
                <w:tcPr>
                  <w:tcW w:w="315"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47</w:t>
                  </w:r>
                </w:p>
              </w:tc>
              <w:tc>
                <w:tcPr>
                  <w:tcW w:w="312"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52</w:t>
                  </w:r>
                </w:p>
              </w:tc>
              <w:tc>
                <w:tcPr>
                  <w:tcW w:w="315"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47</w:t>
                  </w:r>
                </w:p>
              </w:tc>
              <w:tc>
                <w:tcPr>
                  <w:tcW w:w="312" w:type="pct"/>
                  <w:noWrap w:val="0"/>
                  <w:vAlign w:val="center"/>
                </w:tcPr>
                <w:p>
                  <w:pPr>
                    <w:pStyle w:val="62"/>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70</w:t>
                  </w:r>
                </w:p>
              </w:tc>
              <w:tc>
                <w:tcPr>
                  <w:tcW w:w="315"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55</w:t>
                  </w:r>
                </w:p>
              </w:tc>
              <w:tc>
                <w:tcPr>
                  <w:tcW w:w="346" w:type="pct"/>
                  <w:noWrap w:val="0"/>
                  <w:vAlign w:val="center"/>
                </w:tcPr>
                <w:p>
                  <w:pPr>
                    <w:pStyle w:val="62"/>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38.8</w:t>
                  </w:r>
                </w:p>
              </w:tc>
              <w:tc>
                <w:tcPr>
                  <w:tcW w:w="316"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46" w:type="pct"/>
                  <w:noWrap w:val="0"/>
                  <w:vAlign w:val="center"/>
                </w:tcPr>
                <w:p>
                  <w:pPr>
                    <w:pStyle w:val="62"/>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52.2</w:t>
                  </w:r>
                </w:p>
              </w:tc>
              <w:tc>
                <w:tcPr>
                  <w:tcW w:w="314"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416" w:type="pct"/>
                  <w:noWrap w:val="0"/>
                  <w:vAlign w:val="center"/>
                </w:tcPr>
                <w:p>
                  <w:pPr>
                    <w:pStyle w:val="62"/>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0.2</w:t>
                  </w:r>
                </w:p>
              </w:tc>
              <w:tc>
                <w:tcPr>
                  <w:tcW w:w="314"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314" w:type="pct"/>
                  <w:noWrap w:val="0"/>
                  <w:vAlign w:val="center"/>
                </w:tcPr>
                <w:p>
                  <w:pPr>
                    <w:pStyle w:val="62"/>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达标</w:t>
                  </w:r>
                </w:p>
              </w:tc>
              <w:tc>
                <w:tcPr>
                  <w:tcW w:w="316" w:type="pct"/>
                  <w:noWrap w:val="0"/>
                  <w:vAlign w:val="center"/>
                </w:tcPr>
                <w:p>
                  <w:pPr>
                    <w:pStyle w:val="62"/>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32" w:type="pct"/>
                  <w:noWrap w:val="0"/>
                  <w:vAlign w:val="center"/>
                </w:tcPr>
                <w:p>
                  <w:pPr>
                    <w:pStyle w:val="58"/>
                    <w:jc w:val="center"/>
                    <w:rPr>
                      <w:rFonts w:ascii="Times New Roman"/>
                      <w:color w:val="auto"/>
                      <w:sz w:val="21"/>
                      <w:szCs w:val="21"/>
                      <w:highlight w:val="none"/>
                    </w:rPr>
                  </w:pPr>
                  <w:r>
                    <w:rPr>
                      <w:rFonts w:hint="eastAsia" w:ascii="Times New Roman"/>
                      <w:color w:val="auto"/>
                      <w:sz w:val="21"/>
                      <w:szCs w:val="21"/>
                      <w:highlight w:val="none"/>
                    </w:rPr>
                    <w:t>西侧10m</w:t>
                  </w:r>
                  <w:r>
                    <w:rPr>
                      <w:rFonts w:hint="eastAsia" w:ascii="Times New Roman"/>
                      <w:color w:val="auto"/>
                      <w:sz w:val="21"/>
                      <w:szCs w:val="21"/>
                      <w:highlight w:val="none"/>
                      <w:lang w:eastAsia="zh-CN"/>
                    </w:rPr>
                    <w:t>处</w:t>
                  </w:r>
                  <w:r>
                    <w:rPr>
                      <w:rFonts w:hint="eastAsia" w:ascii="Times New Roman"/>
                      <w:color w:val="auto"/>
                      <w:sz w:val="21"/>
                      <w:szCs w:val="21"/>
                      <w:highlight w:val="none"/>
                    </w:rPr>
                    <w:t>居民</w:t>
                  </w:r>
                </w:p>
              </w:tc>
              <w:tc>
                <w:tcPr>
                  <w:tcW w:w="311"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49</w:t>
                  </w:r>
                </w:p>
              </w:tc>
              <w:tc>
                <w:tcPr>
                  <w:tcW w:w="315"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48</w:t>
                  </w:r>
                </w:p>
              </w:tc>
              <w:tc>
                <w:tcPr>
                  <w:tcW w:w="312"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49</w:t>
                  </w:r>
                </w:p>
              </w:tc>
              <w:tc>
                <w:tcPr>
                  <w:tcW w:w="315"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48</w:t>
                  </w:r>
                </w:p>
              </w:tc>
              <w:tc>
                <w:tcPr>
                  <w:tcW w:w="312" w:type="pct"/>
                  <w:noWrap w:val="0"/>
                  <w:vAlign w:val="center"/>
                </w:tcPr>
                <w:p>
                  <w:pPr>
                    <w:pStyle w:val="62"/>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60</w:t>
                  </w:r>
                </w:p>
              </w:tc>
              <w:tc>
                <w:tcPr>
                  <w:tcW w:w="315"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50</w:t>
                  </w:r>
                </w:p>
              </w:tc>
              <w:tc>
                <w:tcPr>
                  <w:tcW w:w="346" w:type="pct"/>
                  <w:noWrap w:val="0"/>
                  <w:vAlign w:val="center"/>
                </w:tcPr>
                <w:p>
                  <w:pPr>
                    <w:pStyle w:val="62"/>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45.7</w:t>
                  </w:r>
                </w:p>
              </w:tc>
              <w:tc>
                <w:tcPr>
                  <w:tcW w:w="316"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46" w:type="pct"/>
                  <w:noWrap w:val="0"/>
                  <w:vAlign w:val="center"/>
                </w:tcPr>
                <w:p>
                  <w:pPr>
                    <w:pStyle w:val="62"/>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50.7</w:t>
                  </w:r>
                </w:p>
              </w:tc>
              <w:tc>
                <w:tcPr>
                  <w:tcW w:w="314"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416" w:type="pct"/>
                  <w:noWrap w:val="0"/>
                  <w:vAlign w:val="center"/>
                </w:tcPr>
                <w:p>
                  <w:pPr>
                    <w:pStyle w:val="62"/>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1.7</w:t>
                  </w:r>
                </w:p>
              </w:tc>
              <w:tc>
                <w:tcPr>
                  <w:tcW w:w="314"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314" w:type="pct"/>
                  <w:noWrap w:val="0"/>
                  <w:vAlign w:val="center"/>
                </w:tcPr>
                <w:p>
                  <w:pPr>
                    <w:pStyle w:val="62"/>
                    <w:jc w:val="center"/>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达标</w:t>
                  </w:r>
                </w:p>
              </w:tc>
              <w:tc>
                <w:tcPr>
                  <w:tcW w:w="316" w:type="pct"/>
                  <w:noWrap w:val="0"/>
                  <w:vAlign w:val="center"/>
                </w:tcPr>
                <w:p>
                  <w:pPr>
                    <w:pStyle w:val="62"/>
                    <w:jc w:val="center"/>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32" w:type="pct"/>
                  <w:noWrap w:val="0"/>
                  <w:vAlign w:val="center"/>
                </w:tcPr>
                <w:p>
                  <w:pPr>
                    <w:pStyle w:val="58"/>
                    <w:jc w:val="center"/>
                    <w:rPr>
                      <w:rFonts w:ascii="Times New Roman"/>
                      <w:color w:val="auto"/>
                      <w:sz w:val="21"/>
                      <w:szCs w:val="21"/>
                      <w:highlight w:val="none"/>
                    </w:rPr>
                  </w:pPr>
                  <w:r>
                    <w:rPr>
                      <w:rFonts w:hint="eastAsia" w:ascii="Times New Roman"/>
                      <w:color w:val="auto"/>
                      <w:sz w:val="21"/>
                      <w:szCs w:val="21"/>
                      <w:highlight w:val="none"/>
                      <w:lang w:val="en-US" w:eastAsia="zh-CN"/>
                    </w:rPr>
                    <w:t>西侧22m</w:t>
                  </w:r>
                  <w:r>
                    <w:rPr>
                      <w:rFonts w:hint="eastAsia" w:ascii="Times New Roman"/>
                      <w:color w:val="auto"/>
                      <w:sz w:val="21"/>
                      <w:szCs w:val="21"/>
                      <w:highlight w:val="none"/>
                      <w:lang w:eastAsia="zh-CN"/>
                    </w:rPr>
                    <w:t>处</w:t>
                  </w:r>
                  <w:r>
                    <w:rPr>
                      <w:rFonts w:hint="eastAsia" w:ascii="Times New Roman"/>
                      <w:color w:val="auto"/>
                      <w:sz w:val="21"/>
                      <w:szCs w:val="21"/>
                      <w:highlight w:val="none"/>
                      <w:lang w:val="en-US" w:eastAsia="zh-CN"/>
                    </w:rPr>
                    <w:t>居民</w:t>
                  </w:r>
                </w:p>
              </w:tc>
              <w:tc>
                <w:tcPr>
                  <w:tcW w:w="311"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46</w:t>
                  </w:r>
                </w:p>
              </w:tc>
              <w:tc>
                <w:tcPr>
                  <w:tcW w:w="315"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45</w:t>
                  </w:r>
                </w:p>
              </w:tc>
              <w:tc>
                <w:tcPr>
                  <w:tcW w:w="312"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46</w:t>
                  </w:r>
                </w:p>
              </w:tc>
              <w:tc>
                <w:tcPr>
                  <w:tcW w:w="315"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45</w:t>
                  </w:r>
                </w:p>
              </w:tc>
              <w:tc>
                <w:tcPr>
                  <w:tcW w:w="312" w:type="pct"/>
                  <w:noWrap w:val="0"/>
                  <w:vAlign w:val="center"/>
                </w:tcPr>
                <w:p>
                  <w:pPr>
                    <w:pStyle w:val="62"/>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60</w:t>
                  </w:r>
                </w:p>
              </w:tc>
              <w:tc>
                <w:tcPr>
                  <w:tcW w:w="315"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50</w:t>
                  </w:r>
                </w:p>
              </w:tc>
              <w:tc>
                <w:tcPr>
                  <w:tcW w:w="346" w:type="pct"/>
                  <w:noWrap w:val="0"/>
                  <w:vAlign w:val="center"/>
                </w:tcPr>
                <w:p>
                  <w:pPr>
                    <w:pStyle w:val="62"/>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33.5</w:t>
                  </w:r>
                </w:p>
              </w:tc>
              <w:tc>
                <w:tcPr>
                  <w:tcW w:w="316"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46" w:type="pct"/>
                  <w:noWrap w:val="0"/>
                  <w:vAlign w:val="center"/>
                </w:tcPr>
                <w:p>
                  <w:pPr>
                    <w:pStyle w:val="62"/>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46.2</w:t>
                  </w:r>
                </w:p>
              </w:tc>
              <w:tc>
                <w:tcPr>
                  <w:tcW w:w="314"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416" w:type="pct"/>
                  <w:noWrap w:val="0"/>
                  <w:vAlign w:val="center"/>
                </w:tcPr>
                <w:p>
                  <w:pPr>
                    <w:pStyle w:val="62"/>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0.2</w:t>
                  </w:r>
                </w:p>
              </w:tc>
              <w:tc>
                <w:tcPr>
                  <w:tcW w:w="314"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314" w:type="pct"/>
                  <w:noWrap w:val="0"/>
                  <w:vAlign w:val="center"/>
                </w:tcPr>
                <w:p>
                  <w:pPr>
                    <w:pStyle w:val="62"/>
                    <w:jc w:val="center"/>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达标</w:t>
                  </w:r>
                </w:p>
              </w:tc>
              <w:tc>
                <w:tcPr>
                  <w:tcW w:w="316" w:type="pct"/>
                  <w:noWrap w:val="0"/>
                  <w:vAlign w:val="center"/>
                </w:tcPr>
                <w:p>
                  <w:pPr>
                    <w:pStyle w:val="62"/>
                    <w:jc w:val="center"/>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32" w:type="pct"/>
                  <w:noWrap w:val="0"/>
                  <w:vAlign w:val="center"/>
                </w:tcPr>
                <w:p>
                  <w:pPr>
                    <w:pStyle w:val="58"/>
                    <w:jc w:val="center"/>
                    <w:rPr>
                      <w:rFonts w:ascii="Times New Roman"/>
                      <w:color w:val="auto"/>
                      <w:sz w:val="21"/>
                      <w:szCs w:val="21"/>
                      <w:highlight w:val="none"/>
                    </w:rPr>
                  </w:pPr>
                  <w:r>
                    <w:rPr>
                      <w:rFonts w:hint="eastAsia" w:ascii="Times New Roman"/>
                      <w:color w:val="auto"/>
                      <w:sz w:val="21"/>
                      <w:szCs w:val="21"/>
                      <w:highlight w:val="none"/>
                    </w:rPr>
                    <w:t>西北侧42m</w:t>
                  </w:r>
                  <w:r>
                    <w:rPr>
                      <w:rFonts w:hint="eastAsia" w:ascii="Times New Roman"/>
                      <w:color w:val="auto"/>
                      <w:sz w:val="21"/>
                      <w:szCs w:val="21"/>
                      <w:highlight w:val="none"/>
                      <w:lang w:eastAsia="zh-CN"/>
                    </w:rPr>
                    <w:t>处</w:t>
                  </w:r>
                  <w:r>
                    <w:rPr>
                      <w:rFonts w:hint="eastAsia" w:ascii="Times New Roman"/>
                      <w:color w:val="auto"/>
                      <w:sz w:val="21"/>
                      <w:szCs w:val="21"/>
                      <w:highlight w:val="none"/>
                    </w:rPr>
                    <w:t>居民</w:t>
                  </w:r>
                </w:p>
              </w:tc>
              <w:tc>
                <w:tcPr>
                  <w:tcW w:w="311"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55</w:t>
                  </w:r>
                </w:p>
              </w:tc>
              <w:tc>
                <w:tcPr>
                  <w:tcW w:w="315"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47</w:t>
                  </w:r>
                </w:p>
              </w:tc>
              <w:tc>
                <w:tcPr>
                  <w:tcW w:w="312"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55</w:t>
                  </w:r>
                </w:p>
              </w:tc>
              <w:tc>
                <w:tcPr>
                  <w:tcW w:w="315"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47</w:t>
                  </w:r>
                </w:p>
              </w:tc>
              <w:tc>
                <w:tcPr>
                  <w:tcW w:w="312" w:type="pct"/>
                  <w:noWrap w:val="0"/>
                  <w:vAlign w:val="center"/>
                </w:tcPr>
                <w:p>
                  <w:pPr>
                    <w:pStyle w:val="62"/>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70</w:t>
                  </w:r>
                </w:p>
              </w:tc>
              <w:tc>
                <w:tcPr>
                  <w:tcW w:w="315"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55</w:t>
                  </w:r>
                </w:p>
              </w:tc>
              <w:tc>
                <w:tcPr>
                  <w:tcW w:w="346" w:type="pct"/>
                  <w:noWrap w:val="0"/>
                  <w:vAlign w:val="center"/>
                </w:tcPr>
                <w:p>
                  <w:pPr>
                    <w:pStyle w:val="62"/>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22.9</w:t>
                  </w:r>
                </w:p>
              </w:tc>
              <w:tc>
                <w:tcPr>
                  <w:tcW w:w="316"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46" w:type="pct"/>
                  <w:noWrap w:val="0"/>
                  <w:vAlign w:val="center"/>
                </w:tcPr>
                <w:p>
                  <w:pPr>
                    <w:pStyle w:val="62"/>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55.0</w:t>
                  </w:r>
                </w:p>
              </w:tc>
              <w:tc>
                <w:tcPr>
                  <w:tcW w:w="314"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416" w:type="pct"/>
                  <w:noWrap w:val="0"/>
                  <w:vAlign w:val="center"/>
                </w:tcPr>
                <w:p>
                  <w:pPr>
                    <w:pStyle w:val="62"/>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0.0</w:t>
                  </w:r>
                </w:p>
              </w:tc>
              <w:tc>
                <w:tcPr>
                  <w:tcW w:w="314"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314" w:type="pct"/>
                  <w:noWrap w:val="0"/>
                  <w:vAlign w:val="center"/>
                </w:tcPr>
                <w:p>
                  <w:pPr>
                    <w:pStyle w:val="62"/>
                    <w:jc w:val="center"/>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达标</w:t>
                  </w:r>
                </w:p>
              </w:tc>
              <w:tc>
                <w:tcPr>
                  <w:tcW w:w="316" w:type="pct"/>
                  <w:noWrap w:val="0"/>
                  <w:vAlign w:val="center"/>
                </w:tcPr>
                <w:p>
                  <w:pPr>
                    <w:pStyle w:val="62"/>
                    <w:jc w:val="center"/>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32" w:type="pct"/>
                  <w:noWrap w:val="0"/>
                  <w:vAlign w:val="center"/>
                </w:tcPr>
                <w:p>
                  <w:pPr>
                    <w:pStyle w:val="58"/>
                    <w:jc w:val="center"/>
                    <w:rPr>
                      <w:rFonts w:ascii="Times New Roman"/>
                      <w:color w:val="auto"/>
                      <w:sz w:val="21"/>
                      <w:szCs w:val="21"/>
                      <w:highlight w:val="none"/>
                    </w:rPr>
                  </w:pPr>
                  <w:r>
                    <w:rPr>
                      <w:rFonts w:hint="eastAsia" w:ascii="Times New Roman"/>
                      <w:color w:val="auto"/>
                      <w:sz w:val="21"/>
                      <w:szCs w:val="21"/>
                      <w:highlight w:val="none"/>
                      <w:lang w:val="en-US" w:eastAsia="zh-CN"/>
                    </w:rPr>
                    <w:t>北侧36m</w:t>
                  </w:r>
                  <w:r>
                    <w:rPr>
                      <w:rFonts w:hint="eastAsia" w:ascii="Times New Roman"/>
                      <w:color w:val="auto"/>
                      <w:sz w:val="21"/>
                      <w:szCs w:val="21"/>
                      <w:highlight w:val="none"/>
                      <w:lang w:eastAsia="zh-CN"/>
                    </w:rPr>
                    <w:t>处</w:t>
                  </w:r>
                  <w:r>
                    <w:rPr>
                      <w:rFonts w:hint="eastAsia" w:ascii="Times New Roman"/>
                      <w:color w:val="auto"/>
                      <w:sz w:val="21"/>
                      <w:szCs w:val="21"/>
                      <w:highlight w:val="none"/>
                      <w:lang w:val="en-US" w:eastAsia="zh-CN"/>
                    </w:rPr>
                    <w:t>学校</w:t>
                  </w:r>
                </w:p>
              </w:tc>
              <w:tc>
                <w:tcPr>
                  <w:tcW w:w="311"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52</w:t>
                  </w:r>
                </w:p>
              </w:tc>
              <w:tc>
                <w:tcPr>
                  <w:tcW w:w="315"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44</w:t>
                  </w:r>
                </w:p>
              </w:tc>
              <w:tc>
                <w:tcPr>
                  <w:tcW w:w="312"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52</w:t>
                  </w:r>
                </w:p>
              </w:tc>
              <w:tc>
                <w:tcPr>
                  <w:tcW w:w="315"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44</w:t>
                  </w:r>
                </w:p>
              </w:tc>
              <w:tc>
                <w:tcPr>
                  <w:tcW w:w="312" w:type="pct"/>
                  <w:noWrap w:val="0"/>
                  <w:vAlign w:val="center"/>
                </w:tcPr>
                <w:p>
                  <w:pPr>
                    <w:pStyle w:val="62"/>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60</w:t>
                  </w:r>
                </w:p>
              </w:tc>
              <w:tc>
                <w:tcPr>
                  <w:tcW w:w="315"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50</w:t>
                  </w:r>
                </w:p>
              </w:tc>
              <w:tc>
                <w:tcPr>
                  <w:tcW w:w="346" w:type="pct"/>
                  <w:noWrap w:val="0"/>
                  <w:vAlign w:val="center"/>
                </w:tcPr>
                <w:p>
                  <w:pPr>
                    <w:pStyle w:val="62"/>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20.0</w:t>
                  </w:r>
                </w:p>
              </w:tc>
              <w:tc>
                <w:tcPr>
                  <w:tcW w:w="316"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46" w:type="pct"/>
                  <w:noWrap w:val="0"/>
                  <w:vAlign w:val="center"/>
                </w:tcPr>
                <w:p>
                  <w:pPr>
                    <w:pStyle w:val="62"/>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52.0</w:t>
                  </w:r>
                </w:p>
              </w:tc>
              <w:tc>
                <w:tcPr>
                  <w:tcW w:w="314"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416" w:type="pct"/>
                  <w:noWrap w:val="0"/>
                  <w:vAlign w:val="center"/>
                </w:tcPr>
                <w:p>
                  <w:pPr>
                    <w:pStyle w:val="62"/>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0.0</w:t>
                  </w:r>
                </w:p>
              </w:tc>
              <w:tc>
                <w:tcPr>
                  <w:tcW w:w="314" w:type="pct"/>
                  <w:noWrap w:val="0"/>
                  <w:vAlign w:val="center"/>
                </w:tcPr>
                <w:p>
                  <w:pPr>
                    <w:pStyle w:val="62"/>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314" w:type="pct"/>
                  <w:noWrap w:val="0"/>
                  <w:vAlign w:val="center"/>
                </w:tcPr>
                <w:p>
                  <w:pPr>
                    <w:pStyle w:val="62"/>
                    <w:jc w:val="center"/>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达标</w:t>
                  </w:r>
                </w:p>
              </w:tc>
              <w:tc>
                <w:tcPr>
                  <w:tcW w:w="316" w:type="pct"/>
                  <w:noWrap w:val="0"/>
                  <w:vAlign w:val="center"/>
                </w:tcPr>
                <w:p>
                  <w:pPr>
                    <w:pStyle w:val="62"/>
                    <w:jc w:val="center"/>
                    <w:rPr>
                      <w:rFonts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达标</w:t>
                  </w:r>
                </w:p>
              </w:tc>
            </w:tr>
          </w:tbl>
          <w:p>
            <w:pPr>
              <w:adjustRightInd w:val="0"/>
              <w:snapToGrid w:val="0"/>
              <w:spacing w:line="360" w:lineRule="auto"/>
              <w:ind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从上表可见，评价范围内敏感点预测噪声值昼间噪声能满足《声环境质量标准》（GB3096-2008）中</w:t>
            </w:r>
            <w:r>
              <w:rPr>
                <w:rFonts w:hint="eastAsia" w:ascii="Times New Roman" w:hAnsi="Times New Roman" w:eastAsia="宋体" w:cs="Times New Roman"/>
                <w:b w:val="0"/>
                <w:bCs/>
                <w:color w:val="auto"/>
                <w:sz w:val="24"/>
                <w:highlight w:val="none"/>
              </w:rPr>
              <w:t>2类</w:t>
            </w:r>
            <w:r>
              <w:rPr>
                <w:rFonts w:hint="eastAsia" w:ascii="Times New Roman" w:hAnsi="Times New Roman" w:eastAsia="宋体" w:cs="Times New Roman"/>
                <w:bCs/>
                <w:color w:val="auto"/>
                <w:sz w:val="24"/>
                <w:highlight w:val="none"/>
              </w:rPr>
              <w:t>标准，</w:t>
            </w:r>
            <w:r>
              <w:rPr>
                <w:rFonts w:hint="eastAsia" w:cs="Times New Roman"/>
                <w:bCs/>
                <w:color w:val="auto"/>
                <w:sz w:val="24"/>
                <w:highlight w:val="none"/>
                <w:lang w:val="en-US" w:eastAsia="zh-CN"/>
              </w:rPr>
              <w:t>本项目夜间不生产，因此，</w:t>
            </w:r>
            <w:r>
              <w:rPr>
                <w:rFonts w:hint="eastAsia" w:ascii="Times New Roman" w:hAnsi="Times New Roman" w:eastAsia="宋体" w:cs="Times New Roman"/>
                <w:bCs/>
                <w:color w:val="auto"/>
                <w:sz w:val="24"/>
                <w:highlight w:val="none"/>
                <w:lang w:val="en-US" w:eastAsia="zh-CN"/>
              </w:rPr>
              <w:t>本项目运营</w:t>
            </w:r>
            <w:r>
              <w:rPr>
                <w:rFonts w:hint="eastAsia" w:ascii="Times New Roman" w:hAnsi="Times New Roman" w:eastAsia="宋体" w:cs="Times New Roman"/>
                <w:bCs/>
                <w:color w:val="auto"/>
                <w:sz w:val="24"/>
                <w:highlight w:val="none"/>
              </w:rPr>
              <w:t>对区域声环境质量影响较小。</w:t>
            </w:r>
          </w:p>
          <w:p>
            <w:pPr>
              <w:spacing w:line="360" w:lineRule="auto"/>
              <w:ind w:firstLine="482" w:firstLineChars="200"/>
              <w:rPr>
                <w:b/>
                <w:bCs/>
                <w:color w:val="auto"/>
                <w:sz w:val="24"/>
                <w:highlight w:val="none"/>
              </w:rPr>
            </w:pPr>
            <w:r>
              <w:rPr>
                <w:rFonts w:hint="eastAsia"/>
                <w:b/>
                <w:bCs/>
                <w:color w:val="auto"/>
                <w:sz w:val="24"/>
                <w:highlight w:val="none"/>
                <w:lang w:val="en-US" w:eastAsia="zh-CN"/>
              </w:rPr>
              <w:t>5</w:t>
            </w:r>
            <w:r>
              <w:rPr>
                <w:rFonts w:hint="eastAsia"/>
                <w:b/>
                <w:bCs/>
                <w:color w:val="auto"/>
                <w:sz w:val="24"/>
                <w:highlight w:val="none"/>
              </w:rPr>
              <w:t>、监测要求</w:t>
            </w:r>
          </w:p>
          <w:p>
            <w:pPr>
              <w:spacing w:line="360" w:lineRule="auto"/>
              <w:ind w:firstLine="480" w:firstLineChars="200"/>
              <w:rPr>
                <w:bCs/>
                <w:color w:val="auto"/>
                <w:sz w:val="24"/>
                <w:highlight w:val="none"/>
              </w:rPr>
            </w:pPr>
            <w:r>
              <w:rPr>
                <w:rFonts w:hint="eastAsia"/>
                <w:color w:val="auto"/>
                <w:sz w:val="24"/>
                <w:highlight w:val="none"/>
                <w:lang w:val="en-US" w:eastAsia="zh-CN"/>
              </w:rPr>
              <w:t>根据《排污单位自行监测技术指南 农副食品加工业》（HJ 986-2018）和《排污单位自行监测技术指南 火力发电及锅炉》（HJ 820-2017），</w:t>
            </w:r>
            <w:r>
              <w:rPr>
                <w:rFonts w:hint="eastAsia"/>
                <w:color w:val="auto"/>
                <w:sz w:val="24"/>
                <w:highlight w:val="none"/>
              </w:rPr>
              <w:t>企业应定期委托组织具有监测资质的单位开展</w:t>
            </w:r>
            <w:r>
              <w:rPr>
                <w:rFonts w:hint="eastAsia"/>
                <w:color w:val="auto"/>
                <w:sz w:val="24"/>
                <w:highlight w:val="none"/>
                <w:lang w:val="en-US" w:eastAsia="zh-CN"/>
              </w:rPr>
              <w:t>噪声</w:t>
            </w:r>
            <w:r>
              <w:rPr>
                <w:rFonts w:hint="eastAsia"/>
                <w:color w:val="auto"/>
                <w:sz w:val="24"/>
                <w:highlight w:val="none"/>
              </w:rPr>
              <w:t>监测。</w:t>
            </w:r>
          </w:p>
          <w:p>
            <w:pPr>
              <w:adjustRightInd w:val="0"/>
              <w:snapToGrid w:val="0"/>
              <w:spacing w:line="360" w:lineRule="auto"/>
              <w:jc w:val="center"/>
              <w:rPr>
                <w:rFonts w:hint="eastAsia"/>
                <w:b/>
                <w:bCs/>
                <w:color w:val="auto"/>
                <w:kern w:val="0"/>
                <w:szCs w:val="21"/>
                <w:highlight w:val="none"/>
                <w:lang w:val="zh-CN"/>
              </w:rPr>
            </w:pPr>
            <w:r>
              <w:rPr>
                <w:rFonts w:hint="eastAsia"/>
                <w:b/>
                <w:bCs/>
                <w:color w:val="auto"/>
                <w:kern w:val="0"/>
                <w:szCs w:val="21"/>
                <w:highlight w:val="none"/>
                <w:lang w:val="zh-CN"/>
              </w:rPr>
              <w:t>表</w:t>
            </w:r>
            <w:r>
              <w:rPr>
                <w:rFonts w:hint="eastAsia"/>
                <w:b/>
                <w:bCs/>
                <w:color w:val="auto"/>
                <w:kern w:val="0"/>
                <w:szCs w:val="21"/>
                <w:highlight w:val="none"/>
              </w:rPr>
              <w:t>4</w:t>
            </w:r>
            <w:r>
              <w:rPr>
                <w:rFonts w:hint="eastAsia"/>
                <w:b/>
                <w:bCs/>
                <w:color w:val="auto"/>
                <w:kern w:val="0"/>
                <w:szCs w:val="21"/>
                <w:highlight w:val="none"/>
                <w:lang w:val="zh-CN"/>
              </w:rPr>
              <w:t>-</w:t>
            </w:r>
            <w:r>
              <w:rPr>
                <w:rFonts w:hint="eastAsia"/>
                <w:b/>
                <w:bCs/>
                <w:color w:val="auto"/>
                <w:kern w:val="0"/>
                <w:szCs w:val="21"/>
                <w:highlight w:val="none"/>
              </w:rPr>
              <w:t>1</w:t>
            </w:r>
            <w:r>
              <w:rPr>
                <w:rFonts w:hint="eastAsia"/>
                <w:b/>
                <w:bCs/>
                <w:color w:val="auto"/>
                <w:kern w:val="0"/>
                <w:szCs w:val="21"/>
                <w:highlight w:val="none"/>
                <w:lang w:val="en-US" w:eastAsia="zh-CN"/>
              </w:rPr>
              <w:t>4</w:t>
            </w:r>
            <w:r>
              <w:rPr>
                <w:rFonts w:hint="eastAsia"/>
                <w:b/>
                <w:bCs/>
                <w:color w:val="auto"/>
                <w:kern w:val="0"/>
                <w:szCs w:val="21"/>
                <w:highlight w:val="none"/>
              </w:rPr>
              <w:t xml:space="preserve">  </w:t>
            </w:r>
            <w:r>
              <w:rPr>
                <w:rFonts w:hint="eastAsia"/>
                <w:b/>
                <w:bCs/>
                <w:color w:val="auto"/>
                <w:kern w:val="0"/>
                <w:szCs w:val="21"/>
                <w:highlight w:val="none"/>
                <w:lang w:val="zh-CN"/>
              </w:rPr>
              <w:t>本项目营运期</w:t>
            </w:r>
            <w:r>
              <w:rPr>
                <w:rFonts w:hint="eastAsia"/>
                <w:b/>
                <w:bCs/>
                <w:color w:val="auto"/>
                <w:kern w:val="0"/>
                <w:szCs w:val="21"/>
                <w:highlight w:val="none"/>
              </w:rPr>
              <w:t>噪声</w:t>
            </w:r>
            <w:r>
              <w:rPr>
                <w:rFonts w:hint="eastAsia"/>
                <w:b/>
                <w:bCs/>
                <w:color w:val="auto"/>
                <w:kern w:val="0"/>
                <w:szCs w:val="21"/>
                <w:highlight w:val="none"/>
                <w:lang w:val="zh-CN"/>
              </w:rPr>
              <w:t>监测要求</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1"/>
              <w:gridCol w:w="2087"/>
              <w:gridCol w:w="1716"/>
              <w:gridCol w:w="1417"/>
              <w:gridCol w:w="2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2" w:hRule="atLeast"/>
                <w:jc w:val="center"/>
              </w:trPr>
              <w:tc>
                <w:tcPr>
                  <w:tcW w:w="571" w:type="pct"/>
                  <w:noWrap w:val="0"/>
                  <w:vAlign w:val="center"/>
                </w:tcPr>
                <w:p>
                  <w:pPr>
                    <w:pStyle w:val="59"/>
                    <w:spacing w:line="240" w:lineRule="auto"/>
                    <w:rPr>
                      <w:rFonts w:hint="eastAsia"/>
                      <w:b/>
                      <w:bCs/>
                      <w:color w:val="auto"/>
                      <w:highlight w:val="none"/>
                    </w:rPr>
                  </w:pPr>
                  <w:r>
                    <w:rPr>
                      <w:rFonts w:hint="eastAsia"/>
                      <w:b/>
                      <w:bCs/>
                      <w:color w:val="auto"/>
                      <w:highlight w:val="none"/>
                    </w:rPr>
                    <w:t>项目</w:t>
                  </w:r>
                </w:p>
              </w:tc>
              <w:tc>
                <w:tcPr>
                  <w:tcW w:w="1266" w:type="pct"/>
                  <w:noWrap w:val="0"/>
                  <w:vAlign w:val="center"/>
                </w:tcPr>
                <w:p>
                  <w:pPr>
                    <w:pStyle w:val="59"/>
                    <w:spacing w:line="240" w:lineRule="auto"/>
                    <w:rPr>
                      <w:rFonts w:hint="eastAsia"/>
                      <w:b/>
                      <w:bCs/>
                      <w:color w:val="auto"/>
                      <w:highlight w:val="none"/>
                    </w:rPr>
                  </w:pPr>
                  <w:r>
                    <w:rPr>
                      <w:rFonts w:hint="eastAsia"/>
                      <w:b/>
                      <w:bCs/>
                      <w:color w:val="auto"/>
                      <w:highlight w:val="none"/>
                    </w:rPr>
                    <w:t>监测点</w:t>
                  </w:r>
                </w:p>
              </w:tc>
              <w:tc>
                <w:tcPr>
                  <w:tcW w:w="1041" w:type="pct"/>
                  <w:noWrap w:val="0"/>
                  <w:vAlign w:val="center"/>
                </w:tcPr>
                <w:p>
                  <w:pPr>
                    <w:pStyle w:val="59"/>
                    <w:spacing w:line="240" w:lineRule="auto"/>
                    <w:rPr>
                      <w:b/>
                      <w:bCs/>
                      <w:color w:val="auto"/>
                      <w:highlight w:val="none"/>
                    </w:rPr>
                  </w:pPr>
                  <w:r>
                    <w:rPr>
                      <w:rFonts w:hint="eastAsia"/>
                      <w:b/>
                      <w:bCs/>
                      <w:color w:val="auto"/>
                      <w:highlight w:val="none"/>
                    </w:rPr>
                    <w:t>监测因子</w:t>
                  </w:r>
                </w:p>
              </w:tc>
              <w:tc>
                <w:tcPr>
                  <w:tcW w:w="860" w:type="pct"/>
                  <w:noWrap w:val="0"/>
                  <w:vAlign w:val="center"/>
                </w:tcPr>
                <w:p>
                  <w:pPr>
                    <w:pStyle w:val="59"/>
                    <w:spacing w:line="240" w:lineRule="auto"/>
                    <w:rPr>
                      <w:rFonts w:hint="eastAsia"/>
                      <w:b/>
                      <w:bCs/>
                      <w:color w:val="auto"/>
                      <w:highlight w:val="none"/>
                    </w:rPr>
                  </w:pPr>
                  <w:r>
                    <w:rPr>
                      <w:rFonts w:hint="eastAsia"/>
                      <w:b/>
                      <w:bCs/>
                      <w:color w:val="auto"/>
                      <w:highlight w:val="none"/>
                    </w:rPr>
                    <w:t>监测频次</w:t>
                  </w:r>
                </w:p>
              </w:tc>
              <w:tc>
                <w:tcPr>
                  <w:tcW w:w="1259" w:type="pct"/>
                  <w:noWrap w:val="0"/>
                  <w:vAlign w:val="center"/>
                </w:tcPr>
                <w:p>
                  <w:pPr>
                    <w:pStyle w:val="59"/>
                    <w:spacing w:line="240" w:lineRule="auto"/>
                    <w:rPr>
                      <w:rFonts w:hint="default" w:eastAsia="宋体"/>
                      <w:b/>
                      <w:bCs/>
                      <w:color w:val="auto"/>
                      <w:highlight w:val="none"/>
                      <w:lang w:val="en-US" w:eastAsia="zh-CN"/>
                    </w:rPr>
                  </w:pPr>
                  <w:r>
                    <w:rPr>
                      <w:rFonts w:hint="eastAsia"/>
                      <w:b/>
                      <w:bCs/>
                      <w:color w:val="auto"/>
                      <w:highlight w:val="none"/>
                      <w:lang w:val="en-US" w:eastAsia="zh-CN"/>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571" w:type="pct"/>
                  <w:noWrap w:val="0"/>
                  <w:vAlign w:val="center"/>
                </w:tcPr>
                <w:p>
                  <w:pPr>
                    <w:pStyle w:val="59"/>
                    <w:spacing w:line="240" w:lineRule="auto"/>
                    <w:rPr>
                      <w:color w:val="auto"/>
                      <w:highlight w:val="none"/>
                    </w:rPr>
                  </w:pPr>
                  <w:r>
                    <w:rPr>
                      <w:rFonts w:hint="eastAsia"/>
                      <w:color w:val="auto"/>
                      <w:highlight w:val="none"/>
                      <w:lang w:val="en-US" w:eastAsia="zh-CN"/>
                    </w:rPr>
                    <w:t>厂界</w:t>
                  </w:r>
                  <w:r>
                    <w:rPr>
                      <w:rFonts w:hint="eastAsia"/>
                      <w:color w:val="auto"/>
                      <w:highlight w:val="none"/>
                    </w:rPr>
                    <w:t>噪声</w:t>
                  </w:r>
                </w:p>
              </w:tc>
              <w:tc>
                <w:tcPr>
                  <w:tcW w:w="1266" w:type="pct"/>
                  <w:noWrap w:val="0"/>
                  <w:vAlign w:val="center"/>
                </w:tcPr>
                <w:p>
                  <w:pPr>
                    <w:pStyle w:val="59"/>
                    <w:spacing w:line="240" w:lineRule="auto"/>
                    <w:rPr>
                      <w:color w:val="auto"/>
                      <w:highlight w:val="none"/>
                    </w:rPr>
                  </w:pPr>
                  <w:r>
                    <w:rPr>
                      <w:rFonts w:hint="eastAsia"/>
                      <w:color w:val="auto"/>
                      <w:highlight w:val="none"/>
                    </w:rPr>
                    <w:t>厂界四周各布置1个监测点</w:t>
                  </w:r>
                </w:p>
              </w:tc>
              <w:tc>
                <w:tcPr>
                  <w:tcW w:w="1041" w:type="pct"/>
                  <w:noWrap w:val="0"/>
                  <w:vAlign w:val="center"/>
                </w:tcPr>
                <w:p>
                  <w:pPr>
                    <w:pStyle w:val="59"/>
                    <w:spacing w:line="240" w:lineRule="auto"/>
                    <w:rPr>
                      <w:rFonts w:hint="eastAsia"/>
                      <w:color w:val="auto"/>
                      <w:highlight w:val="none"/>
                    </w:rPr>
                  </w:pPr>
                  <w:r>
                    <w:rPr>
                      <w:rFonts w:hint="eastAsia"/>
                      <w:color w:val="auto"/>
                      <w:highlight w:val="none"/>
                    </w:rPr>
                    <w:t>等效连续A声级</w:t>
                  </w:r>
                </w:p>
              </w:tc>
              <w:tc>
                <w:tcPr>
                  <w:tcW w:w="860" w:type="pct"/>
                  <w:noWrap w:val="0"/>
                  <w:vAlign w:val="center"/>
                </w:tcPr>
                <w:p>
                  <w:pPr>
                    <w:pStyle w:val="59"/>
                    <w:spacing w:line="240" w:lineRule="auto"/>
                    <w:rPr>
                      <w:rFonts w:hint="default" w:eastAsia="宋体"/>
                      <w:color w:val="auto"/>
                      <w:highlight w:val="none"/>
                      <w:lang w:val="en-US" w:eastAsia="zh-CN"/>
                    </w:rPr>
                  </w:pPr>
                  <w:r>
                    <w:rPr>
                      <w:rFonts w:hint="eastAsia"/>
                      <w:color w:val="auto"/>
                      <w:highlight w:val="none"/>
                    </w:rPr>
                    <w:t>季度</w:t>
                  </w:r>
                  <w:r>
                    <w:rPr>
                      <w:rFonts w:hint="eastAsia"/>
                      <w:color w:val="auto"/>
                      <w:highlight w:val="none"/>
                      <w:lang w:eastAsia="zh-CN"/>
                    </w:rPr>
                    <w:t>、</w:t>
                  </w:r>
                  <w:r>
                    <w:rPr>
                      <w:rFonts w:hint="eastAsia"/>
                      <w:color w:val="auto"/>
                      <w:highlight w:val="none"/>
                      <w:lang w:val="en-US" w:eastAsia="zh-CN"/>
                    </w:rPr>
                    <w:t>昼间</w:t>
                  </w:r>
                </w:p>
              </w:tc>
              <w:tc>
                <w:tcPr>
                  <w:tcW w:w="1259" w:type="pct"/>
                  <w:noWrap w:val="0"/>
                  <w:vAlign w:val="center"/>
                </w:tcPr>
                <w:p>
                  <w:pPr>
                    <w:pStyle w:val="59"/>
                    <w:spacing w:line="240" w:lineRule="auto"/>
                    <w:rPr>
                      <w:rFonts w:hint="eastAsia"/>
                      <w:color w:val="auto"/>
                      <w:highlight w:val="none"/>
                    </w:rPr>
                  </w:pPr>
                  <w:r>
                    <w:rPr>
                      <w:rFonts w:hint="eastAsia"/>
                      <w:color w:val="auto"/>
                      <w:highlight w:val="none"/>
                    </w:rPr>
                    <w:t>《工业企业厂界环境噪声排放标准》（GB12348-2008）</w:t>
                  </w:r>
                </w:p>
              </w:tc>
            </w:tr>
          </w:tbl>
          <w:p>
            <w:pPr>
              <w:widowControl/>
              <w:snapToGrid w:val="0"/>
              <w:spacing w:line="360" w:lineRule="auto"/>
              <w:rPr>
                <w:rFonts w:hint="eastAsia"/>
                <w:b/>
                <w:bCs/>
                <w:color w:val="auto"/>
                <w:sz w:val="24"/>
                <w:highlight w:val="none"/>
              </w:rPr>
            </w:pPr>
            <w:r>
              <w:rPr>
                <w:rFonts w:hint="eastAsia"/>
                <w:b/>
                <w:bCs/>
                <w:color w:val="auto"/>
                <w:sz w:val="24"/>
                <w:highlight w:val="none"/>
                <w:lang w:val="en-US" w:eastAsia="zh-CN"/>
              </w:rPr>
              <w:t>四</w:t>
            </w:r>
            <w:r>
              <w:rPr>
                <w:rFonts w:hint="eastAsia"/>
                <w:b/>
                <w:bCs/>
                <w:color w:val="auto"/>
                <w:sz w:val="24"/>
                <w:highlight w:val="none"/>
              </w:rPr>
              <w:t>、固体废物环境影响和保护措施</w:t>
            </w:r>
          </w:p>
          <w:p>
            <w:pPr>
              <w:widowControl/>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项目产生的固体废物包括一般固废和危险废物。</w:t>
            </w:r>
          </w:p>
          <w:p>
            <w:pPr>
              <w:spacing w:line="360" w:lineRule="auto"/>
              <w:ind w:firstLine="482" w:firstLineChars="200"/>
              <w:rPr>
                <w:rFonts w:hint="default" w:eastAsia="宋体"/>
                <w:b/>
                <w:bCs/>
                <w:color w:val="auto"/>
                <w:sz w:val="24"/>
                <w:highlight w:val="none"/>
                <w:lang w:val="en-US" w:eastAsia="zh-CN"/>
              </w:rPr>
            </w:pPr>
            <w:r>
              <w:rPr>
                <w:rFonts w:hint="eastAsia"/>
                <w:b/>
                <w:bCs/>
                <w:color w:val="auto"/>
                <w:sz w:val="24"/>
                <w:highlight w:val="none"/>
              </w:rPr>
              <w:t>1、</w:t>
            </w:r>
            <w:r>
              <w:rPr>
                <w:rFonts w:hint="eastAsia"/>
                <w:b/>
                <w:bCs/>
                <w:color w:val="auto"/>
                <w:sz w:val="24"/>
                <w:highlight w:val="none"/>
                <w:lang w:val="en-US" w:eastAsia="zh-CN"/>
              </w:rPr>
              <w:t>固体废物产生量及处理方式</w:t>
            </w:r>
          </w:p>
          <w:p>
            <w:pPr>
              <w:spacing w:line="360" w:lineRule="auto"/>
              <w:ind w:firstLine="480" w:firstLineChars="200"/>
              <w:rPr>
                <w:color w:val="auto"/>
                <w:sz w:val="24"/>
                <w:highlight w:val="none"/>
              </w:rPr>
            </w:pPr>
            <w:r>
              <w:rPr>
                <w:rFonts w:hint="eastAsia"/>
                <w:color w:val="auto"/>
                <w:sz w:val="24"/>
                <w:highlight w:val="none"/>
              </w:rPr>
              <w:t>①</w:t>
            </w:r>
            <w:r>
              <w:rPr>
                <w:color w:val="auto"/>
                <w:sz w:val="24"/>
                <w:highlight w:val="none"/>
              </w:rPr>
              <w:t>生活垃圾</w:t>
            </w:r>
          </w:p>
          <w:p>
            <w:pPr>
              <w:spacing w:line="360" w:lineRule="auto"/>
              <w:ind w:firstLine="480" w:firstLineChars="200"/>
              <w:rPr>
                <w:color w:val="auto"/>
                <w:sz w:val="24"/>
                <w:highlight w:val="none"/>
              </w:rPr>
            </w:pPr>
            <w:r>
              <w:rPr>
                <w:color w:val="auto"/>
                <w:sz w:val="24"/>
                <w:highlight w:val="none"/>
              </w:rPr>
              <w:t>本项目</w:t>
            </w:r>
            <w:r>
              <w:rPr>
                <w:rFonts w:hint="eastAsia"/>
                <w:color w:val="auto"/>
                <w:sz w:val="24"/>
                <w:highlight w:val="none"/>
                <w:lang w:val="en-US" w:eastAsia="zh-CN"/>
              </w:rPr>
              <w:t>新增</w:t>
            </w:r>
            <w:r>
              <w:rPr>
                <w:color w:val="auto"/>
                <w:sz w:val="24"/>
                <w:highlight w:val="none"/>
              </w:rPr>
              <w:t>职工定员</w:t>
            </w:r>
            <w:r>
              <w:rPr>
                <w:rFonts w:hint="eastAsia"/>
                <w:color w:val="auto"/>
                <w:sz w:val="24"/>
                <w:highlight w:val="none"/>
                <w:lang w:val="en-US" w:eastAsia="zh-CN"/>
              </w:rPr>
              <w:t>80</w:t>
            </w:r>
            <w:r>
              <w:rPr>
                <w:color w:val="auto"/>
                <w:sz w:val="24"/>
                <w:highlight w:val="none"/>
              </w:rPr>
              <w:t>人，年工作时间为</w:t>
            </w:r>
            <w:r>
              <w:rPr>
                <w:rFonts w:hint="eastAsia"/>
                <w:color w:val="auto"/>
                <w:sz w:val="24"/>
                <w:highlight w:val="none"/>
              </w:rPr>
              <w:t>300</w:t>
            </w:r>
            <w:r>
              <w:rPr>
                <w:color w:val="auto"/>
                <w:sz w:val="24"/>
                <w:highlight w:val="none"/>
              </w:rPr>
              <w:t>天，生活垃圾产生量按0.5kg/人·天计，产生的生活垃圾量为</w:t>
            </w:r>
            <w:r>
              <w:rPr>
                <w:rFonts w:hint="eastAsia"/>
                <w:color w:val="auto"/>
                <w:sz w:val="24"/>
                <w:highlight w:val="none"/>
                <w:lang w:val="en-US" w:eastAsia="zh-CN"/>
              </w:rPr>
              <w:t>12</w:t>
            </w:r>
            <w:r>
              <w:rPr>
                <w:color w:val="auto"/>
                <w:sz w:val="24"/>
                <w:highlight w:val="none"/>
              </w:rPr>
              <w:t>t/a。生活垃圾定点分类收集袋装后由环卫部门清运处理。</w:t>
            </w:r>
          </w:p>
          <w:p>
            <w:pPr>
              <w:widowControl/>
              <w:snapToGrid w:val="0"/>
              <w:spacing w:line="360" w:lineRule="auto"/>
              <w:ind w:firstLine="480" w:firstLineChars="200"/>
              <w:rPr>
                <w:color w:val="auto"/>
                <w:kern w:val="0"/>
                <w:sz w:val="24"/>
                <w:highlight w:val="none"/>
              </w:rPr>
            </w:pPr>
            <w:r>
              <w:rPr>
                <w:rFonts w:hint="eastAsia"/>
                <w:color w:val="auto"/>
                <w:kern w:val="0"/>
                <w:sz w:val="24"/>
                <w:highlight w:val="none"/>
              </w:rPr>
              <w:t>②废包装材料</w:t>
            </w:r>
          </w:p>
          <w:p>
            <w:pPr>
              <w:widowControl/>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项目使用包装袋和纸箱</w:t>
            </w:r>
            <w:r>
              <w:rPr>
                <w:rFonts w:hint="eastAsia"/>
                <w:color w:val="auto"/>
                <w:kern w:val="0"/>
                <w:sz w:val="24"/>
                <w:highlight w:val="none"/>
                <w:lang w:val="en-US" w:eastAsia="zh-CN"/>
              </w:rPr>
              <w:t>等</w:t>
            </w:r>
            <w:r>
              <w:rPr>
                <w:rFonts w:hint="eastAsia"/>
                <w:color w:val="auto"/>
                <w:kern w:val="0"/>
                <w:sz w:val="24"/>
                <w:highlight w:val="none"/>
              </w:rPr>
              <w:t>进行包装，会产生废包装材料，根据建设单位提供的资料，废包装材料产生量约为</w:t>
            </w:r>
            <w:r>
              <w:rPr>
                <w:rFonts w:hint="eastAsia"/>
                <w:color w:val="auto"/>
                <w:kern w:val="0"/>
                <w:sz w:val="24"/>
                <w:highlight w:val="none"/>
                <w:lang w:val="en-US" w:eastAsia="zh-CN"/>
              </w:rPr>
              <w:t>5</w:t>
            </w:r>
            <w:r>
              <w:rPr>
                <w:rFonts w:hint="eastAsia"/>
                <w:color w:val="auto"/>
                <w:kern w:val="0"/>
                <w:sz w:val="24"/>
                <w:highlight w:val="none"/>
              </w:rPr>
              <w:t>t/a。废包装材料</w:t>
            </w:r>
            <w:r>
              <w:rPr>
                <w:color w:val="auto"/>
                <w:sz w:val="24"/>
                <w:highlight w:val="none"/>
              </w:rPr>
              <w:t>集中收集后，</w:t>
            </w:r>
            <w:r>
              <w:rPr>
                <w:rFonts w:hint="eastAsia"/>
                <w:color w:val="auto"/>
                <w:kern w:val="0"/>
                <w:sz w:val="24"/>
                <w:highlight w:val="none"/>
              </w:rPr>
              <w:t>外售废品回收站。</w:t>
            </w:r>
          </w:p>
          <w:p>
            <w:pPr>
              <w:widowControl/>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③不合格品</w:t>
            </w:r>
          </w:p>
          <w:p>
            <w:pPr>
              <w:widowControl/>
              <w:snapToGrid w:val="0"/>
              <w:spacing w:line="360" w:lineRule="auto"/>
              <w:ind w:firstLine="480" w:firstLineChars="200"/>
              <w:rPr>
                <w:color w:val="auto"/>
                <w:kern w:val="0"/>
                <w:sz w:val="24"/>
                <w:highlight w:val="none"/>
              </w:rPr>
            </w:pPr>
            <w:r>
              <w:rPr>
                <w:rFonts w:hint="eastAsia"/>
                <w:color w:val="auto"/>
                <w:kern w:val="0"/>
                <w:sz w:val="24"/>
                <w:highlight w:val="none"/>
              </w:rPr>
              <w:t>本项目</w:t>
            </w:r>
            <w:r>
              <w:rPr>
                <w:rFonts w:hint="eastAsia"/>
                <w:color w:val="auto"/>
                <w:kern w:val="0"/>
                <w:sz w:val="24"/>
                <w:highlight w:val="none"/>
                <w:lang w:val="en-US" w:eastAsia="zh-CN"/>
              </w:rPr>
              <w:t>检验时</w:t>
            </w:r>
            <w:r>
              <w:rPr>
                <w:rFonts w:hint="eastAsia"/>
                <w:color w:val="auto"/>
                <w:kern w:val="0"/>
                <w:sz w:val="24"/>
                <w:highlight w:val="none"/>
              </w:rPr>
              <w:t>会产生不合格品，根据建设单位提供的资料，</w:t>
            </w:r>
            <w:r>
              <w:rPr>
                <w:rFonts w:hint="eastAsia"/>
                <w:color w:val="auto"/>
                <w:kern w:val="0"/>
                <w:sz w:val="24"/>
                <w:highlight w:val="none"/>
                <w:lang w:val="en-US" w:eastAsia="zh-CN"/>
              </w:rPr>
              <w:t>产品的</w:t>
            </w:r>
            <w:r>
              <w:rPr>
                <w:rFonts w:hint="eastAsia"/>
                <w:color w:val="auto"/>
                <w:kern w:val="0"/>
                <w:sz w:val="24"/>
                <w:highlight w:val="none"/>
              </w:rPr>
              <w:t>不合格品</w:t>
            </w:r>
            <w:r>
              <w:rPr>
                <w:rFonts w:hint="eastAsia"/>
                <w:color w:val="auto"/>
                <w:kern w:val="0"/>
                <w:sz w:val="24"/>
                <w:highlight w:val="none"/>
                <w:lang w:val="en-US" w:eastAsia="zh-CN"/>
              </w:rPr>
              <w:t>率约为产量的0.5</w:t>
            </w:r>
            <w:r>
              <w:rPr>
                <w:rFonts w:hint="default" w:ascii="Times New Roman" w:hAnsi="Times New Roman" w:cs="Times New Roman"/>
                <w:color w:val="auto"/>
                <w:kern w:val="0"/>
                <w:sz w:val="24"/>
                <w:highlight w:val="none"/>
                <w:lang w:val="en-US" w:eastAsia="zh-CN"/>
              </w:rPr>
              <w:t>‰</w:t>
            </w:r>
            <w:r>
              <w:rPr>
                <w:rFonts w:hint="eastAsia"/>
                <w:color w:val="auto"/>
                <w:kern w:val="0"/>
                <w:sz w:val="24"/>
                <w:highlight w:val="none"/>
                <w:lang w:val="en-US" w:eastAsia="zh-CN"/>
              </w:rPr>
              <w:t>，即散装称量豆干不合格量约为1.5t/a，手撕素肉不合格量约为0.25t/a。因此，本项目不合格品</w:t>
            </w:r>
            <w:r>
              <w:rPr>
                <w:rFonts w:hint="eastAsia"/>
                <w:color w:val="auto"/>
                <w:kern w:val="0"/>
                <w:sz w:val="24"/>
                <w:highlight w:val="none"/>
              </w:rPr>
              <w:t>产生量约为</w:t>
            </w:r>
            <w:r>
              <w:rPr>
                <w:rFonts w:hint="eastAsia"/>
                <w:color w:val="auto"/>
                <w:kern w:val="0"/>
                <w:sz w:val="24"/>
                <w:highlight w:val="none"/>
                <w:lang w:val="en-US" w:eastAsia="zh-CN"/>
              </w:rPr>
              <w:t>1.75</w:t>
            </w:r>
            <w:r>
              <w:rPr>
                <w:rFonts w:hint="eastAsia"/>
                <w:color w:val="auto"/>
                <w:kern w:val="0"/>
                <w:sz w:val="24"/>
                <w:highlight w:val="none"/>
              </w:rPr>
              <w:t>t/a。不合格品</w:t>
            </w:r>
            <w:r>
              <w:rPr>
                <w:color w:val="auto"/>
                <w:sz w:val="24"/>
                <w:highlight w:val="none"/>
              </w:rPr>
              <w:t>集中收集后，</w:t>
            </w:r>
            <w:r>
              <w:rPr>
                <w:rFonts w:hint="eastAsia"/>
                <w:bCs/>
                <w:color w:val="auto"/>
                <w:sz w:val="24"/>
                <w:highlight w:val="none"/>
              </w:rPr>
              <w:t>由环卫部门统一清运处理</w:t>
            </w:r>
            <w:r>
              <w:rPr>
                <w:color w:val="auto"/>
                <w:sz w:val="24"/>
                <w:highlight w:val="none"/>
              </w:rPr>
              <w:t>。</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rPr>
            </w:pPr>
            <w:r>
              <w:rPr>
                <w:rFonts w:hint="eastAsia" w:ascii="Times New Roman" w:hAnsi="Times New Roman" w:eastAsia="宋体" w:cs="Times New Roman"/>
                <w:color w:val="auto"/>
                <w:sz w:val="24"/>
                <w:highlight w:val="none"/>
                <w:lang w:val="en-US" w:eastAsia="zh-CN"/>
              </w:rPr>
              <w:t>④餐厨垃圾及隔油池废油</w:t>
            </w:r>
          </w:p>
          <w:p>
            <w:pPr>
              <w:spacing w:line="360" w:lineRule="auto"/>
              <w:ind w:firstLine="480" w:firstLineChars="200"/>
              <w:rPr>
                <w:bCs/>
                <w:color w:val="auto"/>
                <w:sz w:val="24"/>
                <w:highlight w:val="none"/>
              </w:rPr>
            </w:pPr>
            <w:r>
              <w:rPr>
                <w:bCs/>
                <w:color w:val="auto"/>
                <w:sz w:val="24"/>
                <w:highlight w:val="none"/>
              </w:rPr>
              <w:t>根据《环境科学与技术》2010年S2期中《北京市餐厨垃圾产生量调查分析》（张保霞、付婉霞）的调查结果：餐饮业、食堂和居民家庭人均餐厨垃圾产生量分别为0.4kg/人·次、0.45kg/人·d和0.49kg/人·d，本项目取0.45kg/人·d，食堂用餐人数</w:t>
            </w:r>
            <w:r>
              <w:rPr>
                <w:rFonts w:hint="eastAsia"/>
                <w:bCs/>
                <w:color w:val="auto"/>
                <w:sz w:val="24"/>
                <w:highlight w:val="none"/>
                <w:lang w:val="en-US" w:eastAsia="zh-CN"/>
              </w:rPr>
              <w:t>新增8</w:t>
            </w:r>
            <w:r>
              <w:rPr>
                <w:bCs/>
                <w:color w:val="auto"/>
                <w:sz w:val="24"/>
                <w:highlight w:val="none"/>
              </w:rPr>
              <w:t>0人/d，则本项目产生的餐厨垃圾约为</w:t>
            </w:r>
            <w:r>
              <w:rPr>
                <w:rFonts w:hint="eastAsia"/>
                <w:bCs/>
                <w:color w:val="auto"/>
                <w:sz w:val="24"/>
                <w:highlight w:val="none"/>
                <w:lang w:val="en-US" w:eastAsia="zh-CN"/>
              </w:rPr>
              <w:t>10.8</w:t>
            </w:r>
            <w:r>
              <w:rPr>
                <w:bCs/>
                <w:color w:val="auto"/>
                <w:sz w:val="24"/>
                <w:highlight w:val="none"/>
              </w:rPr>
              <w:t>t/a。</w:t>
            </w:r>
            <w:r>
              <w:rPr>
                <w:rFonts w:hint="eastAsia"/>
                <w:bCs/>
                <w:color w:val="auto"/>
                <w:sz w:val="24"/>
                <w:highlight w:val="none"/>
                <w:lang w:val="en-US" w:eastAsia="zh-CN"/>
              </w:rPr>
              <w:t>食堂</w:t>
            </w:r>
            <w:r>
              <w:rPr>
                <w:bCs/>
                <w:color w:val="auto"/>
                <w:sz w:val="24"/>
                <w:highlight w:val="none"/>
              </w:rPr>
              <w:t>隔油池处理食堂废水后会产生</w:t>
            </w:r>
            <w:r>
              <w:rPr>
                <w:rFonts w:hint="eastAsia"/>
                <w:bCs/>
                <w:color w:val="auto"/>
                <w:sz w:val="24"/>
                <w:highlight w:val="none"/>
                <w:lang w:val="en-US" w:eastAsia="zh-CN"/>
              </w:rPr>
              <w:t>废</w:t>
            </w:r>
            <w:r>
              <w:rPr>
                <w:bCs/>
                <w:color w:val="auto"/>
                <w:sz w:val="24"/>
                <w:highlight w:val="none"/>
              </w:rPr>
              <w:t>油脂，产生量约为</w:t>
            </w:r>
            <w:r>
              <w:rPr>
                <w:rFonts w:hint="eastAsia"/>
                <w:bCs/>
                <w:color w:val="auto"/>
                <w:sz w:val="24"/>
                <w:highlight w:val="none"/>
                <w:lang w:val="en-US" w:eastAsia="zh-CN"/>
              </w:rPr>
              <w:t>2</w:t>
            </w:r>
            <w:r>
              <w:rPr>
                <w:bCs/>
                <w:color w:val="auto"/>
                <w:sz w:val="24"/>
                <w:highlight w:val="none"/>
              </w:rPr>
              <w:t>t/a，餐厨垃圾及</w:t>
            </w:r>
            <w:r>
              <w:rPr>
                <w:rFonts w:hint="eastAsia"/>
                <w:bCs/>
                <w:color w:val="auto"/>
                <w:sz w:val="24"/>
                <w:highlight w:val="none"/>
              </w:rPr>
              <w:t>食堂</w:t>
            </w:r>
            <w:r>
              <w:rPr>
                <w:bCs/>
                <w:color w:val="auto"/>
                <w:sz w:val="24"/>
                <w:highlight w:val="none"/>
              </w:rPr>
              <w:t>隔油池废油脂一共产生量约为</w:t>
            </w:r>
            <w:r>
              <w:rPr>
                <w:rFonts w:hint="eastAsia"/>
                <w:bCs/>
                <w:color w:val="auto"/>
                <w:sz w:val="24"/>
                <w:highlight w:val="none"/>
                <w:lang w:val="en-US" w:eastAsia="zh-CN"/>
              </w:rPr>
              <w:t>12.8</w:t>
            </w:r>
            <w:r>
              <w:rPr>
                <w:bCs/>
                <w:color w:val="auto"/>
                <w:sz w:val="24"/>
                <w:highlight w:val="none"/>
              </w:rPr>
              <w:t>t/a，</w:t>
            </w:r>
            <w:r>
              <w:rPr>
                <w:rFonts w:hint="eastAsia" w:ascii="Times New Roman" w:hAnsi="Times New Roman" w:eastAsia="宋体" w:cs="Times New Roman"/>
                <w:color w:val="auto"/>
                <w:sz w:val="24"/>
                <w:highlight w:val="none"/>
                <w:lang w:val="en-US" w:eastAsia="zh-CN"/>
              </w:rPr>
              <w:t>收集后</w:t>
            </w:r>
            <w:r>
              <w:rPr>
                <w:rFonts w:hint="eastAsia"/>
                <w:bCs/>
                <w:color w:val="auto"/>
                <w:sz w:val="24"/>
                <w:highlight w:val="none"/>
              </w:rPr>
              <w:t>由</w:t>
            </w:r>
            <w:r>
              <w:rPr>
                <w:rFonts w:hint="eastAsia"/>
                <w:bCs/>
                <w:color w:val="auto"/>
                <w:sz w:val="24"/>
                <w:highlight w:val="none"/>
                <w:lang w:val="en-US" w:eastAsia="zh-CN"/>
              </w:rPr>
              <w:t>柳林镇垃圾处理站（光辉发电厂）</w:t>
            </w:r>
            <w:r>
              <w:rPr>
                <w:rFonts w:hint="eastAsia"/>
                <w:bCs/>
                <w:color w:val="auto"/>
                <w:sz w:val="24"/>
                <w:highlight w:val="none"/>
              </w:rPr>
              <w:t>统一清运处理</w:t>
            </w:r>
            <w:r>
              <w:rPr>
                <w:bCs/>
                <w:color w:val="auto"/>
                <w:sz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⑤</w:t>
            </w:r>
            <w:r>
              <w:rPr>
                <w:rFonts w:hint="eastAsia" w:ascii="Times New Roman" w:hAnsi="Times New Roman" w:eastAsia="宋体" w:cs="Times New Roman"/>
                <w:color w:val="auto"/>
                <w:sz w:val="24"/>
                <w:highlight w:val="none"/>
                <w:lang w:val="en-US" w:eastAsia="zh-CN"/>
              </w:rPr>
              <w:t>废植物油</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本项目生产手撕素肉油炸后进行压榨，压榨出多余的植物油，会产生废植物油，产生量约为使用量的</w:t>
            </w:r>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0%，压榨植物油用量为</w:t>
            </w:r>
            <w:r>
              <w:rPr>
                <w:rFonts w:hint="eastAsia"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0t/a，因此，本项目废植物油产生量约为15t/a。废植物油收集后</w:t>
            </w:r>
            <w:r>
              <w:rPr>
                <w:rFonts w:hint="eastAsia"/>
                <w:bCs/>
                <w:color w:val="auto"/>
                <w:sz w:val="24"/>
                <w:highlight w:val="none"/>
              </w:rPr>
              <w:t>由</w:t>
            </w:r>
            <w:r>
              <w:rPr>
                <w:rFonts w:hint="eastAsia"/>
                <w:bCs/>
                <w:color w:val="auto"/>
                <w:sz w:val="24"/>
                <w:highlight w:val="none"/>
                <w:lang w:val="en-US" w:eastAsia="zh-CN"/>
              </w:rPr>
              <w:t>柳林镇垃圾处理站（光辉发电厂）</w:t>
            </w:r>
            <w:r>
              <w:rPr>
                <w:rFonts w:hint="eastAsia"/>
                <w:bCs/>
                <w:color w:val="auto"/>
                <w:sz w:val="24"/>
                <w:highlight w:val="none"/>
              </w:rPr>
              <w:t>统一清运处理</w:t>
            </w:r>
            <w:r>
              <w:rPr>
                <w:bCs/>
                <w:color w:val="auto"/>
                <w:sz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⑥</w:t>
            </w:r>
            <w:r>
              <w:rPr>
                <w:rFonts w:hint="eastAsia" w:ascii="Times New Roman" w:hAnsi="Times New Roman" w:eastAsia="宋体" w:cs="Times New Roman"/>
                <w:color w:val="auto"/>
                <w:sz w:val="24"/>
                <w:highlight w:val="none"/>
                <w:lang w:val="en-US" w:eastAsia="zh-CN"/>
              </w:rPr>
              <w:t>废油纸</w:t>
            </w:r>
          </w:p>
          <w:p>
            <w:pPr>
              <w:widowControl/>
              <w:snapToGrid w:val="0"/>
              <w:spacing w:line="360" w:lineRule="auto"/>
              <w:ind w:firstLine="480" w:firstLineChars="200"/>
              <w:rPr>
                <w:color w:val="auto"/>
                <w:kern w:val="0"/>
                <w:sz w:val="24"/>
                <w:highlight w:val="none"/>
              </w:rPr>
            </w:pPr>
            <w:r>
              <w:rPr>
                <w:rFonts w:hint="eastAsia" w:ascii="Times New Roman" w:hAnsi="Times New Roman" w:eastAsia="宋体" w:cs="Times New Roman"/>
                <w:color w:val="auto"/>
                <w:sz w:val="24"/>
                <w:highlight w:val="none"/>
                <w:lang w:val="en-US" w:eastAsia="zh-CN"/>
              </w:rPr>
              <w:t>本项目生产散装称量豆干斩拌时需在</w:t>
            </w:r>
            <w:r>
              <w:rPr>
                <w:rFonts w:hint="eastAsia" w:ascii="Times New Roman" w:hAnsi="Times New Roman" w:eastAsia="宋体" w:cs="Times New Roman"/>
                <w:b w:val="0"/>
                <w:bCs w:val="0"/>
                <w:color w:val="auto"/>
                <w:sz w:val="24"/>
                <w:highlight w:val="none"/>
                <w:lang w:val="en-US" w:eastAsia="zh-CN"/>
              </w:rPr>
              <w:t>冰盘铺上油纸并涂抹均匀植物油，</w:t>
            </w:r>
            <w:r>
              <w:rPr>
                <w:rFonts w:hint="eastAsia" w:ascii="Times New Roman" w:hAnsi="Times New Roman" w:eastAsia="宋体" w:cs="Times New Roman"/>
                <w:color w:val="auto"/>
                <w:sz w:val="24"/>
                <w:highlight w:val="none"/>
                <w:lang w:val="en-US" w:eastAsia="zh-CN"/>
              </w:rPr>
              <w:t>废油纸产生量约为0.05t/a。废油纸</w:t>
            </w:r>
            <w:r>
              <w:rPr>
                <w:color w:val="auto"/>
                <w:sz w:val="24"/>
                <w:highlight w:val="none"/>
              </w:rPr>
              <w:t>集中收集后，</w:t>
            </w:r>
            <w:r>
              <w:rPr>
                <w:rFonts w:hint="eastAsia"/>
                <w:bCs/>
                <w:color w:val="auto"/>
                <w:sz w:val="24"/>
                <w:highlight w:val="none"/>
              </w:rPr>
              <w:t>由环卫部门统一清运处理</w:t>
            </w:r>
            <w:r>
              <w:rPr>
                <w:color w:val="auto"/>
                <w:sz w:val="24"/>
                <w:highlight w:val="none"/>
              </w:rPr>
              <w:t>。</w:t>
            </w:r>
          </w:p>
          <w:p>
            <w:pPr>
              <w:adjustRightInd w:val="0"/>
              <w:snapToGrid w:val="0"/>
              <w:spacing w:line="360" w:lineRule="auto"/>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⑦</w:t>
            </w:r>
            <w:r>
              <w:rPr>
                <w:rFonts w:hint="eastAsia" w:ascii="Times New Roman" w:hAnsi="Times New Roman" w:eastAsia="宋体" w:cs="Times New Roman"/>
                <w:bCs/>
                <w:color w:val="auto"/>
                <w:sz w:val="24"/>
                <w:highlight w:val="none"/>
                <w:lang w:val="en-US" w:eastAsia="zh-CN"/>
              </w:rPr>
              <w:t>栅渣</w:t>
            </w:r>
          </w:p>
          <w:p>
            <w:pPr>
              <w:adjustRightInd w:val="0"/>
              <w:snapToGrid w:val="0"/>
              <w:spacing w:line="360" w:lineRule="auto"/>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本项目依托现有污水处理站，污水处理时格栅拦截会产生栅渣，产生量约为3t/a。栅渣收集后由环卫部门统一清运处理。</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⑧</w:t>
            </w:r>
            <w:r>
              <w:rPr>
                <w:rFonts w:hint="eastAsia" w:ascii="Times New Roman" w:hAnsi="Times New Roman" w:eastAsia="宋体" w:cs="Times New Roman"/>
                <w:bCs/>
                <w:color w:val="auto"/>
                <w:sz w:val="24"/>
                <w:highlight w:val="none"/>
                <w:lang w:val="en-US" w:eastAsia="zh-CN"/>
              </w:rPr>
              <w:t>污泥</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本项目依托现有</w:t>
            </w:r>
            <w:r>
              <w:rPr>
                <w:rFonts w:hint="eastAsia" w:cs="Times New Roman"/>
                <w:bCs/>
                <w:color w:val="auto"/>
                <w:sz w:val="24"/>
                <w:highlight w:val="none"/>
                <w:lang w:val="en-US" w:eastAsia="zh-CN"/>
              </w:rPr>
              <w:t>预处理池和</w:t>
            </w:r>
            <w:r>
              <w:rPr>
                <w:rFonts w:hint="eastAsia" w:ascii="Times New Roman" w:hAnsi="Times New Roman" w:eastAsia="宋体" w:cs="Times New Roman"/>
                <w:bCs/>
                <w:color w:val="auto"/>
                <w:sz w:val="24"/>
                <w:highlight w:val="none"/>
                <w:lang w:val="en-US" w:eastAsia="zh-CN"/>
              </w:rPr>
              <w:t>污水处理站，污水处理时会产生污泥</w:t>
            </w:r>
            <w:r>
              <w:rPr>
                <w:rFonts w:hint="eastAsia"/>
                <w:color w:val="auto"/>
                <w:sz w:val="24"/>
                <w:highlight w:val="none"/>
                <w:lang w:val="en-US" w:eastAsia="zh-CN"/>
              </w:rPr>
              <w:t>，</w:t>
            </w:r>
            <w:r>
              <w:rPr>
                <w:bCs/>
                <w:color w:val="auto"/>
                <w:sz w:val="24"/>
                <w:highlight w:val="none"/>
              </w:rPr>
              <w:t>污泥产生量按8kg/100m</w:t>
            </w:r>
            <w:r>
              <w:rPr>
                <w:rFonts w:hint="eastAsia"/>
                <w:bCs/>
                <w:color w:val="auto"/>
                <w:sz w:val="24"/>
                <w:highlight w:val="none"/>
                <w:vertAlign w:val="superscript"/>
              </w:rPr>
              <w:t>3</w:t>
            </w:r>
            <w:r>
              <w:rPr>
                <w:bCs/>
                <w:color w:val="auto"/>
                <w:sz w:val="24"/>
                <w:highlight w:val="none"/>
              </w:rPr>
              <w:t>（废水）计，本项目废水年总排量为</w:t>
            </w:r>
            <w:r>
              <w:rPr>
                <w:rFonts w:hint="eastAsia"/>
                <w:color w:val="auto"/>
                <w:sz w:val="24"/>
                <w:highlight w:val="none"/>
                <w:lang w:val="en-US" w:eastAsia="zh-CN"/>
              </w:rPr>
              <w:t>27722.3</w:t>
            </w:r>
            <w:r>
              <w:rPr>
                <w:bCs/>
                <w:color w:val="auto"/>
                <w:sz w:val="24"/>
                <w:highlight w:val="none"/>
              </w:rPr>
              <w:t>m</w:t>
            </w:r>
            <w:r>
              <w:rPr>
                <w:rFonts w:hint="eastAsia"/>
                <w:bCs/>
                <w:color w:val="auto"/>
                <w:sz w:val="24"/>
                <w:highlight w:val="none"/>
                <w:vertAlign w:val="superscript"/>
              </w:rPr>
              <w:t>3</w:t>
            </w:r>
            <w:r>
              <w:rPr>
                <w:bCs/>
                <w:color w:val="auto"/>
                <w:sz w:val="24"/>
                <w:highlight w:val="none"/>
              </w:rPr>
              <w:t>/a。因此，预处理池污泥产生量约为</w:t>
            </w:r>
            <w:r>
              <w:rPr>
                <w:rFonts w:hint="eastAsia"/>
                <w:bCs/>
                <w:color w:val="auto"/>
                <w:sz w:val="24"/>
                <w:highlight w:val="none"/>
                <w:lang w:val="en-US" w:eastAsia="zh-CN"/>
              </w:rPr>
              <w:t>2.22</w:t>
            </w:r>
            <w:r>
              <w:rPr>
                <w:bCs/>
                <w:color w:val="auto"/>
                <w:sz w:val="24"/>
                <w:highlight w:val="none"/>
              </w:rPr>
              <w:t>t/a</w:t>
            </w:r>
            <w:r>
              <w:rPr>
                <w:rFonts w:hint="eastAsia" w:ascii="Times New Roman" w:hAnsi="Times New Roman" w:eastAsia="宋体" w:cs="Times New Roman"/>
                <w:bCs/>
                <w:color w:val="auto"/>
                <w:sz w:val="24"/>
                <w:highlight w:val="none"/>
                <w:lang w:val="en-US" w:eastAsia="zh-CN"/>
              </w:rPr>
              <w:t>。污泥</w:t>
            </w:r>
            <w:r>
              <w:rPr>
                <w:rFonts w:hint="eastAsia" w:ascii="Times New Roman" w:hAnsi="Times New Roman" w:eastAsia="宋体" w:cs="Times New Roman"/>
                <w:color w:val="auto"/>
                <w:sz w:val="24"/>
                <w:highlight w:val="none"/>
                <w:lang w:val="en-US" w:eastAsia="zh-CN"/>
              </w:rPr>
              <w:t>由环卫部门定期清掏处理。</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⑨废离子交换树脂</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kern w:val="2"/>
                <w:sz w:val="24"/>
                <w:highlight w:val="none"/>
              </w:rPr>
            </w:pPr>
            <w:r>
              <w:rPr>
                <w:rFonts w:hint="eastAsia" w:ascii="Times New Roman" w:hAnsi="Times New Roman" w:eastAsia="宋体" w:cs="Times New Roman"/>
                <w:color w:val="auto"/>
                <w:sz w:val="24"/>
                <w:highlight w:val="none"/>
                <w:lang w:val="en-US" w:eastAsia="zh-CN"/>
              </w:rPr>
              <w:t>锅炉的离子交换树脂不能再生时需进行更换，产生废离子交换树脂，产生量约为0.5t/a。废离子交换树脂</w:t>
            </w:r>
            <w:r>
              <w:rPr>
                <w:rFonts w:hint="eastAsia" w:ascii="Times New Roman" w:hAnsi="Times New Roman" w:eastAsia="宋体" w:cs="Times New Roman"/>
                <w:bCs/>
                <w:color w:val="auto"/>
                <w:sz w:val="24"/>
                <w:highlight w:val="none"/>
                <w:lang w:val="en-US" w:eastAsia="zh-CN"/>
              </w:rPr>
              <w:t>收集后由环卫部门统一清运处理。</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⑩废机油</w:t>
            </w:r>
          </w:p>
          <w:p>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color w:val="auto"/>
                <w:sz w:val="24"/>
                <w:highlight w:val="none"/>
              </w:rPr>
              <w:t>本项目设备维修维护过程使用机油，</w:t>
            </w:r>
            <w:r>
              <w:rPr>
                <w:rFonts w:hint="eastAsia"/>
                <w:color w:val="auto"/>
                <w:sz w:val="24"/>
                <w:highlight w:val="none"/>
              </w:rPr>
              <w:t>会产生废机油，</w:t>
            </w:r>
            <w:r>
              <w:rPr>
                <w:color w:val="auto"/>
                <w:sz w:val="24"/>
                <w:highlight w:val="none"/>
              </w:rPr>
              <w:t>产生量约为0.</w:t>
            </w:r>
            <w:r>
              <w:rPr>
                <w:rFonts w:hint="eastAsia"/>
                <w:color w:val="auto"/>
                <w:sz w:val="24"/>
                <w:highlight w:val="none"/>
                <w:lang w:val="en-US" w:eastAsia="zh-CN"/>
              </w:rPr>
              <w:t>03</w:t>
            </w:r>
            <w:r>
              <w:rPr>
                <w:color w:val="auto"/>
                <w:sz w:val="24"/>
                <w:highlight w:val="none"/>
              </w:rPr>
              <w:t>t/a。对照《国家危险废物名录（2021年版）》，废机油属</w:t>
            </w:r>
            <w:r>
              <w:rPr>
                <w:rFonts w:hint="eastAsia"/>
                <w:color w:val="auto"/>
                <w:sz w:val="24"/>
                <w:highlight w:val="none"/>
              </w:rPr>
              <w:t>于</w:t>
            </w:r>
            <w:r>
              <w:rPr>
                <w:color w:val="auto"/>
                <w:sz w:val="24"/>
                <w:highlight w:val="none"/>
              </w:rPr>
              <w:t>HW08</w:t>
            </w:r>
            <w:r>
              <w:rPr>
                <w:rFonts w:hint="eastAsia" w:ascii="宋体" w:hAnsi="宋体" w:cs="宋体"/>
                <w:color w:val="auto"/>
                <w:sz w:val="24"/>
                <w:highlight w:val="none"/>
              </w:rPr>
              <w:t>废矿物油与含矿物油废物</w:t>
            </w:r>
            <w:r>
              <w:rPr>
                <w:color w:val="auto"/>
                <w:sz w:val="24"/>
                <w:highlight w:val="none"/>
              </w:rPr>
              <w:t>，废物代码900-2</w:t>
            </w:r>
            <w:r>
              <w:rPr>
                <w:rFonts w:hint="eastAsia"/>
                <w:color w:val="auto"/>
                <w:sz w:val="24"/>
                <w:highlight w:val="none"/>
                <w:lang w:val="en-US" w:eastAsia="zh-CN"/>
              </w:rPr>
              <w:t>49</w:t>
            </w:r>
            <w:r>
              <w:rPr>
                <w:color w:val="auto"/>
                <w:sz w:val="24"/>
                <w:highlight w:val="none"/>
              </w:rPr>
              <w:t>-08。</w:t>
            </w:r>
            <w:r>
              <w:rPr>
                <w:rFonts w:hint="eastAsia"/>
                <w:color w:val="auto"/>
                <w:sz w:val="24"/>
                <w:highlight w:val="none"/>
              </w:rPr>
              <w:t>废机油暂存于危废暂存间，交由有资质的单位处理。</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⑪</w:t>
            </w:r>
            <w:r>
              <w:rPr>
                <w:rFonts w:hint="eastAsia" w:ascii="Times New Roman" w:hAnsi="Times New Roman" w:eastAsia="宋体" w:cs="Times New Roman"/>
                <w:color w:val="auto"/>
                <w:sz w:val="24"/>
                <w:highlight w:val="none"/>
                <w:lang w:val="en-US" w:eastAsia="zh-CN"/>
              </w:rPr>
              <w:t>废机油桶</w:t>
            </w:r>
          </w:p>
          <w:p>
            <w:pPr>
              <w:spacing w:line="360" w:lineRule="auto"/>
              <w:ind w:firstLine="480" w:firstLineChars="200"/>
              <w:jc w:val="left"/>
              <w:rPr>
                <w:rFonts w:hint="eastAsia"/>
                <w:color w:val="auto"/>
                <w:sz w:val="24"/>
                <w:highlight w:val="none"/>
              </w:rPr>
            </w:pPr>
            <w:r>
              <w:rPr>
                <w:color w:val="auto"/>
                <w:sz w:val="24"/>
                <w:highlight w:val="none"/>
              </w:rPr>
              <w:t>本项目设备维修维护过程使用机油后将产生废包装桶，产生量约为0.0</w:t>
            </w:r>
            <w:r>
              <w:rPr>
                <w:rFonts w:hint="eastAsia"/>
                <w:color w:val="auto"/>
                <w:sz w:val="24"/>
                <w:highlight w:val="none"/>
              </w:rPr>
              <w:t>1</w:t>
            </w:r>
            <w:r>
              <w:rPr>
                <w:color w:val="auto"/>
                <w:sz w:val="24"/>
                <w:highlight w:val="none"/>
              </w:rPr>
              <w:t>t/a。对照《国家危险废物名录（2021年版）》，废机油桶属</w:t>
            </w:r>
            <w:r>
              <w:rPr>
                <w:rFonts w:hint="eastAsia"/>
                <w:color w:val="auto"/>
                <w:sz w:val="24"/>
                <w:highlight w:val="none"/>
              </w:rPr>
              <w:t>于</w:t>
            </w:r>
            <w:r>
              <w:rPr>
                <w:color w:val="auto"/>
                <w:sz w:val="24"/>
                <w:highlight w:val="none"/>
              </w:rPr>
              <w:t>HW08</w:t>
            </w:r>
            <w:r>
              <w:rPr>
                <w:rFonts w:hint="eastAsia" w:ascii="宋体" w:hAnsi="宋体" w:cs="宋体"/>
                <w:color w:val="auto"/>
                <w:sz w:val="24"/>
                <w:highlight w:val="none"/>
              </w:rPr>
              <w:t>废矿物油与含矿物油废物</w:t>
            </w:r>
            <w:r>
              <w:rPr>
                <w:color w:val="auto"/>
                <w:sz w:val="24"/>
                <w:highlight w:val="none"/>
              </w:rPr>
              <w:t>，废物代码</w:t>
            </w:r>
            <w:r>
              <w:rPr>
                <w:rFonts w:hint="eastAsia"/>
                <w:color w:val="auto"/>
                <w:sz w:val="24"/>
                <w:highlight w:val="none"/>
              </w:rPr>
              <w:t>900-249-08</w:t>
            </w:r>
            <w:r>
              <w:rPr>
                <w:color w:val="auto"/>
                <w:sz w:val="24"/>
                <w:highlight w:val="none"/>
              </w:rPr>
              <w:t>。废机油桶</w:t>
            </w:r>
            <w:r>
              <w:rPr>
                <w:rFonts w:hint="eastAsia"/>
                <w:color w:val="auto"/>
                <w:sz w:val="24"/>
                <w:highlight w:val="none"/>
              </w:rPr>
              <w:t>暂存于危废暂存间，交由有资质的单位处理。</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kern w:val="2"/>
                <w:sz w:val="24"/>
                <w:highlight w:val="none"/>
              </w:rPr>
              <w:t>⑫</w:t>
            </w:r>
            <w:r>
              <w:rPr>
                <w:rFonts w:hint="default" w:ascii="Times New Roman" w:hAnsi="Times New Roman" w:eastAsia="宋体" w:cs="Times New Roman"/>
                <w:color w:val="auto"/>
                <w:sz w:val="24"/>
                <w:highlight w:val="none"/>
                <w:lang w:val="en-US" w:eastAsia="zh-CN"/>
              </w:rPr>
              <w:t>废含油抹</w:t>
            </w:r>
            <w:r>
              <w:rPr>
                <w:rFonts w:hint="eastAsia" w:ascii="Times New Roman" w:hAnsi="Times New Roman" w:eastAsia="宋体" w:cs="Times New Roman"/>
                <w:color w:val="auto"/>
                <w:sz w:val="24"/>
                <w:highlight w:val="none"/>
                <w:lang w:val="en-US" w:eastAsia="zh-CN"/>
              </w:rPr>
              <w:t>布、手套</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color w:val="auto"/>
                <w:sz w:val="24"/>
                <w:highlight w:val="none"/>
              </w:rPr>
              <w:t>本项目设备维修维护过程使用机油，工人维修维护中使用的抹布、手套将会沾染机油。废含油抹布、手套产生量约为0.0</w:t>
            </w:r>
            <w:r>
              <w:rPr>
                <w:rFonts w:hint="eastAsia"/>
                <w:color w:val="auto"/>
                <w:sz w:val="24"/>
                <w:highlight w:val="none"/>
                <w:lang w:val="en-US" w:eastAsia="zh-CN"/>
              </w:rPr>
              <w:t>1</w:t>
            </w:r>
            <w:r>
              <w:rPr>
                <w:color w:val="auto"/>
                <w:sz w:val="24"/>
                <w:highlight w:val="none"/>
              </w:rPr>
              <w:t>t/a。对照《国家危险废物名录（2021年版）》，废含油抹布、手套属</w:t>
            </w:r>
            <w:r>
              <w:rPr>
                <w:rFonts w:hint="eastAsia"/>
                <w:color w:val="auto"/>
                <w:sz w:val="24"/>
                <w:highlight w:val="none"/>
              </w:rPr>
              <w:t>于</w:t>
            </w:r>
            <w:r>
              <w:rPr>
                <w:color w:val="auto"/>
                <w:sz w:val="24"/>
                <w:highlight w:val="none"/>
              </w:rPr>
              <w:t>HW49</w:t>
            </w:r>
            <w:r>
              <w:rPr>
                <w:rFonts w:hint="eastAsia" w:ascii="宋体" w:hAnsi="宋体" w:cs="宋体"/>
                <w:color w:val="auto"/>
                <w:sz w:val="24"/>
                <w:highlight w:val="none"/>
              </w:rPr>
              <w:t>其他废物</w:t>
            </w:r>
            <w:r>
              <w:rPr>
                <w:color w:val="auto"/>
                <w:sz w:val="24"/>
                <w:highlight w:val="none"/>
              </w:rPr>
              <w:t>，废物代码900-041-49。废含油抹布、手套</w:t>
            </w:r>
            <w:r>
              <w:rPr>
                <w:rFonts w:hint="eastAsia"/>
                <w:color w:val="auto"/>
                <w:sz w:val="24"/>
                <w:highlight w:val="none"/>
              </w:rPr>
              <w:t>暂存于危废暂存间，交由有资质的单位处理。</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⑬</w:t>
            </w:r>
            <w:r>
              <w:rPr>
                <w:rFonts w:hint="eastAsia" w:ascii="Times New Roman" w:hAnsi="Times New Roman" w:eastAsia="宋体" w:cs="Times New Roman"/>
                <w:color w:val="auto"/>
                <w:sz w:val="24"/>
                <w:highlight w:val="none"/>
                <w:lang w:val="en-US" w:eastAsia="zh-CN"/>
              </w:rPr>
              <w:t>废无尘布</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本项目使用无尘布和酒精进行擦拭，产生的废无尘布沾染酒精，产生量约为0.01t/a。</w:t>
            </w:r>
            <w:r>
              <w:rPr>
                <w:color w:val="auto"/>
                <w:sz w:val="24"/>
                <w:highlight w:val="none"/>
              </w:rPr>
              <w:t>对照《国家危险废物名录（2021年版）》，</w:t>
            </w:r>
            <w:r>
              <w:rPr>
                <w:rFonts w:hint="eastAsia" w:ascii="Times New Roman" w:hAnsi="Times New Roman" w:eastAsia="宋体" w:cs="Times New Roman"/>
                <w:color w:val="auto"/>
                <w:sz w:val="24"/>
                <w:highlight w:val="none"/>
                <w:lang w:val="en-US" w:eastAsia="zh-CN"/>
              </w:rPr>
              <w:t>废无尘布</w:t>
            </w:r>
            <w:r>
              <w:rPr>
                <w:color w:val="auto"/>
                <w:sz w:val="24"/>
                <w:highlight w:val="none"/>
              </w:rPr>
              <w:t>属</w:t>
            </w:r>
            <w:r>
              <w:rPr>
                <w:rFonts w:hint="eastAsia"/>
                <w:color w:val="auto"/>
                <w:sz w:val="24"/>
                <w:highlight w:val="none"/>
              </w:rPr>
              <w:t>于</w:t>
            </w:r>
            <w:r>
              <w:rPr>
                <w:color w:val="auto"/>
                <w:sz w:val="24"/>
                <w:highlight w:val="none"/>
              </w:rPr>
              <w:t>HW49</w:t>
            </w:r>
            <w:r>
              <w:rPr>
                <w:rFonts w:hint="eastAsia" w:ascii="宋体" w:hAnsi="宋体" w:cs="宋体"/>
                <w:color w:val="auto"/>
                <w:sz w:val="24"/>
                <w:highlight w:val="none"/>
              </w:rPr>
              <w:t>其他废物</w:t>
            </w:r>
            <w:r>
              <w:rPr>
                <w:color w:val="auto"/>
                <w:sz w:val="24"/>
                <w:highlight w:val="none"/>
              </w:rPr>
              <w:t>，废物代码</w:t>
            </w:r>
            <w:r>
              <w:rPr>
                <w:rFonts w:hint="eastAsia" w:ascii="Times New Roman" w:hAnsi="Times New Roman" w:eastAsia="宋体" w:cs="Times New Roman"/>
                <w:color w:val="auto"/>
                <w:kern w:val="2"/>
                <w:sz w:val="24"/>
                <w:highlight w:val="none"/>
              </w:rPr>
              <w:t>900-041-49。</w:t>
            </w:r>
            <w:r>
              <w:rPr>
                <w:rFonts w:hint="eastAsia" w:ascii="Times New Roman" w:hAnsi="Times New Roman" w:eastAsia="宋体" w:cs="Times New Roman"/>
                <w:color w:val="auto"/>
                <w:sz w:val="24"/>
                <w:highlight w:val="none"/>
                <w:lang w:val="en-US" w:eastAsia="zh-CN"/>
              </w:rPr>
              <w:t>废无尘布</w:t>
            </w:r>
            <w:r>
              <w:rPr>
                <w:rFonts w:hint="eastAsia"/>
                <w:color w:val="auto"/>
                <w:sz w:val="24"/>
                <w:highlight w:val="none"/>
              </w:rPr>
              <w:t>暂存于危废暂存间，交由有资质的单位处理。</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⑭沾染危险物质的废包装物</w:t>
            </w: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highlight w:val="none"/>
              </w:rPr>
              <w:t>本项目油墨、</w:t>
            </w:r>
            <w:r>
              <w:rPr>
                <w:rFonts w:hint="eastAsia" w:ascii="Times New Roman" w:hAnsi="Times New Roman" w:eastAsia="宋体" w:cs="Times New Roman"/>
                <w:color w:val="auto"/>
                <w:kern w:val="2"/>
                <w:sz w:val="24"/>
                <w:highlight w:val="none"/>
                <w:lang w:val="en-US" w:eastAsia="zh-CN"/>
              </w:rPr>
              <w:t>机</w:t>
            </w:r>
            <w:r>
              <w:rPr>
                <w:rFonts w:hint="eastAsia" w:ascii="Times New Roman" w:hAnsi="Times New Roman" w:eastAsia="宋体" w:cs="Times New Roman"/>
                <w:color w:val="auto"/>
                <w:kern w:val="2"/>
                <w:sz w:val="24"/>
                <w:highlight w:val="none"/>
              </w:rPr>
              <w:t>油</w:t>
            </w:r>
            <w:r>
              <w:rPr>
                <w:rFonts w:hint="eastAsia" w:ascii="Times New Roman" w:hAnsi="Times New Roman" w:eastAsia="宋体" w:cs="Times New Roman"/>
                <w:color w:val="auto"/>
                <w:kern w:val="2"/>
                <w:sz w:val="24"/>
                <w:highlight w:val="none"/>
                <w:lang w:val="en-US" w:eastAsia="zh-CN"/>
              </w:rPr>
              <w:t>等</w:t>
            </w:r>
            <w:r>
              <w:rPr>
                <w:rFonts w:hint="eastAsia" w:ascii="Times New Roman" w:hAnsi="Times New Roman" w:eastAsia="宋体" w:cs="Times New Roman"/>
                <w:color w:val="auto"/>
                <w:kern w:val="2"/>
                <w:sz w:val="24"/>
                <w:highlight w:val="none"/>
              </w:rPr>
              <w:t>均为桶装，</w:t>
            </w:r>
            <w:r>
              <w:rPr>
                <w:rFonts w:hint="eastAsia" w:ascii="Times New Roman" w:hAnsi="Times New Roman" w:eastAsia="宋体" w:cs="Times New Roman"/>
                <w:color w:val="auto"/>
                <w:kern w:val="2"/>
                <w:sz w:val="24"/>
                <w:highlight w:val="none"/>
                <w:lang w:val="en-US" w:eastAsia="zh-CN"/>
              </w:rPr>
              <w:t>酒精为瓶装，</w:t>
            </w:r>
            <w:r>
              <w:rPr>
                <w:rFonts w:hint="eastAsia" w:ascii="Times New Roman" w:hAnsi="Times New Roman" w:eastAsia="宋体" w:cs="Times New Roman"/>
                <w:color w:val="auto"/>
                <w:sz w:val="24"/>
                <w:highlight w:val="none"/>
                <w:lang w:val="en-US" w:eastAsia="zh-CN"/>
              </w:rPr>
              <w:t>沾染危险物质的</w:t>
            </w:r>
            <w:r>
              <w:rPr>
                <w:rFonts w:hint="eastAsia" w:ascii="Times New Roman" w:hAnsi="Times New Roman" w:eastAsia="宋体" w:cs="Times New Roman"/>
                <w:color w:val="auto"/>
                <w:kern w:val="2"/>
                <w:sz w:val="24"/>
                <w:highlight w:val="none"/>
              </w:rPr>
              <w:t>废包装</w:t>
            </w:r>
            <w:r>
              <w:rPr>
                <w:rFonts w:hint="eastAsia" w:ascii="Times New Roman" w:hAnsi="Times New Roman" w:eastAsia="宋体" w:cs="Times New Roman"/>
                <w:color w:val="auto"/>
                <w:kern w:val="2"/>
                <w:sz w:val="24"/>
                <w:highlight w:val="none"/>
                <w:lang w:val="en-US" w:eastAsia="zh-CN"/>
              </w:rPr>
              <w:t>物</w:t>
            </w:r>
            <w:r>
              <w:rPr>
                <w:rFonts w:hint="eastAsia" w:ascii="Times New Roman" w:hAnsi="Times New Roman" w:eastAsia="宋体" w:cs="Times New Roman"/>
                <w:color w:val="auto"/>
                <w:kern w:val="2"/>
                <w:sz w:val="24"/>
                <w:highlight w:val="none"/>
              </w:rPr>
              <w:t>产生量为0.15t/a。</w:t>
            </w:r>
            <w:r>
              <w:rPr>
                <w:color w:val="auto"/>
                <w:sz w:val="24"/>
                <w:highlight w:val="none"/>
              </w:rPr>
              <w:t>对照《国家危险废物名录（2021年版）》，</w:t>
            </w:r>
            <w:r>
              <w:rPr>
                <w:rFonts w:hint="eastAsia" w:ascii="Times New Roman" w:hAnsi="Times New Roman" w:eastAsia="宋体" w:cs="Times New Roman"/>
                <w:color w:val="auto"/>
                <w:sz w:val="24"/>
                <w:highlight w:val="none"/>
                <w:lang w:val="en-US" w:eastAsia="zh-CN"/>
              </w:rPr>
              <w:t>沾染危险物质的</w:t>
            </w:r>
            <w:r>
              <w:rPr>
                <w:rFonts w:hint="eastAsia" w:ascii="Times New Roman" w:hAnsi="Times New Roman" w:eastAsia="宋体" w:cs="Times New Roman"/>
                <w:color w:val="auto"/>
                <w:kern w:val="2"/>
                <w:sz w:val="24"/>
                <w:highlight w:val="none"/>
              </w:rPr>
              <w:t>废包装</w:t>
            </w:r>
            <w:r>
              <w:rPr>
                <w:rFonts w:hint="eastAsia" w:ascii="Times New Roman" w:hAnsi="Times New Roman" w:eastAsia="宋体" w:cs="Times New Roman"/>
                <w:color w:val="auto"/>
                <w:kern w:val="2"/>
                <w:sz w:val="24"/>
                <w:highlight w:val="none"/>
                <w:lang w:val="en-US" w:eastAsia="zh-CN"/>
              </w:rPr>
              <w:t>物</w:t>
            </w:r>
            <w:r>
              <w:rPr>
                <w:color w:val="auto"/>
                <w:sz w:val="24"/>
                <w:highlight w:val="none"/>
              </w:rPr>
              <w:t>属</w:t>
            </w:r>
            <w:r>
              <w:rPr>
                <w:rFonts w:hint="eastAsia"/>
                <w:color w:val="auto"/>
                <w:sz w:val="24"/>
                <w:highlight w:val="none"/>
              </w:rPr>
              <w:t>于</w:t>
            </w:r>
            <w:r>
              <w:rPr>
                <w:color w:val="auto"/>
                <w:sz w:val="24"/>
                <w:highlight w:val="none"/>
              </w:rPr>
              <w:t>HW49</w:t>
            </w:r>
            <w:r>
              <w:rPr>
                <w:rFonts w:hint="eastAsia" w:ascii="宋体" w:hAnsi="宋体" w:cs="宋体"/>
                <w:color w:val="auto"/>
                <w:sz w:val="24"/>
                <w:highlight w:val="none"/>
              </w:rPr>
              <w:t>其他废物</w:t>
            </w:r>
            <w:r>
              <w:rPr>
                <w:color w:val="auto"/>
                <w:sz w:val="24"/>
                <w:highlight w:val="none"/>
              </w:rPr>
              <w:t>，废物代码</w:t>
            </w:r>
            <w:r>
              <w:rPr>
                <w:rFonts w:hint="eastAsia" w:ascii="Times New Roman" w:hAnsi="Times New Roman" w:eastAsia="宋体" w:cs="Times New Roman"/>
                <w:color w:val="auto"/>
                <w:kern w:val="2"/>
                <w:sz w:val="24"/>
                <w:highlight w:val="none"/>
              </w:rPr>
              <w:t>900-041-49。废包装桶</w:t>
            </w:r>
            <w:r>
              <w:rPr>
                <w:rFonts w:hint="eastAsia"/>
                <w:color w:val="auto"/>
                <w:sz w:val="24"/>
                <w:highlight w:val="none"/>
              </w:rPr>
              <w:t>暂存于危废暂存间，交由有资质的单位处理。</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⑮实验废液</w:t>
            </w:r>
          </w:p>
          <w:p>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color w:val="auto"/>
                <w:sz w:val="24"/>
                <w:szCs w:val="22"/>
                <w:highlight w:val="none"/>
              </w:rPr>
              <w:t>本项目</w:t>
            </w:r>
            <w:r>
              <w:rPr>
                <w:rFonts w:hint="eastAsia"/>
                <w:color w:val="auto"/>
                <w:sz w:val="24"/>
                <w:szCs w:val="22"/>
                <w:highlight w:val="none"/>
              </w:rPr>
              <w:t>设置化验室</w:t>
            </w:r>
            <w:r>
              <w:rPr>
                <w:color w:val="auto"/>
                <w:sz w:val="24"/>
                <w:szCs w:val="22"/>
                <w:highlight w:val="none"/>
              </w:rPr>
              <w:t>对</w:t>
            </w:r>
            <w:r>
              <w:rPr>
                <w:rFonts w:hint="eastAsia"/>
                <w:color w:val="auto"/>
                <w:sz w:val="24"/>
                <w:szCs w:val="22"/>
                <w:highlight w:val="none"/>
              </w:rPr>
              <w:t>产品进行检验时</w:t>
            </w:r>
            <w:r>
              <w:rPr>
                <w:color w:val="auto"/>
                <w:sz w:val="24"/>
                <w:szCs w:val="22"/>
                <w:highlight w:val="none"/>
              </w:rPr>
              <w:t>，会产生</w:t>
            </w:r>
            <w:r>
              <w:rPr>
                <w:rFonts w:hint="eastAsia"/>
                <w:color w:val="auto"/>
                <w:sz w:val="24"/>
                <w:szCs w:val="22"/>
                <w:highlight w:val="none"/>
              </w:rPr>
              <w:t>检验</w:t>
            </w:r>
            <w:r>
              <w:rPr>
                <w:color w:val="auto"/>
                <w:sz w:val="24"/>
                <w:szCs w:val="22"/>
                <w:highlight w:val="none"/>
              </w:rPr>
              <w:t>废液及</w:t>
            </w:r>
            <w:r>
              <w:rPr>
                <w:rFonts w:hint="eastAsia"/>
                <w:color w:val="auto"/>
                <w:sz w:val="24"/>
                <w:szCs w:val="22"/>
                <w:highlight w:val="none"/>
              </w:rPr>
              <w:t>器皿</w:t>
            </w:r>
            <w:r>
              <w:rPr>
                <w:color w:val="auto"/>
                <w:sz w:val="24"/>
                <w:szCs w:val="22"/>
                <w:highlight w:val="none"/>
              </w:rPr>
              <w:t>清洗水。类比同类项目，化验室产生的检验废液及器皿清洗水，产生量约15kg/</w:t>
            </w:r>
            <w:r>
              <w:rPr>
                <w:rFonts w:hint="eastAsia"/>
                <w:color w:val="auto"/>
                <w:sz w:val="24"/>
                <w:szCs w:val="22"/>
                <w:highlight w:val="none"/>
              </w:rPr>
              <w:t>次</w:t>
            </w:r>
            <w:r>
              <w:rPr>
                <w:color w:val="auto"/>
                <w:sz w:val="24"/>
                <w:szCs w:val="22"/>
                <w:highlight w:val="none"/>
              </w:rPr>
              <w:t>，</w:t>
            </w:r>
            <w:r>
              <w:rPr>
                <w:rFonts w:hint="eastAsia"/>
                <w:color w:val="auto"/>
                <w:sz w:val="24"/>
                <w:szCs w:val="22"/>
                <w:highlight w:val="none"/>
              </w:rPr>
              <w:t>平均每周进行一次检验，年产生量为0.</w:t>
            </w:r>
            <w:r>
              <w:rPr>
                <w:color w:val="auto"/>
                <w:sz w:val="24"/>
                <w:szCs w:val="22"/>
                <w:highlight w:val="none"/>
              </w:rPr>
              <w:t>7</w:t>
            </w:r>
            <w:r>
              <w:rPr>
                <w:rFonts w:hint="eastAsia"/>
                <w:color w:val="auto"/>
                <w:sz w:val="24"/>
                <w:szCs w:val="22"/>
                <w:highlight w:val="none"/>
                <w:lang w:val="en-US" w:eastAsia="zh-CN"/>
              </w:rPr>
              <w:t>8</w:t>
            </w:r>
            <w:r>
              <w:rPr>
                <w:color w:val="auto"/>
                <w:sz w:val="24"/>
                <w:szCs w:val="22"/>
                <w:highlight w:val="none"/>
              </w:rPr>
              <w:t>t/a</w:t>
            </w:r>
            <w:r>
              <w:rPr>
                <w:rFonts w:hint="eastAsia"/>
                <w:color w:val="auto"/>
                <w:sz w:val="24"/>
                <w:szCs w:val="22"/>
                <w:highlight w:val="none"/>
              </w:rPr>
              <w:t>。</w:t>
            </w:r>
            <w:r>
              <w:rPr>
                <w:color w:val="auto"/>
                <w:sz w:val="24"/>
                <w:highlight w:val="none"/>
              </w:rPr>
              <w:t>对照《国家危险废物名录（2021年版）》，</w:t>
            </w:r>
            <w:r>
              <w:rPr>
                <w:rFonts w:hint="eastAsia"/>
                <w:color w:val="auto"/>
                <w:kern w:val="0"/>
                <w:sz w:val="24"/>
                <w:highlight w:val="none"/>
              </w:rPr>
              <w:t>实验废液</w:t>
            </w:r>
            <w:r>
              <w:rPr>
                <w:color w:val="auto"/>
                <w:sz w:val="24"/>
                <w:highlight w:val="none"/>
              </w:rPr>
              <w:t>属</w:t>
            </w:r>
            <w:r>
              <w:rPr>
                <w:rFonts w:hint="eastAsia"/>
                <w:color w:val="auto"/>
                <w:sz w:val="24"/>
                <w:highlight w:val="none"/>
              </w:rPr>
              <w:t>于</w:t>
            </w:r>
            <w:r>
              <w:rPr>
                <w:color w:val="auto"/>
                <w:sz w:val="24"/>
                <w:highlight w:val="none"/>
              </w:rPr>
              <w:t>HW49</w:t>
            </w:r>
            <w:r>
              <w:rPr>
                <w:rFonts w:hint="eastAsia" w:ascii="宋体" w:hAnsi="宋体" w:cs="宋体"/>
                <w:color w:val="auto"/>
                <w:sz w:val="24"/>
                <w:highlight w:val="none"/>
              </w:rPr>
              <w:t>其他废物</w:t>
            </w:r>
            <w:r>
              <w:rPr>
                <w:color w:val="auto"/>
                <w:sz w:val="24"/>
                <w:highlight w:val="none"/>
              </w:rPr>
              <w:t>，废物代码900-04</w:t>
            </w:r>
            <w:r>
              <w:rPr>
                <w:rFonts w:hint="eastAsia"/>
                <w:color w:val="auto"/>
                <w:sz w:val="24"/>
                <w:highlight w:val="none"/>
              </w:rPr>
              <w:t>7</w:t>
            </w:r>
            <w:r>
              <w:rPr>
                <w:color w:val="auto"/>
                <w:sz w:val="24"/>
                <w:highlight w:val="none"/>
              </w:rPr>
              <w:t>-49。</w:t>
            </w:r>
            <w:r>
              <w:rPr>
                <w:rFonts w:hint="eastAsia"/>
                <w:color w:val="auto"/>
                <w:kern w:val="0"/>
                <w:sz w:val="24"/>
                <w:highlight w:val="none"/>
              </w:rPr>
              <w:t>实验废液</w:t>
            </w:r>
            <w:r>
              <w:rPr>
                <w:rFonts w:hint="eastAsia"/>
                <w:color w:val="auto"/>
                <w:sz w:val="24"/>
                <w:highlight w:val="none"/>
              </w:rPr>
              <w:t>暂存于危废暂存间，交由有资质的单位处理。</w:t>
            </w:r>
          </w:p>
          <w:p>
            <w:pPr>
              <w:spacing w:line="360" w:lineRule="auto"/>
              <w:ind w:firstLine="480" w:firstLineChars="200"/>
              <w:rPr>
                <w:rFonts w:hint="eastAsia" w:eastAsia="宋体"/>
                <w:color w:val="auto"/>
                <w:sz w:val="24"/>
                <w:highlight w:val="none"/>
                <w:lang w:eastAsia="zh-CN"/>
              </w:rPr>
            </w:pPr>
            <w:r>
              <w:rPr>
                <w:rFonts w:hint="eastAsia"/>
                <w:color w:val="auto"/>
                <w:sz w:val="24"/>
                <w:highlight w:val="none"/>
                <w:lang w:val="en-US" w:eastAsia="zh-CN"/>
              </w:rPr>
              <w:t>本项目设置危废暂存间，面积为10m</w:t>
            </w:r>
            <w:r>
              <w:rPr>
                <w:rFonts w:hint="eastAsia"/>
                <w:color w:val="auto"/>
                <w:sz w:val="24"/>
                <w:highlight w:val="none"/>
                <w:vertAlign w:val="superscript"/>
                <w:lang w:val="en-US" w:eastAsia="zh-CN"/>
              </w:rPr>
              <w:t>2</w:t>
            </w:r>
            <w:r>
              <w:rPr>
                <w:rFonts w:hint="eastAsia"/>
                <w:color w:val="auto"/>
                <w:sz w:val="24"/>
                <w:highlight w:val="none"/>
                <w:vertAlign w:val="baseline"/>
                <w:lang w:val="en-US" w:eastAsia="zh-CN"/>
              </w:rPr>
              <w:t>，位于厂区东侧，用于储存产生的危废。</w:t>
            </w:r>
            <w:r>
              <w:rPr>
                <w:color w:val="auto"/>
                <w:sz w:val="24"/>
                <w:highlight w:val="none"/>
              </w:rPr>
              <w:t>本项目</w:t>
            </w:r>
            <w:r>
              <w:rPr>
                <w:rFonts w:hint="eastAsia"/>
                <w:color w:val="auto"/>
                <w:sz w:val="24"/>
                <w:highlight w:val="none"/>
              </w:rPr>
              <w:t>固体</w:t>
            </w:r>
            <w:r>
              <w:rPr>
                <w:color w:val="auto"/>
                <w:sz w:val="24"/>
                <w:highlight w:val="none"/>
              </w:rPr>
              <w:t>废物产生及处置情况见表4-</w:t>
            </w:r>
            <w:r>
              <w:rPr>
                <w:rFonts w:hint="eastAsia"/>
                <w:color w:val="auto"/>
                <w:sz w:val="24"/>
                <w:highlight w:val="none"/>
              </w:rPr>
              <w:t>1</w:t>
            </w:r>
            <w:r>
              <w:rPr>
                <w:rFonts w:hint="eastAsia"/>
                <w:color w:val="auto"/>
                <w:sz w:val="24"/>
                <w:highlight w:val="none"/>
                <w:lang w:val="en-US" w:eastAsia="zh-CN"/>
              </w:rPr>
              <w:t>5</w:t>
            </w:r>
            <w:r>
              <w:rPr>
                <w:rFonts w:hint="eastAsia"/>
                <w:color w:val="auto"/>
                <w:sz w:val="24"/>
                <w:highlight w:val="none"/>
                <w:lang w:eastAsia="zh-CN"/>
              </w:rPr>
              <w:t>。</w:t>
            </w:r>
          </w:p>
          <w:p>
            <w:pPr>
              <w:pStyle w:val="41"/>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表4-1</w:t>
            </w:r>
            <w:r>
              <w:rPr>
                <w:rFonts w:hint="eastAsia" w:cs="Times New Roman"/>
                <w:color w:val="auto"/>
                <w:highlight w:val="none"/>
                <w:lang w:val="en-US" w:eastAsia="zh-CN"/>
              </w:rPr>
              <w:t>5</w:t>
            </w:r>
            <w:r>
              <w:rPr>
                <w:rFonts w:hint="eastAsia" w:ascii="Times New Roman" w:hAnsi="Times New Roman" w:eastAsia="宋体" w:cs="Times New Roman"/>
                <w:color w:val="auto"/>
                <w:highlight w:val="none"/>
              </w:rPr>
              <w:t xml:space="preserve">  项目</w:t>
            </w:r>
            <w:r>
              <w:rPr>
                <w:rFonts w:hint="eastAsia" w:ascii="Times New Roman" w:hAnsi="Times New Roman" w:eastAsia="宋体" w:cs="Times New Roman"/>
                <w:color w:val="auto"/>
                <w:highlight w:val="none"/>
                <w:lang w:val="en-US" w:eastAsia="zh-CN"/>
              </w:rPr>
              <w:t>固体</w:t>
            </w:r>
            <w:r>
              <w:rPr>
                <w:rFonts w:hint="eastAsia" w:ascii="Times New Roman" w:hAnsi="Times New Roman" w:eastAsia="宋体" w:cs="Times New Roman"/>
                <w:color w:val="auto"/>
                <w:highlight w:val="none"/>
              </w:rPr>
              <w:t>废物汇总表</w:t>
            </w:r>
          </w:p>
          <w:tbl>
            <w:tblPr>
              <w:tblStyle w:val="21"/>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505"/>
              <w:gridCol w:w="1612"/>
              <w:gridCol w:w="1182"/>
              <w:gridCol w:w="1479"/>
              <w:gridCol w:w="1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noWrap w:val="0"/>
                  <w:vAlign w:val="center"/>
                </w:tcPr>
                <w:p>
                  <w:pPr>
                    <w:pStyle w:val="57"/>
                    <w:rPr>
                      <w:b/>
                      <w:bCs/>
                      <w:color w:val="auto"/>
                      <w:szCs w:val="21"/>
                      <w:highlight w:val="none"/>
                    </w:rPr>
                  </w:pPr>
                  <w:r>
                    <w:rPr>
                      <w:b/>
                      <w:bCs/>
                      <w:color w:val="auto"/>
                      <w:szCs w:val="21"/>
                      <w:highlight w:val="none"/>
                    </w:rPr>
                    <w:t>类型</w:t>
                  </w:r>
                </w:p>
              </w:tc>
              <w:tc>
                <w:tcPr>
                  <w:tcW w:w="914" w:type="pct"/>
                  <w:noWrap w:val="0"/>
                  <w:vAlign w:val="center"/>
                </w:tcPr>
                <w:p>
                  <w:pPr>
                    <w:pStyle w:val="57"/>
                    <w:rPr>
                      <w:b/>
                      <w:bCs/>
                      <w:color w:val="auto"/>
                      <w:szCs w:val="21"/>
                      <w:highlight w:val="none"/>
                    </w:rPr>
                  </w:pPr>
                  <w:r>
                    <w:rPr>
                      <w:b/>
                      <w:bCs/>
                      <w:color w:val="auto"/>
                      <w:szCs w:val="21"/>
                      <w:highlight w:val="none"/>
                    </w:rPr>
                    <w:t>名称</w:t>
                  </w:r>
                </w:p>
              </w:tc>
              <w:tc>
                <w:tcPr>
                  <w:tcW w:w="979" w:type="pct"/>
                  <w:noWrap w:val="0"/>
                  <w:vAlign w:val="center"/>
                </w:tcPr>
                <w:p>
                  <w:pPr>
                    <w:pStyle w:val="57"/>
                    <w:rPr>
                      <w:b/>
                      <w:bCs/>
                      <w:color w:val="auto"/>
                      <w:szCs w:val="21"/>
                      <w:highlight w:val="none"/>
                    </w:rPr>
                  </w:pPr>
                  <w:r>
                    <w:rPr>
                      <w:b/>
                      <w:bCs/>
                      <w:color w:val="auto"/>
                      <w:szCs w:val="21"/>
                      <w:highlight w:val="none"/>
                    </w:rPr>
                    <w:t>产生环节</w:t>
                  </w:r>
                </w:p>
              </w:tc>
              <w:tc>
                <w:tcPr>
                  <w:tcW w:w="718" w:type="pct"/>
                  <w:noWrap w:val="0"/>
                  <w:vAlign w:val="center"/>
                </w:tcPr>
                <w:p>
                  <w:pPr>
                    <w:pStyle w:val="57"/>
                    <w:rPr>
                      <w:b/>
                      <w:bCs/>
                      <w:color w:val="auto"/>
                      <w:szCs w:val="21"/>
                      <w:highlight w:val="none"/>
                    </w:rPr>
                  </w:pPr>
                  <w:r>
                    <w:rPr>
                      <w:b/>
                      <w:bCs/>
                      <w:color w:val="auto"/>
                      <w:szCs w:val="21"/>
                      <w:highlight w:val="none"/>
                    </w:rPr>
                    <w:t>产生量t/a</w:t>
                  </w:r>
                </w:p>
              </w:tc>
              <w:tc>
                <w:tcPr>
                  <w:tcW w:w="898" w:type="pct"/>
                  <w:noWrap w:val="0"/>
                  <w:vAlign w:val="center"/>
                </w:tcPr>
                <w:p>
                  <w:pPr>
                    <w:pStyle w:val="57"/>
                    <w:rPr>
                      <w:b/>
                      <w:bCs/>
                      <w:color w:val="auto"/>
                      <w:szCs w:val="21"/>
                      <w:highlight w:val="none"/>
                    </w:rPr>
                  </w:pPr>
                  <w:r>
                    <w:rPr>
                      <w:b/>
                      <w:bCs/>
                      <w:color w:val="auto"/>
                      <w:szCs w:val="21"/>
                      <w:highlight w:val="none"/>
                    </w:rPr>
                    <w:t>危废类别代码</w:t>
                  </w:r>
                </w:p>
              </w:tc>
              <w:tc>
                <w:tcPr>
                  <w:tcW w:w="1080" w:type="pct"/>
                  <w:noWrap w:val="0"/>
                  <w:vAlign w:val="center"/>
                </w:tcPr>
                <w:p>
                  <w:pPr>
                    <w:pStyle w:val="57"/>
                    <w:rPr>
                      <w:b/>
                      <w:bCs/>
                      <w:color w:val="auto"/>
                      <w:szCs w:val="21"/>
                      <w:highlight w:val="none"/>
                    </w:rPr>
                  </w:pPr>
                  <w:r>
                    <w:rPr>
                      <w:b/>
                      <w:bCs/>
                      <w:color w:val="auto"/>
                      <w:szCs w:val="21"/>
                      <w:highlight w:val="none"/>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Merge w:val="restart"/>
                  <w:noWrap w:val="0"/>
                  <w:vAlign w:val="center"/>
                </w:tcPr>
                <w:p>
                  <w:pPr>
                    <w:pStyle w:val="57"/>
                    <w:rPr>
                      <w:color w:val="auto"/>
                      <w:szCs w:val="21"/>
                      <w:highlight w:val="none"/>
                    </w:rPr>
                  </w:pPr>
                  <w:r>
                    <w:rPr>
                      <w:color w:val="auto"/>
                      <w:szCs w:val="21"/>
                      <w:highlight w:val="none"/>
                    </w:rPr>
                    <w:t>一般固废</w:t>
                  </w:r>
                </w:p>
              </w:tc>
              <w:tc>
                <w:tcPr>
                  <w:tcW w:w="914" w:type="pct"/>
                  <w:noWrap w:val="0"/>
                  <w:vAlign w:val="center"/>
                </w:tcPr>
                <w:p>
                  <w:pPr>
                    <w:pStyle w:val="57"/>
                    <w:rPr>
                      <w:color w:val="auto"/>
                      <w:szCs w:val="21"/>
                      <w:highlight w:val="none"/>
                    </w:rPr>
                  </w:pPr>
                  <w:r>
                    <w:rPr>
                      <w:rFonts w:hint="eastAsia"/>
                      <w:color w:val="auto"/>
                      <w:szCs w:val="21"/>
                      <w:highlight w:val="none"/>
                    </w:rPr>
                    <w:t>生活垃圾</w:t>
                  </w:r>
                </w:p>
              </w:tc>
              <w:tc>
                <w:tcPr>
                  <w:tcW w:w="979" w:type="pct"/>
                  <w:noWrap w:val="0"/>
                  <w:vAlign w:val="center"/>
                </w:tcPr>
                <w:p>
                  <w:pPr>
                    <w:pStyle w:val="57"/>
                    <w:rPr>
                      <w:color w:val="auto"/>
                      <w:szCs w:val="21"/>
                      <w:highlight w:val="none"/>
                    </w:rPr>
                  </w:pPr>
                  <w:r>
                    <w:rPr>
                      <w:color w:val="auto"/>
                      <w:szCs w:val="21"/>
                      <w:highlight w:val="none"/>
                    </w:rPr>
                    <w:t>员工生活办公</w:t>
                  </w:r>
                </w:p>
              </w:tc>
              <w:tc>
                <w:tcPr>
                  <w:tcW w:w="718"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12</w:t>
                  </w:r>
                </w:p>
              </w:tc>
              <w:tc>
                <w:tcPr>
                  <w:tcW w:w="898" w:type="pct"/>
                  <w:noWrap w:val="0"/>
                  <w:vAlign w:val="center"/>
                </w:tcPr>
                <w:p>
                  <w:pPr>
                    <w:pStyle w:val="57"/>
                    <w:rPr>
                      <w:rFonts w:hint="eastAsia"/>
                      <w:color w:val="auto"/>
                      <w:szCs w:val="21"/>
                      <w:highlight w:val="none"/>
                    </w:rPr>
                  </w:pPr>
                  <w:r>
                    <w:rPr>
                      <w:color w:val="auto"/>
                      <w:szCs w:val="21"/>
                      <w:highlight w:val="none"/>
                    </w:rPr>
                    <w:t>/</w:t>
                  </w:r>
                </w:p>
              </w:tc>
              <w:tc>
                <w:tcPr>
                  <w:tcW w:w="1080" w:type="pct"/>
                  <w:noWrap w:val="0"/>
                  <w:vAlign w:val="center"/>
                </w:tcPr>
                <w:p>
                  <w:pPr>
                    <w:pStyle w:val="57"/>
                    <w:rPr>
                      <w:rFonts w:hint="eastAsia"/>
                      <w:color w:val="auto"/>
                      <w:szCs w:val="21"/>
                      <w:highlight w:val="none"/>
                    </w:rPr>
                  </w:pPr>
                  <w:r>
                    <w:rPr>
                      <w:rFonts w:hint="eastAsia"/>
                      <w:color w:val="auto"/>
                      <w:szCs w:val="21"/>
                      <w:highlight w:val="none"/>
                    </w:rPr>
                    <w:t>定点分类收集袋装后由环卫部门清运处理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Merge w:val="continue"/>
                  <w:noWrap w:val="0"/>
                  <w:vAlign w:val="center"/>
                </w:tcPr>
                <w:p>
                  <w:pPr>
                    <w:pStyle w:val="57"/>
                    <w:rPr>
                      <w:color w:val="auto"/>
                      <w:szCs w:val="21"/>
                      <w:highlight w:val="none"/>
                    </w:rPr>
                  </w:pPr>
                </w:p>
              </w:tc>
              <w:tc>
                <w:tcPr>
                  <w:tcW w:w="914" w:type="pct"/>
                  <w:noWrap w:val="0"/>
                  <w:vAlign w:val="center"/>
                </w:tcPr>
                <w:p>
                  <w:pPr>
                    <w:pStyle w:val="57"/>
                    <w:rPr>
                      <w:rFonts w:hint="eastAsia"/>
                      <w:color w:val="auto"/>
                      <w:szCs w:val="21"/>
                      <w:highlight w:val="none"/>
                    </w:rPr>
                  </w:pPr>
                  <w:r>
                    <w:rPr>
                      <w:rFonts w:hint="eastAsia"/>
                      <w:color w:val="auto"/>
                      <w:szCs w:val="21"/>
                      <w:highlight w:val="none"/>
                    </w:rPr>
                    <w:t>废包装材料</w:t>
                  </w:r>
                </w:p>
              </w:tc>
              <w:tc>
                <w:tcPr>
                  <w:tcW w:w="979" w:type="pct"/>
                  <w:noWrap w:val="0"/>
                  <w:vAlign w:val="center"/>
                </w:tcPr>
                <w:p>
                  <w:pPr>
                    <w:pStyle w:val="57"/>
                    <w:rPr>
                      <w:color w:val="auto"/>
                      <w:szCs w:val="21"/>
                      <w:highlight w:val="none"/>
                    </w:rPr>
                  </w:pPr>
                  <w:r>
                    <w:rPr>
                      <w:rFonts w:hint="eastAsia"/>
                      <w:color w:val="auto"/>
                      <w:szCs w:val="21"/>
                      <w:highlight w:val="none"/>
                    </w:rPr>
                    <w:t>包装</w:t>
                  </w:r>
                </w:p>
              </w:tc>
              <w:tc>
                <w:tcPr>
                  <w:tcW w:w="718" w:type="pct"/>
                  <w:noWrap w:val="0"/>
                  <w:vAlign w:val="center"/>
                </w:tcPr>
                <w:p>
                  <w:pPr>
                    <w:pStyle w:val="57"/>
                    <w:rPr>
                      <w:rFonts w:hint="eastAsia" w:eastAsia="宋体"/>
                      <w:color w:val="auto"/>
                      <w:szCs w:val="21"/>
                      <w:highlight w:val="none"/>
                      <w:lang w:val="en-US" w:eastAsia="zh-CN"/>
                    </w:rPr>
                  </w:pPr>
                  <w:r>
                    <w:rPr>
                      <w:rFonts w:hint="eastAsia" w:eastAsia="宋体"/>
                      <w:color w:val="auto"/>
                      <w:szCs w:val="21"/>
                      <w:highlight w:val="none"/>
                      <w:lang w:val="en-US" w:eastAsia="zh-CN"/>
                    </w:rPr>
                    <w:t>5</w:t>
                  </w:r>
                </w:p>
              </w:tc>
              <w:tc>
                <w:tcPr>
                  <w:tcW w:w="898" w:type="pct"/>
                  <w:noWrap w:val="0"/>
                  <w:vAlign w:val="center"/>
                </w:tcPr>
                <w:p>
                  <w:pPr>
                    <w:pStyle w:val="57"/>
                    <w:rPr>
                      <w:color w:val="auto"/>
                      <w:szCs w:val="21"/>
                      <w:highlight w:val="none"/>
                    </w:rPr>
                  </w:pPr>
                  <w:r>
                    <w:rPr>
                      <w:rFonts w:hint="eastAsia"/>
                      <w:color w:val="auto"/>
                      <w:szCs w:val="21"/>
                      <w:highlight w:val="none"/>
                    </w:rPr>
                    <w:t>/</w:t>
                  </w:r>
                </w:p>
              </w:tc>
              <w:tc>
                <w:tcPr>
                  <w:tcW w:w="1080" w:type="pct"/>
                  <w:noWrap w:val="0"/>
                  <w:vAlign w:val="center"/>
                </w:tcPr>
                <w:p>
                  <w:pPr>
                    <w:pStyle w:val="57"/>
                    <w:rPr>
                      <w:rFonts w:hint="eastAsia"/>
                      <w:color w:val="auto"/>
                      <w:szCs w:val="21"/>
                      <w:highlight w:val="none"/>
                    </w:rPr>
                  </w:pPr>
                  <w:r>
                    <w:rPr>
                      <w:rFonts w:hint="eastAsia"/>
                      <w:color w:val="auto"/>
                      <w:szCs w:val="21"/>
                      <w:highlight w:val="none"/>
                    </w:rPr>
                    <w:t>收集后外售废品回收站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Merge w:val="continue"/>
                  <w:noWrap w:val="0"/>
                  <w:vAlign w:val="center"/>
                </w:tcPr>
                <w:p>
                  <w:pPr>
                    <w:pStyle w:val="57"/>
                    <w:rPr>
                      <w:color w:val="auto"/>
                      <w:szCs w:val="21"/>
                      <w:highlight w:val="none"/>
                    </w:rPr>
                  </w:pPr>
                </w:p>
              </w:tc>
              <w:tc>
                <w:tcPr>
                  <w:tcW w:w="914" w:type="pct"/>
                  <w:noWrap w:val="0"/>
                  <w:vAlign w:val="center"/>
                </w:tcPr>
                <w:p>
                  <w:pPr>
                    <w:pStyle w:val="57"/>
                    <w:rPr>
                      <w:color w:val="auto"/>
                      <w:szCs w:val="21"/>
                      <w:highlight w:val="none"/>
                    </w:rPr>
                  </w:pPr>
                  <w:r>
                    <w:rPr>
                      <w:rFonts w:hint="eastAsia"/>
                      <w:color w:val="auto"/>
                      <w:szCs w:val="21"/>
                      <w:highlight w:val="none"/>
                    </w:rPr>
                    <w:t>不合格品</w:t>
                  </w:r>
                </w:p>
              </w:tc>
              <w:tc>
                <w:tcPr>
                  <w:tcW w:w="979" w:type="pct"/>
                  <w:noWrap w:val="0"/>
                  <w:vAlign w:val="center"/>
                </w:tcPr>
                <w:p>
                  <w:pPr>
                    <w:pStyle w:val="57"/>
                    <w:rPr>
                      <w:rFonts w:hint="eastAsia"/>
                      <w:color w:val="auto"/>
                      <w:szCs w:val="21"/>
                      <w:highlight w:val="none"/>
                    </w:rPr>
                  </w:pPr>
                  <w:r>
                    <w:rPr>
                      <w:rFonts w:hint="eastAsia"/>
                      <w:color w:val="auto"/>
                      <w:szCs w:val="21"/>
                      <w:highlight w:val="none"/>
                    </w:rPr>
                    <w:t>生产过程</w:t>
                  </w:r>
                </w:p>
              </w:tc>
              <w:tc>
                <w:tcPr>
                  <w:tcW w:w="718"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1.75</w:t>
                  </w:r>
                </w:p>
              </w:tc>
              <w:tc>
                <w:tcPr>
                  <w:tcW w:w="898" w:type="pct"/>
                  <w:noWrap w:val="0"/>
                  <w:vAlign w:val="center"/>
                </w:tcPr>
                <w:p>
                  <w:pPr>
                    <w:pStyle w:val="57"/>
                    <w:rPr>
                      <w:rFonts w:hint="eastAsia"/>
                      <w:color w:val="auto"/>
                      <w:szCs w:val="21"/>
                      <w:highlight w:val="none"/>
                    </w:rPr>
                  </w:pPr>
                  <w:r>
                    <w:rPr>
                      <w:rFonts w:hint="eastAsia"/>
                      <w:color w:val="auto"/>
                      <w:szCs w:val="21"/>
                      <w:highlight w:val="none"/>
                    </w:rPr>
                    <w:t>/</w:t>
                  </w:r>
                </w:p>
              </w:tc>
              <w:tc>
                <w:tcPr>
                  <w:tcW w:w="1080" w:type="pct"/>
                  <w:noWrap w:val="0"/>
                  <w:vAlign w:val="center"/>
                </w:tcPr>
                <w:p>
                  <w:pPr>
                    <w:pStyle w:val="57"/>
                    <w:rPr>
                      <w:color w:val="auto"/>
                      <w:szCs w:val="21"/>
                      <w:highlight w:val="none"/>
                    </w:rPr>
                  </w:pPr>
                  <w:r>
                    <w:rPr>
                      <w:rFonts w:hint="eastAsia"/>
                      <w:color w:val="auto"/>
                      <w:szCs w:val="21"/>
                      <w:highlight w:val="none"/>
                    </w:rPr>
                    <w:t>收集后由环卫部门统一清运处理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Merge w:val="continue"/>
                  <w:noWrap w:val="0"/>
                  <w:vAlign w:val="center"/>
                </w:tcPr>
                <w:p>
                  <w:pPr>
                    <w:pStyle w:val="57"/>
                    <w:rPr>
                      <w:color w:val="auto"/>
                      <w:szCs w:val="21"/>
                      <w:highlight w:val="none"/>
                    </w:rPr>
                  </w:pPr>
                </w:p>
              </w:tc>
              <w:tc>
                <w:tcPr>
                  <w:tcW w:w="914" w:type="pct"/>
                  <w:noWrap w:val="0"/>
                  <w:vAlign w:val="center"/>
                </w:tcPr>
                <w:p>
                  <w:pPr>
                    <w:pStyle w:val="57"/>
                    <w:rPr>
                      <w:rFonts w:hint="eastAsia"/>
                      <w:color w:val="auto"/>
                      <w:szCs w:val="21"/>
                      <w:highlight w:val="none"/>
                    </w:rPr>
                  </w:pPr>
                  <w:r>
                    <w:rPr>
                      <w:rFonts w:hint="eastAsia"/>
                      <w:color w:val="auto"/>
                      <w:szCs w:val="21"/>
                      <w:highlight w:val="none"/>
                    </w:rPr>
                    <w:t>餐厨垃圾及隔油池废油</w:t>
                  </w:r>
                </w:p>
              </w:tc>
              <w:tc>
                <w:tcPr>
                  <w:tcW w:w="979" w:type="pct"/>
                  <w:noWrap w:val="0"/>
                  <w:vAlign w:val="center"/>
                </w:tcPr>
                <w:p>
                  <w:pPr>
                    <w:pStyle w:val="57"/>
                    <w:rPr>
                      <w:rFonts w:hint="eastAsia" w:eastAsia="宋体"/>
                      <w:color w:val="auto"/>
                      <w:szCs w:val="21"/>
                      <w:highlight w:val="none"/>
                      <w:lang w:val="en-US" w:eastAsia="zh-CN"/>
                    </w:rPr>
                  </w:pPr>
                  <w:r>
                    <w:rPr>
                      <w:rFonts w:hint="eastAsia" w:eastAsia="宋体"/>
                      <w:color w:val="auto"/>
                      <w:szCs w:val="21"/>
                      <w:highlight w:val="none"/>
                      <w:lang w:val="en-US" w:eastAsia="zh-CN"/>
                    </w:rPr>
                    <w:t>食堂</w:t>
                  </w:r>
                </w:p>
              </w:tc>
              <w:tc>
                <w:tcPr>
                  <w:tcW w:w="718"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12.8</w:t>
                  </w:r>
                </w:p>
              </w:tc>
              <w:tc>
                <w:tcPr>
                  <w:tcW w:w="898" w:type="pct"/>
                  <w:noWrap w:val="0"/>
                  <w:vAlign w:val="center"/>
                </w:tcPr>
                <w:p>
                  <w:pPr>
                    <w:pStyle w:val="57"/>
                    <w:rPr>
                      <w:rFonts w:hint="eastAsia" w:eastAsia="宋体"/>
                      <w:color w:val="auto"/>
                      <w:szCs w:val="21"/>
                      <w:highlight w:val="none"/>
                      <w:lang w:val="en-US" w:eastAsia="zh-CN"/>
                    </w:rPr>
                  </w:pPr>
                  <w:r>
                    <w:rPr>
                      <w:rFonts w:hint="eastAsia" w:eastAsia="宋体"/>
                      <w:color w:val="auto"/>
                      <w:szCs w:val="21"/>
                      <w:highlight w:val="none"/>
                      <w:lang w:val="en-US" w:eastAsia="zh-CN"/>
                    </w:rPr>
                    <w:t>/</w:t>
                  </w:r>
                </w:p>
              </w:tc>
              <w:tc>
                <w:tcPr>
                  <w:tcW w:w="1080" w:type="pct"/>
                  <w:noWrap w:val="0"/>
                  <w:vAlign w:val="center"/>
                </w:tcPr>
                <w:p>
                  <w:pPr>
                    <w:pStyle w:val="57"/>
                    <w:rPr>
                      <w:rFonts w:hint="eastAsia"/>
                      <w:color w:val="auto"/>
                      <w:szCs w:val="21"/>
                      <w:highlight w:val="none"/>
                    </w:rPr>
                  </w:pPr>
                  <w:r>
                    <w:rPr>
                      <w:rFonts w:hint="eastAsia"/>
                      <w:color w:val="auto"/>
                      <w:szCs w:val="21"/>
                      <w:highlight w:val="none"/>
                    </w:rPr>
                    <w:t>收集后由柳林镇垃圾处理站（光辉发电厂）统一清运处理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Merge w:val="continue"/>
                  <w:noWrap w:val="0"/>
                  <w:vAlign w:val="center"/>
                </w:tcPr>
                <w:p>
                  <w:pPr>
                    <w:pStyle w:val="57"/>
                    <w:rPr>
                      <w:color w:val="auto"/>
                      <w:szCs w:val="21"/>
                      <w:highlight w:val="none"/>
                    </w:rPr>
                  </w:pPr>
                </w:p>
              </w:tc>
              <w:tc>
                <w:tcPr>
                  <w:tcW w:w="914"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废植物油</w:t>
                  </w:r>
                </w:p>
              </w:tc>
              <w:tc>
                <w:tcPr>
                  <w:tcW w:w="979"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压榨</w:t>
                  </w:r>
                </w:p>
              </w:tc>
              <w:tc>
                <w:tcPr>
                  <w:tcW w:w="718"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15</w:t>
                  </w:r>
                </w:p>
              </w:tc>
              <w:tc>
                <w:tcPr>
                  <w:tcW w:w="898"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w:t>
                  </w:r>
                </w:p>
              </w:tc>
              <w:tc>
                <w:tcPr>
                  <w:tcW w:w="1080" w:type="pct"/>
                  <w:noWrap w:val="0"/>
                  <w:vAlign w:val="center"/>
                </w:tcPr>
                <w:p>
                  <w:pPr>
                    <w:pStyle w:val="57"/>
                    <w:rPr>
                      <w:rFonts w:hint="eastAsia"/>
                      <w:color w:val="auto"/>
                      <w:szCs w:val="21"/>
                      <w:highlight w:val="none"/>
                    </w:rPr>
                  </w:pPr>
                  <w:r>
                    <w:rPr>
                      <w:rFonts w:hint="eastAsia"/>
                      <w:color w:val="auto"/>
                      <w:szCs w:val="21"/>
                      <w:highlight w:val="none"/>
                    </w:rPr>
                    <w:t>收集后由柳林镇垃圾处理站（光辉发电厂）统一清运处理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Merge w:val="continue"/>
                  <w:noWrap w:val="0"/>
                  <w:vAlign w:val="center"/>
                </w:tcPr>
                <w:p>
                  <w:pPr>
                    <w:pStyle w:val="57"/>
                    <w:rPr>
                      <w:color w:val="auto"/>
                      <w:szCs w:val="21"/>
                      <w:highlight w:val="none"/>
                    </w:rPr>
                  </w:pPr>
                </w:p>
              </w:tc>
              <w:tc>
                <w:tcPr>
                  <w:tcW w:w="914"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废油纸</w:t>
                  </w:r>
                </w:p>
              </w:tc>
              <w:tc>
                <w:tcPr>
                  <w:tcW w:w="979"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斩拌</w:t>
                  </w:r>
                </w:p>
              </w:tc>
              <w:tc>
                <w:tcPr>
                  <w:tcW w:w="718"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0.05</w:t>
                  </w:r>
                </w:p>
              </w:tc>
              <w:tc>
                <w:tcPr>
                  <w:tcW w:w="898"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w:t>
                  </w:r>
                </w:p>
              </w:tc>
              <w:tc>
                <w:tcPr>
                  <w:tcW w:w="1080" w:type="pct"/>
                  <w:noWrap w:val="0"/>
                  <w:vAlign w:val="center"/>
                </w:tcPr>
                <w:p>
                  <w:pPr>
                    <w:pStyle w:val="57"/>
                    <w:rPr>
                      <w:rFonts w:hint="eastAsia"/>
                      <w:color w:val="auto"/>
                      <w:szCs w:val="21"/>
                      <w:highlight w:val="none"/>
                    </w:rPr>
                  </w:pPr>
                  <w:r>
                    <w:rPr>
                      <w:rFonts w:hint="eastAsia"/>
                      <w:color w:val="auto"/>
                      <w:szCs w:val="21"/>
                      <w:highlight w:val="none"/>
                    </w:rPr>
                    <w:t>收集后由环卫部门统一清运处理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Merge w:val="continue"/>
                  <w:noWrap w:val="0"/>
                  <w:vAlign w:val="center"/>
                </w:tcPr>
                <w:p>
                  <w:pPr>
                    <w:pStyle w:val="57"/>
                    <w:rPr>
                      <w:color w:val="auto"/>
                      <w:szCs w:val="21"/>
                      <w:highlight w:val="none"/>
                    </w:rPr>
                  </w:pPr>
                </w:p>
              </w:tc>
              <w:tc>
                <w:tcPr>
                  <w:tcW w:w="914" w:type="pct"/>
                  <w:noWrap w:val="0"/>
                  <w:vAlign w:val="center"/>
                </w:tcPr>
                <w:p>
                  <w:pPr>
                    <w:pStyle w:val="57"/>
                    <w:rPr>
                      <w:rFonts w:hint="eastAsia" w:eastAsia="宋体"/>
                      <w:color w:val="auto"/>
                      <w:szCs w:val="21"/>
                      <w:highlight w:val="none"/>
                      <w:lang w:val="en-US" w:eastAsia="zh-CN"/>
                    </w:rPr>
                  </w:pPr>
                  <w:r>
                    <w:rPr>
                      <w:rFonts w:hint="eastAsia" w:eastAsia="宋体"/>
                      <w:color w:val="auto"/>
                      <w:szCs w:val="21"/>
                      <w:highlight w:val="none"/>
                      <w:lang w:val="en-US" w:eastAsia="zh-CN"/>
                    </w:rPr>
                    <w:t>栅渣</w:t>
                  </w:r>
                </w:p>
              </w:tc>
              <w:tc>
                <w:tcPr>
                  <w:tcW w:w="979"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污水处理</w:t>
                  </w:r>
                </w:p>
              </w:tc>
              <w:tc>
                <w:tcPr>
                  <w:tcW w:w="718"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3</w:t>
                  </w:r>
                </w:p>
              </w:tc>
              <w:tc>
                <w:tcPr>
                  <w:tcW w:w="898" w:type="pct"/>
                  <w:noWrap w:val="0"/>
                  <w:vAlign w:val="center"/>
                </w:tcPr>
                <w:p>
                  <w:pPr>
                    <w:pStyle w:val="57"/>
                    <w:rPr>
                      <w:rFonts w:hint="eastAsia" w:eastAsia="宋体"/>
                      <w:color w:val="auto"/>
                      <w:szCs w:val="21"/>
                      <w:highlight w:val="none"/>
                      <w:lang w:val="en-US" w:eastAsia="zh-CN"/>
                    </w:rPr>
                  </w:pPr>
                  <w:r>
                    <w:rPr>
                      <w:rFonts w:hint="eastAsia" w:eastAsia="宋体"/>
                      <w:color w:val="auto"/>
                      <w:szCs w:val="21"/>
                      <w:highlight w:val="none"/>
                      <w:lang w:val="en-US" w:eastAsia="zh-CN"/>
                    </w:rPr>
                    <w:t>/</w:t>
                  </w:r>
                </w:p>
              </w:tc>
              <w:tc>
                <w:tcPr>
                  <w:tcW w:w="1080" w:type="pct"/>
                  <w:noWrap w:val="0"/>
                  <w:vAlign w:val="center"/>
                </w:tcPr>
                <w:p>
                  <w:pPr>
                    <w:pStyle w:val="57"/>
                    <w:rPr>
                      <w:rFonts w:hint="eastAsia"/>
                      <w:color w:val="auto"/>
                      <w:szCs w:val="21"/>
                      <w:highlight w:val="none"/>
                    </w:rPr>
                  </w:pPr>
                  <w:r>
                    <w:rPr>
                      <w:rFonts w:hint="eastAsia"/>
                      <w:color w:val="auto"/>
                      <w:szCs w:val="21"/>
                      <w:highlight w:val="none"/>
                    </w:rPr>
                    <w:t>收集后由环卫部门统一清运处理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Merge w:val="continue"/>
                  <w:noWrap w:val="0"/>
                  <w:vAlign w:val="center"/>
                </w:tcPr>
                <w:p>
                  <w:pPr>
                    <w:pStyle w:val="57"/>
                    <w:rPr>
                      <w:color w:val="auto"/>
                      <w:szCs w:val="21"/>
                      <w:highlight w:val="none"/>
                    </w:rPr>
                  </w:pPr>
                </w:p>
              </w:tc>
              <w:tc>
                <w:tcPr>
                  <w:tcW w:w="914" w:type="pct"/>
                  <w:noWrap w:val="0"/>
                  <w:vAlign w:val="center"/>
                </w:tcPr>
                <w:p>
                  <w:pPr>
                    <w:pStyle w:val="57"/>
                    <w:rPr>
                      <w:rFonts w:hint="eastAsia" w:eastAsia="宋体"/>
                      <w:color w:val="auto"/>
                      <w:szCs w:val="21"/>
                      <w:highlight w:val="none"/>
                      <w:lang w:val="en-US" w:eastAsia="zh-CN"/>
                    </w:rPr>
                  </w:pPr>
                  <w:r>
                    <w:rPr>
                      <w:rFonts w:hint="eastAsia" w:eastAsia="宋体"/>
                      <w:color w:val="auto"/>
                      <w:szCs w:val="21"/>
                      <w:highlight w:val="none"/>
                      <w:lang w:val="en-US" w:eastAsia="zh-CN"/>
                    </w:rPr>
                    <w:t>污泥</w:t>
                  </w:r>
                </w:p>
              </w:tc>
              <w:tc>
                <w:tcPr>
                  <w:tcW w:w="979" w:type="pct"/>
                  <w:noWrap w:val="0"/>
                  <w:vAlign w:val="center"/>
                </w:tcPr>
                <w:p>
                  <w:pPr>
                    <w:pStyle w:val="57"/>
                    <w:rPr>
                      <w:rFonts w:hint="eastAsia"/>
                      <w:color w:val="auto"/>
                      <w:szCs w:val="21"/>
                      <w:highlight w:val="none"/>
                    </w:rPr>
                  </w:pPr>
                  <w:r>
                    <w:rPr>
                      <w:rFonts w:hint="eastAsia" w:eastAsia="宋体"/>
                      <w:color w:val="auto"/>
                      <w:szCs w:val="21"/>
                      <w:highlight w:val="none"/>
                      <w:lang w:val="en-US" w:eastAsia="zh-CN"/>
                    </w:rPr>
                    <w:t>污水处理</w:t>
                  </w:r>
                </w:p>
              </w:tc>
              <w:tc>
                <w:tcPr>
                  <w:tcW w:w="718"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2.22</w:t>
                  </w:r>
                </w:p>
              </w:tc>
              <w:tc>
                <w:tcPr>
                  <w:tcW w:w="898" w:type="pct"/>
                  <w:noWrap w:val="0"/>
                  <w:vAlign w:val="center"/>
                </w:tcPr>
                <w:p>
                  <w:pPr>
                    <w:pStyle w:val="57"/>
                    <w:rPr>
                      <w:rFonts w:hint="eastAsia" w:eastAsia="宋体"/>
                      <w:color w:val="auto"/>
                      <w:szCs w:val="21"/>
                      <w:highlight w:val="none"/>
                      <w:lang w:val="en-US" w:eastAsia="zh-CN"/>
                    </w:rPr>
                  </w:pPr>
                  <w:r>
                    <w:rPr>
                      <w:rFonts w:hint="eastAsia" w:eastAsia="宋体"/>
                      <w:color w:val="auto"/>
                      <w:szCs w:val="21"/>
                      <w:highlight w:val="none"/>
                      <w:lang w:val="en-US" w:eastAsia="zh-CN"/>
                    </w:rPr>
                    <w:t>/</w:t>
                  </w:r>
                </w:p>
              </w:tc>
              <w:tc>
                <w:tcPr>
                  <w:tcW w:w="1080" w:type="pct"/>
                  <w:noWrap w:val="0"/>
                  <w:vAlign w:val="center"/>
                </w:tcPr>
                <w:p>
                  <w:pPr>
                    <w:pStyle w:val="57"/>
                    <w:rPr>
                      <w:rFonts w:hint="eastAsia"/>
                      <w:color w:val="auto"/>
                      <w:szCs w:val="21"/>
                      <w:highlight w:val="none"/>
                    </w:rPr>
                  </w:pPr>
                  <w:r>
                    <w:rPr>
                      <w:rFonts w:hint="eastAsia"/>
                      <w:color w:val="auto"/>
                      <w:szCs w:val="21"/>
                      <w:highlight w:val="none"/>
                      <w:lang w:val="en-US" w:eastAsia="zh-CN"/>
                    </w:rPr>
                    <w:t>由环卫部门定期清掏处理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Merge w:val="continue"/>
                  <w:noWrap w:val="0"/>
                  <w:vAlign w:val="center"/>
                </w:tcPr>
                <w:p>
                  <w:pPr>
                    <w:pStyle w:val="57"/>
                    <w:rPr>
                      <w:color w:val="auto"/>
                      <w:szCs w:val="21"/>
                      <w:highlight w:val="none"/>
                    </w:rPr>
                  </w:pPr>
                </w:p>
              </w:tc>
              <w:tc>
                <w:tcPr>
                  <w:tcW w:w="914"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废离子交换树脂</w:t>
                  </w:r>
                </w:p>
              </w:tc>
              <w:tc>
                <w:tcPr>
                  <w:tcW w:w="979"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锅炉</w:t>
                  </w:r>
                </w:p>
              </w:tc>
              <w:tc>
                <w:tcPr>
                  <w:tcW w:w="718"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0.5</w:t>
                  </w:r>
                </w:p>
              </w:tc>
              <w:tc>
                <w:tcPr>
                  <w:tcW w:w="898" w:type="pct"/>
                  <w:noWrap w:val="0"/>
                  <w:vAlign w:val="center"/>
                </w:tcPr>
                <w:p>
                  <w:pPr>
                    <w:pStyle w:val="57"/>
                    <w:rPr>
                      <w:rFonts w:hint="eastAsia" w:eastAsia="宋体"/>
                      <w:color w:val="auto"/>
                      <w:szCs w:val="21"/>
                      <w:highlight w:val="none"/>
                      <w:lang w:val="en-US" w:eastAsia="zh-CN"/>
                    </w:rPr>
                  </w:pPr>
                  <w:r>
                    <w:rPr>
                      <w:rFonts w:hint="eastAsia" w:eastAsia="宋体"/>
                      <w:color w:val="auto"/>
                      <w:szCs w:val="21"/>
                      <w:highlight w:val="none"/>
                      <w:lang w:val="en-US" w:eastAsia="zh-CN"/>
                    </w:rPr>
                    <w:t>/</w:t>
                  </w:r>
                </w:p>
              </w:tc>
              <w:tc>
                <w:tcPr>
                  <w:tcW w:w="1080" w:type="pct"/>
                  <w:noWrap w:val="0"/>
                  <w:vAlign w:val="center"/>
                </w:tcPr>
                <w:p>
                  <w:pPr>
                    <w:pStyle w:val="57"/>
                    <w:rPr>
                      <w:rFonts w:hint="eastAsia"/>
                      <w:color w:val="auto"/>
                      <w:szCs w:val="21"/>
                      <w:highlight w:val="none"/>
                    </w:rPr>
                  </w:pPr>
                  <w:r>
                    <w:rPr>
                      <w:rFonts w:hint="eastAsia"/>
                      <w:color w:val="auto"/>
                      <w:szCs w:val="21"/>
                      <w:highlight w:val="none"/>
                    </w:rPr>
                    <w:t>收集后由环卫部门统一清运处理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7" w:type="pct"/>
                  <w:vMerge w:val="restart"/>
                  <w:noWrap w:val="0"/>
                  <w:vAlign w:val="center"/>
                </w:tcPr>
                <w:p>
                  <w:pPr>
                    <w:pStyle w:val="57"/>
                    <w:rPr>
                      <w:color w:val="auto"/>
                      <w:szCs w:val="21"/>
                      <w:highlight w:val="none"/>
                    </w:rPr>
                  </w:pPr>
                  <w:r>
                    <w:rPr>
                      <w:color w:val="auto"/>
                      <w:szCs w:val="21"/>
                      <w:highlight w:val="none"/>
                    </w:rPr>
                    <w:t>危险废物</w:t>
                  </w:r>
                </w:p>
              </w:tc>
              <w:tc>
                <w:tcPr>
                  <w:tcW w:w="914" w:type="pct"/>
                  <w:noWrap w:val="0"/>
                  <w:vAlign w:val="center"/>
                </w:tcPr>
                <w:p>
                  <w:pPr>
                    <w:pStyle w:val="57"/>
                    <w:rPr>
                      <w:color w:val="auto"/>
                      <w:szCs w:val="21"/>
                      <w:highlight w:val="none"/>
                    </w:rPr>
                  </w:pPr>
                  <w:r>
                    <w:rPr>
                      <w:color w:val="auto"/>
                      <w:szCs w:val="21"/>
                      <w:highlight w:val="none"/>
                    </w:rPr>
                    <w:t>废</w:t>
                  </w:r>
                  <w:r>
                    <w:rPr>
                      <w:rFonts w:hint="eastAsia" w:eastAsia="宋体"/>
                      <w:color w:val="auto"/>
                      <w:szCs w:val="21"/>
                      <w:highlight w:val="none"/>
                      <w:lang w:val="en-US" w:eastAsia="zh-CN"/>
                    </w:rPr>
                    <w:t>机</w:t>
                  </w:r>
                  <w:r>
                    <w:rPr>
                      <w:color w:val="auto"/>
                      <w:szCs w:val="21"/>
                      <w:highlight w:val="none"/>
                    </w:rPr>
                    <w:t>油</w:t>
                  </w:r>
                </w:p>
              </w:tc>
              <w:tc>
                <w:tcPr>
                  <w:tcW w:w="979" w:type="pct"/>
                  <w:vMerge w:val="restart"/>
                  <w:noWrap w:val="0"/>
                  <w:vAlign w:val="center"/>
                </w:tcPr>
                <w:p>
                  <w:pPr>
                    <w:pStyle w:val="57"/>
                    <w:rPr>
                      <w:color w:val="auto"/>
                      <w:szCs w:val="21"/>
                      <w:highlight w:val="none"/>
                    </w:rPr>
                  </w:pPr>
                  <w:r>
                    <w:rPr>
                      <w:color w:val="auto"/>
                      <w:szCs w:val="21"/>
                      <w:highlight w:val="none"/>
                    </w:rPr>
                    <w:t>生产、维护</w:t>
                  </w:r>
                </w:p>
              </w:tc>
              <w:tc>
                <w:tcPr>
                  <w:tcW w:w="718"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0.03</w:t>
                  </w:r>
                </w:p>
              </w:tc>
              <w:tc>
                <w:tcPr>
                  <w:tcW w:w="898" w:type="pct"/>
                  <w:noWrap w:val="0"/>
                  <w:vAlign w:val="center"/>
                </w:tcPr>
                <w:p>
                  <w:pPr>
                    <w:pStyle w:val="57"/>
                    <w:rPr>
                      <w:color w:val="auto"/>
                      <w:szCs w:val="21"/>
                      <w:highlight w:val="none"/>
                    </w:rPr>
                  </w:pPr>
                  <w:r>
                    <w:rPr>
                      <w:color w:val="auto"/>
                      <w:szCs w:val="21"/>
                      <w:highlight w:val="none"/>
                    </w:rPr>
                    <w:t>HW08</w:t>
                  </w:r>
                </w:p>
                <w:p>
                  <w:pPr>
                    <w:pStyle w:val="57"/>
                    <w:rPr>
                      <w:color w:val="auto"/>
                      <w:szCs w:val="21"/>
                      <w:highlight w:val="none"/>
                    </w:rPr>
                  </w:pPr>
                  <w:r>
                    <w:rPr>
                      <w:color w:val="auto"/>
                      <w:szCs w:val="21"/>
                      <w:highlight w:val="none"/>
                    </w:rPr>
                    <w:t>(900-</w:t>
                  </w:r>
                  <w:r>
                    <w:rPr>
                      <w:rFonts w:hint="eastAsia" w:eastAsia="宋体"/>
                      <w:color w:val="auto"/>
                      <w:szCs w:val="21"/>
                      <w:highlight w:val="none"/>
                      <w:lang w:val="en-US" w:eastAsia="zh-CN"/>
                    </w:rPr>
                    <w:t>249</w:t>
                  </w:r>
                  <w:r>
                    <w:rPr>
                      <w:color w:val="auto"/>
                      <w:szCs w:val="21"/>
                      <w:highlight w:val="none"/>
                    </w:rPr>
                    <w:t>-08)</w:t>
                  </w:r>
                </w:p>
              </w:tc>
              <w:tc>
                <w:tcPr>
                  <w:tcW w:w="1080" w:type="pct"/>
                  <w:vMerge w:val="restart"/>
                  <w:noWrap w:val="0"/>
                  <w:vAlign w:val="center"/>
                </w:tcPr>
                <w:p>
                  <w:pPr>
                    <w:pStyle w:val="57"/>
                    <w:rPr>
                      <w:color w:val="auto"/>
                      <w:szCs w:val="21"/>
                      <w:highlight w:val="none"/>
                    </w:rPr>
                  </w:pPr>
                  <w:r>
                    <w:rPr>
                      <w:color w:val="auto"/>
                      <w:szCs w:val="21"/>
                      <w:highlight w:val="none"/>
                    </w:rPr>
                    <w:t>暂存于危废暂存间，交由有资质的单位处理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07" w:type="pct"/>
                  <w:vMerge w:val="continue"/>
                  <w:noWrap w:val="0"/>
                  <w:vAlign w:val="center"/>
                </w:tcPr>
                <w:p>
                  <w:pPr>
                    <w:pStyle w:val="57"/>
                    <w:rPr>
                      <w:color w:val="auto"/>
                      <w:szCs w:val="21"/>
                      <w:highlight w:val="none"/>
                    </w:rPr>
                  </w:pPr>
                </w:p>
              </w:tc>
              <w:tc>
                <w:tcPr>
                  <w:tcW w:w="914" w:type="pct"/>
                  <w:noWrap w:val="0"/>
                  <w:vAlign w:val="center"/>
                </w:tcPr>
                <w:p>
                  <w:pPr>
                    <w:pStyle w:val="57"/>
                    <w:rPr>
                      <w:color w:val="auto"/>
                      <w:szCs w:val="21"/>
                      <w:highlight w:val="none"/>
                    </w:rPr>
                  </w:pPr>
                  <w:r>
                    <w:rPr>
                      <w:color w:val="auto"/>
                      <w:szCs w:val="21"/>
                      <w:highlight w:val="none"/>
                    </w:rPr>
                    <w:t>废</w:t>
                  </w:r>
                  <w:r>
                    <w:rPr>
                      <w:rFonts w:hint="eastAsia" w:eastAsia="宋体"/>
                      <w:color w:val="auto"/>
                      <w:szCs w:val="21"/>
                      <w:highlight w:val="none"/>
                      <w:lang w:val="en-US" w:eastAsia="zh-CN"/>
                    </w:rPr>
                    <w:t>机</w:t>
                  </w:r>
                  <w:r>
                    <w:rPr>
                      <w:color w:val="auto"/>
                      <w:szCs w:val="21"/>
                      <w:highlight w:val="none"/>
                    </w:rPr>
                    <w:t>油桶</w:t>
                  </w:r>
                </w:p>
              </w:tc>
              <w:tc>
                <w:tcPr>
                  <w:tcW w:w="979" w:type="pct"/>
                  <w:vMerge w:val="continue"/>
                  <w:noWrap w:val="0"/>
                  <w:vAlign w:val="center"/>
                </w:tcPr>
                <w:p>
                  <w:pPr>
                    <w:pStyle w:val="57"/>
                    <w:rPr>
                      <w:color w:val="auto"/>
                      <w:szCs w:val="21"/>
                      <w:highlight w:val="none"/>
                    </w:rPr>
                  </w:pPr>
                </w:p>
              </w:tc>
              <w:tc>
                <w:tcPr>
                  <w:tcW w:w="718"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0.01</w:t>
                  </w:r>
                </w:p>
              </w:tc>
              <w:tc>
                <w:tcPr>
                  <w:tcW w:w="898" w:type="pct"/>
                  <w:noWrap w:val="0"/>
                  <w:vAlign w:val="center"/>
                </w:tcPr>
                <w:p>
                  <w:pPr>
                    <w:pStyle w:val="57"/>
                    <w:rPr>
                      <w:color w:val="auto"/>
                      <w:szCs w:val="21"/>
                      <w:highlight w:val="none"/>
                    </w:rPr>
                  </w:pPr>
                  <w:r>
                    <w:rPr>
                      <w:color w:val="auto"/>
                      <w:szCs w:val="21"/>
                      <w:highlight w:val="none"/>
                    </w:rPr>
                    <w:t>HW08</w:t>
                  </w:r>
                </w:p>
                <w:p>
                  <w:pPr>
                    <w:pStyle w:val="57"/>
                    <w:rPr>
                      <w:color w:val="auto"/>
                      <w:szCs w:val="21"/>
                      <w:highlight w:val="none"/>
                    </w:rPr>
                  </w:pPr>
                  <w:r>
                    <w:rPr>
                      <w:color w:val="auto"/>
                      <w:szCs w:val="21"/>
                      <w:highlight w:val="none"/>
                    </w:rPr>
                    <w:t>(900-2</w:t>
                  </w:r>
                  <w:r>
                    <w:rPr>
                      <w:rFonts w:hint="eastAsia"/>
                      <w:color w:val="auto"/>
                      <w:szCs w:val="21"/>
                      <w:highlight w:val="none"/>
                      <w:lang w:val="en-US" w:eastAsia="zh-CN"/>
                    </w:rPr>
                    <w:t>49</w:t>
                  </w:r>
                  <w:r>
                    <w:rPr>
                      <w:color w:val="auto"/>
                      <w:szCs w:val="21"/>
                      <w:highlight w:val="none"/>
                    </w:rPr>
                    <w:t>-08)</w:t>
                  </w:r>
                </w:p>
              </w:tc>
              <w:tc>
                <w:tcPr>
                  <w:tcW w:w="1080" w:type="pct"/>
                  <w:vMerge w:val="continue"/>
                  <w:noWrap w:val="0"/>
                  <w:vAlign w:val="center"/>
                </w:tcPr>
                <w:p>
                  <w:pPr>
                    <w:pStyle w:val="57"/>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Merge w:val="continue"/>
                  <w:noWrap w:val="0"/>
                  <w:vAlign w:val="center"/>
                </w:tcPr>
                <w:p>
                  <w:pPr>
                    <w:pStyle w:val="60"/>
                    <w:ind w:left="440" w:firstLine="480"/>
                    <w:rPr>
                      <w:rFonts w:ascii="Times New Roman" w:hAnsi="Times New Roman" w:eastAsia="宋体"/>
                      <w:color w:val="auto"/>
                      <w:szCs w:val="21"/>
                      <w:highlight w:val="none"/>
                    </w:rPr>
                  </w:pPr>
                </w:p>
              </w:tc>
              <w:tc>
                <w:tcPr>
                  <w:tcW w:w="914" w:type="pct"/>
                  <w:noWrap w:val="0"/>
                  <w:vAlign w:val="center"/>
                </w:tcPr>
                <w:p>
                  <w:pPr>
                    <w:pStyle w:val="57"/>
                    <w:rPr>
                      <w:color w:val="auto"/>
                      <w:szCs w:val="21"/>
                      <w:highlight w:val="none"/>
                    </w:rPr>
                  </w:pPr>
                  <w:r>
                    <w:rPr>
                      <w:rFonts w:hint="eastAsia"/>
                      <w:color w:val="auto"/>
                      <w:szCs w:val="21"/>
                      <w:highlight w:val="none"/>
                    </w:rPr>
                    <w:t>废</w:t>
                  </w:r>
                  <w:r>
                    <w:rPr>
                      <w:color w:val="auto"/>
                      <w:szCs w:val="21"/>
                      <w:highlight w:val="none"/>
                    </w:rPr>
                    <w:t>含油抹布、手套</w:t>
                  </w:r>
                </w:p>
              </w:tc>
              <w:tc>
                <w:tcPr>
                  <w:tcW w:w="979" w:type="pct"/>
                  <w:vMerge w:val="continue"/>
                  <w:noWrap w:val="0"/>
                  <w:vAlign w:val="center"/>
                </w:tcPr>
                <w:p>
                  <w:pPr>
                    <w:pStyle w:val="57"/>
                    <w:rPr>
                      <w:color w:val="auto"/>
                      <w:szCs w:val="21"/>
                      <w:highlight w:val="none"/>
                    </w:rPr>
                  </w:pPr>
                </w:p>
              </w:tc>
              <w:tc>
                <w:tcPr>
                  <w:tcW w:w="718"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0.01</w:t>
                  </w:r>
                </w:p>
              </w:tc>
              <w:tc>
                <w:tcPr>
                  <w:tcW w:w="898" w:type="pct"/>
                  <w:noWrap w:val="0"/>
                  <w:vAlign w:val="center"/>
                </w:tcPr>
                <w:p>
                  <w:pPr>
                    <w:pStyle w:val="57"/>
                    <w:rPr>
                      <w:color w:val="auto"/>
                      <w:szCs w:val="21"/>
                      <w:highlight w:val="none"/>
                    </w:rPr>
                  </w:pPr>
                  <w:r>
                    <w:rPr>
                      <w:color w:val="auto"/>
                      <w:szCs w:val="21"/>
                      <w:highlight w:val="none"/>
                    </w:rPr>
                    <w:t>HW49</w:t>
                  </w:r>
                </w:p>
                <w:p>
                  <w:pPr>
                    <w:pStyle w:val="57"/>
                    <w:rPr>
                      <w:color w:val="auto"/>
                      <w:szCs w:val="21"/>
                      <w:highlight w:val="none"/>
                    </w:rPr>
                  </w:pPr>
                  <w:r>
                    <w:rPr>
                      <w:color w:val="auto"/>
                      <w:szCs w:val="21"/>
                      <w:highlight w:val="none"/>
                    </w:rPr>
                    <w:t>(900-041-49)</w:t>
                  </w:r>
                </w:p>
              </w:tc>
              <w:tc>
                <w:tcPr>
                  <w:tcW w:w="1080" w:type="pct"/>
                  <w:vMerge w:val="continue"/>
                  <w:noWrap w:val="0"/>
                  <w:vAlign w:val="center"/>
                </w:tcPr>
                <w:p>
                  <w:pPr>
                    <w:pStyle w:val="60"/>
                    <w:ind w:left="440" w:firstLine="480"/>
                    <w:rPr>
                      <w:rFonts w:ascii="Times New Roman" w:hAnsi="Times New Roman"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7" w:type="pct"/>
                  <w:vMerge w:val="continue"/>
                  <w:noWrap w:val="0"/>
                  <w:vAlign w:val="center"/>
                </w:tcPr>
                <w:p>
                  <w:pPr>
                    <w:pStyle w:val="60"/>
                    <w:ind w:left="440" w:firstLine="480"/>
                    <w:rPr>
                      <w:rFonts w:ascii="Times New Roman" w:hAnsi="Times New Roman" w:eastAsia="宋体"/>
                      <w:color w:val="auto"/>
                      <w:szCs w:val="21"/>
                      <w:highlight w:val="none"/>
                    </w:rPr>
                  </w:pPr>
                </w:p>
              </w:tc>
              <w:tc>
                <w:tcPr>
                  <w:tcW w:w="914"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废无尘布</w:t>
                  </w:r>
                </w:p>
              </w:tc>
              <w:tc>
                <w:tcPr>
                  <w:tcW w:w="979"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酒精擦拭</w:t>
                  </w:r>
                </w:p>
              </w:tc>
              <w:tc>
                <w:tcPr>
                  <w:tcW w:w="718"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0.01</w:t>
                  </w:r>
                </w:p>
              </w:tc>
              <w:tc>
                <w:tcPr>
                  <w:tcW w:w="898" w:type="pct"/>
                  <w:noWrap w:val="0"/>
                  <w:vAlign w:val="center"/>
                </w:tcPr>
                <w:p>
                  <w:pPr>
                    <w:pStyle w:val="57"/>
                    <w:rPr>
                      <w:color w:val="auto"/>
                      <w:szCs w:val="21"/>
                      <w:highlight w:val="none"/>
                    </w:rPr>
                  </w:pPr>
                  <w:r>
                    <w:rPr>
                      <w:color w:val="auto"/>
                      <w:szCs w:val="21"/>
                      <w:highlight w:val="none"/>
                    </w:rPr>
                    <w:t>HW49</w:t>
                  </w:r>
                </w:p>
                <w:p>
                  <w:pPr>
                    <w:pStyle w:val="57"/>
                    <w:rPr>
                      <w:color w:val="auto"/>
                      <w:szCs w:val="21"/>
                      <w:highlight w:val="none"/>
                    </w:rPr>
                  </w:pPr>
                  <w:r>
                    <w:rPr>
                      <w:color w:val="auto"/>
                      <w:szCs w:val="21"/>
                      <w:highlight w:val="none"/>
                    </w:rPr>
                    <w:t>(900-041-49)</w:t>
                  </w:r>
                </w:p>
              </w:tc>
              <w:tc>
                <w:tcPr>
                  <w:tcW w:w="1080" w:type="pct"/>
                  <w:vMerge w:val="continue"/>
                  <w:noWrap w:val="0"/>
                  <w:vAlign w:val="center"/>
                </w:tcPr>
                <w:p>
                  <w:pPr>
                    <w:pStyle w:val="60"/>
                    <w:ind w:left="440" w:firstLine="480"/>
                    <w:rPr>
                      <w:rFonts w:ascii="Times New Roman" w:hAnsi="Times New Roman"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7" w:type="pct"/>
                  <w:vMerge w:val="continue"/>
                  <w:noWrap w:val="0"/>
                  <w:vAlign w:val="center"/>
                </w:tcPr>
                <w:p>
                  <w:pPr>
                    <w:pStyle w:val="60"/>
                    <w:ind w:left="440" w:firstLine="480"/>
                    <w:rPr>
                      <w:rFonts w:ascii="Times New Roman" w:hAnsi="Times New Roman" w:eastAsia="宋体"/>
                      <w:color w:val="auto"/>
                      <w:szCs w:val="21"/>
                      <w:highlight w:val="none"/>
                    </w:rPr>
                  </w:pPr>
                </w:p>
              </w:tc>
              <w:tc>
                <w:tcPr>
                  <w:tcW w:w="914" w:type="pct"/>
                  <w:noWrap w:val="0"/>
                  <w:vAlign w:val="center"/>
                </w:tcPr>
                <w:p>
                  <w:pPr>
                    <w:pStyle w:val="57"/>
                    <w:rPr>
                      <w:rFonts w:hint="default" w:eastAsia="宋体"/>
                      <w:color w:val="auto"/>
                      <w:szCs w:val="21"/>
                      <w:highlight w:val="none"/>
                      <w:lang w:val="en-US" w:eastAsia="zh-CN"/>
                    </w:rPr>
                  </w:pPr>
                  <w:r>
                    <w:rPr>
                      <w:rFonts w:hint="default" w:eastAsia="宋体"/>
                      <w:color w:val="auto"/>
                      <w:szCs w:val="21"/>
                      <w:highlight w:val="none"/>
                      <w:lang w:val="en-US" w:eastAsia="zh-CN"/>
                    </w:rPr>
                    <w:t>沾染危险物质的废包装物</w:t>
                  </w:r>
                </w:p>
              </w:tc>
              <w:tc>
                <w:tcPr>
                  <w:tcW w:w="979" w:type="pct"/>
                  <w:noWrap w:val="0"/>
                  <w:vAlign w:val="center"/>
                </w:tcPr>
                <w:p>
                  <w:pPr>
                    <w:pStyle w:val="57"/>
                    <w:rPr>
                      <w:rFonts w:hint="eastAsia" w:eastAsia="宋体"/>
                      <w:color w:val="auto"/>
                      <w:szCs w:val="21"/>
                      <w:highlight w:val="none"/>
                      <w:lang w:val="en-US" w:eastAsia="zh-CN"/>
                    </w:rPr>
                  </w:pPr>
                  <w:r>
                    <w:rPr>
                      <w:rFonts w:hint="eastAsia" w:eastAsia="宋体"/>
                      <w:color w:val="auto"/>
                      <w:szCs w:val="21"/>
                      <w:highlight w:val="none"/>
                      <w:lang w:val="en-US" w:eastAsia="zh-CN"/>
                    </w:rPr>
                    <w:t>包装</w:t>
                  </w:r>
                </w:p>
              </w:tc>
              <w:tc>
                <w:tcPr>
                  <w:tcW w:w="718"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0.15</w:t>
                  </w:r>
                </w:p>
              </w:tc>
              <w:tc>
                <w:tcPr>
                  <w:tcW w:w="898" w:type="pct"/>
                  <w:noWrap w:val="0"/>
                  <w:vAlign w:val="center"/>
                </w:tcPr>
                <w:p>
                  <w:pPr>
                    <w:pStyle w:val="57"/>
                    <w:rPr>
                      <w:color w:val="auto"/>
                      <w:szCs w:val="21"/>
                      <w:highlight w:val="none"/>
                    </w:rPr>
                  </w:pPr>
                  <w:r>
                    <w:rPr>
                      <w:color w:val="auto"/>
                      <w:szCs w:val="21"/>
                      <w:highlight w:val="none"/>
                    </w:rPr>
                    <w:t>HW49</w:t>
                  </w:r>
                </w:p>
                <w:p>
                  <w:pPr>
                    <w:pStyle w:val="57"/>
                    <w:rPr>
                      <w:color w:val="auto"/>
                      <w:szCs w:val="21"/>
                      <w:highlight w:val="none"/>
                    </w:rPr>
                  </w:pPr>
                  <w:r>
                    <w:rPr>
                      <w:color w:val="auto"/>
                      <w:szCs w:val="21"/>
                      <w:highlight w:val="none"/>
                    </w:rPr>
                    <w:t>(900-041-49)</w:t>
                  </w:r>
                </w:p>
              </w:tc>
              <w:tc>
                <w:tcPr>
                  <w:tcW w:w="1080" w:type="pct"/>
                  <w:vMerge w:val="continue"/>
                  <w:noWrap w:val="0"/>
                  <w:vAlign w:val="center"/>
                </w:tcPr>
                <w:p>
                  <w:pPr>
                    <w:pStyle w:val="60"/>
                    <w:ind w:left="440" w:firstLine="480"/>
                    <w:rPr>
                      <w:rFonts w:ascii="Times New Roman" w:hAnsi="Times New Roman"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7" w:type="pct"/>
                  <w:vMerge w:val="continue"/>
                  <w:noWrap w:val="0"/>
                  <w:vAlign w:val="center"/>
                </w:tcPr>
                <w:p>
                  <w:pPr>
                    <w:pStyle w:val="60"/>
                    <w:ind w:left="440" w:firstLine="480"/>
                    <w:rPr>
                      <w:rFonts w:ascii="Times New Roman" w:hAnsi="Times New Roman" w:eastAsia="宋体"/>
                      <w:color w:val="auto"/>
                      <w:szCs w:val="21"/>
                      <w:highlight w:val="none"/>
                    </w:rPr>
                  </w:pPr>
                </w:p>
              </w:tc>
              <w:tc>
                <w:tcPr>
                  <w:tcW w:w="914" w:type="pct"/>
                  <w:noWrap w:val="0"/>
                  <w:vAlign w:val="center"/>
                </w:tcPr>
                <w:p>
                  <w:pPr>
                    <w:pStyle w:val="57"/>
                    <w:rPr>
                      <w:rFonts w:hint="eastAsia"/>
                      <w:color w:val="auto"/>
                      <w:szCs w:val="21"/>
                      <w:highlight w:val="none"/>
                    </w:rPr>
                  </w:pPr>
                  <w:r>
                    <w:rPr>
                      <w:rFonts w:hint="eastAsia"/>
                      <w:color w:val="auto"/>
                      <w:szCs w:val="21"/>
                      <w:highlight w:val="none"/>
                    </w:rPr>
                    <w:t>实验废液</w:t>
                  </w:r>
                </w:p>
              </w:tc>
              <w:tc>
                <w:tcPr>
                  <w:tcW w:w="979" w:type="pct"/>
                  <w:noWrap w:val="0"/>
                  <w:vAlign w:val="center"/>
                </w:tcPr>
                <w:p>
                  <w:pPr>
                    <w:pStyle w:val="57"/>
                    <w:rPr>
                      <w:rFonts w:hint="eastAsia" w:eastAsia="宋体"/>
                      <w:color w:val="auto"/>
                      <w:szCs w:val="21"/>
                      <w:highlight w:val="none"/>
                      <w:lang w:val="en-US" w:eastAsia="zh-CN"/>
                    </w:rPr>
                  </w:pPr>
                  <w:r>
                    <w:rPr>
                      <w:rFonts w:hint="eastAsia" w:eastAsia="宋体"/>
                      <w:color w:val="auto"/>
                      <w:szCs w:val="21"/>
                      <w:highlight w:val="none"/>
                      <w:lang w:val="en-US" w:eastAsia="zh-CN"/>
                    </w:rPr>
                    <w:t>化验</w:t>
                  </w:r>
                </w:p>
              </w:tc>
              <w:tc>
                <w:tcPr>
                  <w:tcW w:w="718" w:type="pct"/>
                  <w:noWrap w:val="0"/>
                  <w:vAlign w:val="center"/>
                </w:tcPr>
                <w:p>
                  <w:pPr>
                    <w:pStyle w:val="57"/>
                    <w:rPr>
                      <w:rFonts w:hint="default" w:eastAsia="宋体"/>
                      <w:color w:val="auto"/>
                      <w:szCs w:val="21"/>
                      <w:highlight w:val="none"/>
                      <w:lang w:val="en-US" w:eastAsia="zh-CN"/>
                    </w:rPr>
                  </w:pPr>
                  <w:r>
                    <w:rPr>
                      <w:rFonts w:hint="eastAsia" w:eastAsia="宋体"/>
                      <w:color w:val="auto"/>
                      <w:szCs w:val="21"/>
                      <w:highlight w:val="none"/>
                      <w:lang w:val="en-US" w:eastAsia="zh-CN"/>
                    </w:rPr>
                    <w:t>0.78</w:t>
                  </w:r>
                </w:p>
              </w:tc>
              <w:tc>
                <w:tcPr>
                  <w:tcW w:w="898" w:type="pct"/>
                  <w:noWrap w:val="0"/>
                  <w:vAlign w:val="center"/>
                </w:tcPr>
                <w:p>
                  <w:pPr>
                    <w:pStyle w:val="57"/>
                    <w:rPr>
                      <w:color w:val="auto"/>
                      <w:szCs w:val="21"/>
                      <w:highlight w:val="none"/>
                    </w:rPr>
                  </w:pPr>
                  <w:r>
                    <w:rPr>
                      <w:color w:val="auto"/>
                      <w:szCs w:val="21"/>
                      <w:highlight w:val="none"/>
                    </w:rPr>
                    <w:t>HW49</w:t>
                  </w:r>
                </w:p>
                <w:p>
                  <w:pPr>
                    <w:pStyle w:val="57"/>
                    <w:rPr>
                      <w:color w:val="auto"/>
                      <w:szCs w:val="21"/>
                      <w:highlight w:val="none"/>
                    </w:rPr>
                  </w:pPr>
                  <w:r>
                    <w:rPr>
                      <w:color w:val="auto"/>
                      <w:szCs w:val="21"/>
                      <w:highlight w:val="none"/>
                    </w:rPr>
                    <w:t>(900-04</w:t>
                  </w:r>
                  <w:r>
                    <w:rPr>
                      <w:rFonts w:hint="eastAsia" w:eastAsia="宋体"/>
                      <w:color w:val="auto"/>
                      <w:szCs w:val="21"/>
                      <w:highlight w:val="none"/>
                      <w:lang w:val="en-US" w:eastAsia="zh-CN"/>
                    </w:rPr>
                    <w:t>7</w:t>
                  </w:r>
                  <w:r>
                    <w:rPr>
                      <w:color w:val="auto"/>
                      <w:szCs w:val="21"/>
                      <w:highlight w:val="none"/>
                    </w:rPr>
                    <w:t>-49)</w:t>
                  </w:r>
                </w:p>
              </w:tc>
              <w:tc>
                <w:tcPr>
                  <w:tcW w:w="1080" w:type="pct"/>
                  <w:vMerge w:val="continue"/>
                  <w:noWrap w:val="0"/>
                  <w:vAlign w:val="center"/>
                </w:tcPr>
                <w:p>
                  <w:pPr>
                    <w:pStyle w:val="60"/>
                    <w:ind w:left="440" w:firstLine="480"/>
                    <w:rPr>
                      <w:rFonts w:ascii="Times New Roman" w:hAnsi="Times New Roman" w:eastAsia="宋体"/>
                      <w:color w:val="auto"/>
                      <w:szCs w:val="21"/>
                      <w:highlight w:val="none"/>
                    </w:rPr>
                  </w:pPr>
                </w:p>
              </w:tc>
            </w:tr>
          </w:tbl>
          <w:p>
            <w:pPr>
              <w:pStyle w:val="8"/>
              <w:spacing w:before="0" w:after="0" w:line="360" w:lineRule="auto"/>
              <w:ind w:right="0" w:firstLine="480" w:firstLineChars="200"/>
              <w:rPr>
                <w:rFonts w:hint="eastAsia"/>
                <w:color w:val="auto"/>
                <w:sz w:val="24"/>
                <w:szCs w:val="24"/>
                <w:highlight w:val="none"/>
              </w:rPr>
            </w:pPr>
            <w:r>
              <w:rPr>
                <w:rFonts w:hint="eastAsia"/>
                <w:color w:val="auto"/>
                <w:sz w:val="24"/>
                <w:szCs w:val="24"/>
                <w:highlight w:val="none"/>
              </w:rPr>
              <w:t>本项目危险废物产生及处置情况</w:t>
            </w:r>
            <w:r>
              <w:rPr>
                <w:rFonts w:hint="eastAsia" w:ascii="Times New Roman" w:hAnsi="Times New Roman" w:eastAsia="宋体" w:cs="Times New Roman"/>
                <w:color w:val="auto"/>
                <w:sz w:val="24"/>
                <w:szCs w:val="24"/>
                <w:highlight w:val="none"/>
              </w:rPr>
              <w:t>见下表</w:t>
            </w:r>
            <w:r>
              <w:rPr>
                <w:rFonts w:hint="eastAsia"/>
                <w:color w:val="auto"/>
                <w:sz w:val="24"/>
                <w:szCs w:val="24"/>
                <w:highlight w:val="none"/>
              </w:rPr>
              <w:t>。</w:t>
            </w:r>
          </w:p>
          <w:p>
            <w:pPr>
              <w:pStyle w:val="41"/>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auto"/>
              <w:rPr>
                <w:rFonts w:hint="eastAsia"/>
                <w:color w:val="auto"/>
                <w:highlight w:val="none"/>
              </w:rPr>
            </w:pPr>
            <w:r>
              <w:rPr>
                <w:rFonts w:hint="eastAsia"/>
                <w:color w:val="auto"/>
                <w:highlight w:val="none"/>
              </w:rPr>
              <w:t>表4-1</w:t>
            </w:r>
            <w:r>
              <w:rPr>
                <w:rFonts w:hint="eastAsia"/>
                <w:color w:val="auto"/>
                <w:highlight w:val="none"/>
                <w:lang w:val="en-US" w:eastAsia="zh-CN"/>
              </w:rPr>
              <w:t>6</w:t>
            </w:r>
            <w:r>
              <w:rPr>
                <w:rFonts w:hint="eastAsia"/>
                <w:color w:val="auto"/>
                <w:highlight w:val="none"/>
              </w:rPr>
              <w:t xml:space="preserve">  项目危险废物汇总表</w:t>
            </w:r>
          </w:p>
          <w:tbl>
            <w:tblPr>
              <w:tblStyle w:val="21"/>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1220"/>
              <w:gridCol w:w="817"/>
              <w:gridCol w:w="1299"/>
              <w:gridCol w:w="1013"/>
              <w:gridCol w:w="894"/>
              <w:gridCol w:w="499"/>
              <w:gridCol w:w="1047"/>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pPr>
                    <w:pStyle w:val="60"/>
                    <w:spacing w:before="0"/>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序号</w:t>
                  </w:r>
                </w:p>
              </w:tc>
              <w:tc>
                <w:tcPr>
                  <w:tcW w:w="741" w:type="pct"/>
                  <w:noWrap w:val="0"/>
                  <w:vAlign w:val="center"/>
                </w:tcPr>
                <w:p>
                  <w:pPr>
                    <w:pStyle w:val="60"/>
                    <w:spacing w:before="0"/>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危险废物名称</w:t>
                  </w:r>
                </w:p>
              </w:tc>
              <w:tc>
                <w:tcPr>
                  <w:tcW w:w="496" w:type="pct"/>
                  <w:noWrap w:val="0"/>
                  <w:vAlign w:val="center"/>
                </w:tcPr>
                <w:p>
                  <w:pPr>
                    <w:pStyle w:val="60"/>
                    <w:spacing w:before="0"/>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危险废物类别</w:t>
                  </w:r>
                </w:p>
              </w:tc>
              <w:tc>
                <w:tcPr>
                  <w:tcW w:w="789" w:type="pct"/>
                  <w:noWrap w:val="0"/>
                  <w:vAlign w:val="center"/>
                </w:tcPr>
                <w:p>
                  <w:pPr>
                    <w:pStyle w:val="60"/>
                    <w:spacing w:before="0"/>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危险废物代码</w:t>
                  </w:r>
                </w:p>
              </w:tc>
              <w:tc>
                <w:tcPr>
                  <w:tcW w:w="615" w:type="pct"/>
                  <w:noWrap w:val="0"/>
                  <w:vAlign w:val="center"/>
                </w:tcPr>
                <w:p>
                  <w:pPr>
                    <w:pStyle w:val="60"/>
                    <w:spacing w:before="0"/>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产生量（t/a）</w:t>
                  </w:r>
                </w:p>
              </w:tc>
              <w:tc>
                <w:tcPr>
                  <w:tcW w:w="543" w:type="pct"/>
                  <w:noWrap w:val="0"/>
                  <w:vAlign w:val="center"/>
                </w:tcPr>
                <w:p>
                  <w:pPr>
                    <w:pStyle w:val="60"/>
                    <w:spacing w:before="0"/>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产生工序及装置</w:t>
                  </w:r>
                </w:p>
              </w:tc>
              <w:tc>
                <w:tcPr>
                  <w:tcW w:w="303" w:type="pct"/>
                  <w:noWrap w:val="0"/>
                  <w:vAlign w:val="center"/>
                </w:tcPr>
                <w:p>
                  <w:pPr>
                    <w:pStyle w:val="60"/>
                    <w:spacing w:before="0"/>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形态</w:t>
                  </w:r>
                </w:p>
              </w:tc>
              <w:tc>
                <w:tcPr>
                  <w:tcW w:w="636" w:type="pct"/>
                  <w:noWrap w:val="0"/>
                  <w:vAlign w:val="center"/>
                </w:tcPr>
                <w:p>
                  <w:pPr>
                    <w:pStyle w:val="60"/>
                    <w:spacing w:before="0"/>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有害成分</w:t>
                  </w:r>
                </w:p>
              </w:tc>
              <w:tc>
                <w:tcPr>
                  <w:tcW w:w="492" w:type="pct"/>
                  <w:noWrap w:val="0"/>
                  <w:vAlign w:val="center"/>
                </w:tcPr>
                <w:p>
                  <w:pPr>
                    <w:pStyle w:val="60"/>
                    <w:spacing w:before="0"/>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1</w:t>
                  </w:r>
                </w:p>
              </w:tc>
              <w:tc>
                <w:tcPr>
                  <w:tcW w:w="741" w:type="pct"/>
                  <w:noWrap w:val="0"/>
                  <w:vAlign w:val="center"/>
                </w:tcPr>
                <w:p>
                  <w:pPr>
                    <w:pStyle w:val="57"/>
                    <w:jc w:val="center"/>
                    <w:rPr>
                      <w:rFonts w:hint="eastAsia" w:ascii="Times New Roman" w:hAnsi="Times New Roman" w:eastAsia="Times New Roman" w:cs="Times New Roman"/>
                      <w:color w:val="auto"/>
                      <w:sz w:val="21"/>
                      <w:szCs w:val="21"/>
                      <w:highlight w:val="none"/>
                      <w:lang w:val="en-US" w:eastAsia="zh-CN" w:bidi="ar-SA"/>
                    </w:rPr>
                  </w:pPr>
                  <w:r>
                    <w:rPr>
                      <w:color w:val="auto"/>
                      <w:szCs w:val="21"/>
                      <w:highlight w:val="none"/>
                    </w:rPr>
                    <w:t>废</w:t>
                  </w:r>
                  <w:r>
                    <w:rPr>
                      <w:rFonts w:hint="eastAsia" w:eastAsia="宋体"/>
                      <w:color w:val="auto"/>
                      <w:szCs w:val="21"/>
                      <w:highlight w:val="none"/>
                      <w:lang w:val="en-US" w:eastAsia="zh-CN"/>
                    </w:rPr>
                    <w:t>机</w:t>
                  </w:r>
                  <w:r>
                    <w:rPr>
                      <w:color w:val="auto"/>
                      <w:szCs w:val="21"/>
                      <w:highlight w:val="none"/>
                    </w:rPr>
                    <w:t>油</w:t>
                  </w:r>
                </w:p>
              </w:tc>
              <w:tc>
                <w:tcPr>
                  <w:tcW w:w="496" w:type="pct"/>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HW08</w:t>
                  </w:r>
                </w:p>
              </w:tc>
              <w:tc>
                <w:tcPr>
                  <w:tcW w:w="789" w:type="pct"/>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900-2</w:t>
                  </w:r>
                  <w:r>
                    <w:rPr>
                      <w:rFonts w:hint="eastAsia" w:ascii="Times New Roman" w:hAnsi="Times New Roman" w:eastAsia="宋体"/>
                      <w:b w:val="0"/>
                      <w:color w:val="auto"/>
                      <w:szCs w:val="21"/>
                      <w:highlight w:val="none"/>
                      <w:lang w:val="en-US" w:eastAsia="zh-CN"/>
                    </w:rPr>
                    <w:t>49</w:t>
                  </w:r>
                  <w:r>
                    <w:rPr>
                      <w:rFonts w:ascii="Times New Roman" w:hAnsi="Times New Roman" w:eastAsia="宋体"/>
                      <w:b w:val="0"/>
                      <w:color w:val="auto"/>
                      <w:szCs w:val="21"/>
                      <w:highlight w:val="none"/>
                    </w:rPr>
                    <w:t>-08</w:t>
                  </w:r>
                </w:p>
              </w:tc>
              <w:tc>
                <w:tcPr>
                  <w:tcW w:w="615" w:type="pct"/>
                  <w:noWrap w:val="0"/>
                  <w:vAlign w:val="center"/>
                </w:tcPr>
                <w:p>
                  <w:pPr>
                    <w:pStyle w:val="57"/>
                    <w:rPr>
                      <w:rFonts w:hint="eastAsia"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0.03</w:t>
                  </w:r>
                </w:p>
              </w:tc>
              <w:tc>
                <w:tcPr>
                  <w:tcW w:w="543" w:type="pct"/>
                  <w:vMerge w:val="restart"/>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生产、维护</w:t>
                  </w:r>
                </w:p>
              </w:tc>
              <w:tc>
                <w:tcPr>
                  <w:tcW w:w="303" w:type="pct"/>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液</w:t>
                  </w:r>
                </w:p>
              </w:tc>
              <w:tc>
                <w:tcPr>
                  <w:tcW w:w="636" w:type="pct"/>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矿物油</w:t>
                  </w:r>
                </w:p>
              </w:tc>
              <w:tc>
                <w:tcPr>
                  <w:tcW w:w="492" w:type="pct"/>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T</w:t>
                  </w:r>
                  <w:r>
                    <w:rPr>
                      <w:rFonts w:hint="eastAsia" w:ascii="Times New Roman" w:hAnsi="Times New Roman" w:eastAsia="宋体"/>
                      <w:b w:val="0"/>
                      <w:color w:val="auto"/>
                      <w:szCs w:val="21"/>
                      <w:highlight w:val="none"/>
                      <w:lang w:eastAsia="zh-CN"/>
                    </w:rPr>
                    <w:t>，</w:t>
                  </w:r>
                  <w:r>
                    <w:rPr>
                      <w:rFonts w:ascii="Times New Roman" w:hAnsi="Times New Roman" w:eastAsia="宋体"/>
                      <w:b w:val="0"/>
                      <w:color w:val="auto"/>
                      <w:szCs w:val="21"/>
                      <w:highlight w:val="none"/>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2</w:t>
                  </w:r>
                </w:p>
              </w:tc>
              <w:tc>
                <w:tcPr>
                  <w:tcW w:w="741" w:type="pct"/>
                  <w:noWrap w:val="0"/>
                  <w:vAlign w:val="center"/>
                </w:tcPr>
                <w:p>
                  <w:pPr>
                    <w:pStyle w:val="57"/>
                    <w:jc w:val="center"/>
                    <w:rPr>
                      <w:rFonts w:hint="eastAsia" w:ascii="Times New Roman" w:hAnsi="Times New Roman" w:eastAsia="Times New Roman" w:cs="Times New Roman"/>
                      <w:color w:val="auto"/>
                      <w:sz w:val="21"/>
                      <w:szCs w:val="21"/>
                      <w:highlight w:val="none"/>
                      <w:lang w:val="en-US" w:eastAsia="zh-CN" w:bidi="ar-SA"/>
                    </w:rPr>
                  </w:pPr>
                  <w:r>
                    <w:rPr>
                      <w:color w:val="auto"/>
                      <w:szCs w:val="21"/>
                      <w:highlight w:val="none"/>
                    </w:rPr>
                    <w:t>废</w:t>
                  </w:r>
                  <w:r>
                    <w:rPr>
                      <w:rFonts w:hint="eastAsia" w:eastAsia="宋体"/>
                      <w:color w:val="auto"/>
                      <w:szCs w:val="21"/>
                      <w:highlight w:val="none"/>
                      <w:lang w:val="en-US" w:eastAsia="zh-CN"/>
                    </w:rPr>
                    <w:t>机</w:t>
                  </w:r>
                  <w:r>
                    <w:rPr>
                      <w:color w:val="auto"/>
                      <w:szCs w:val="21"/>
                      <w:highlight w:val="none"/>
                    </w:rPr>
                    <w:t>油桶</w:t>
                  </w:r>
                </w:p>
              </w:tc>
              <w:tc>
                <w:tcPr>
                  <w:tcW w:w="496" w:type="pct"/>
                  <w:noWrap w:val="0"/>
                  <w:vAlign w:val="center"/>
                </w:tcPr>
                <w:p>
                  <w:pPr>
                    <w:pStyle w:val="60"/>
                    <w:spacing w:before="0"/>
                    <w:jc w:val="center"/>
                    <w:rPr>
                      <w:rFonts w:hint="default" w:ascii="Times New Roman" w:hAnsi="Times New Roman" w:eastAsia="宋体"/>
                      <w:b w:val="0"/>
                      <w:color w:val="auto"/>
                      <w:szCs w:val="21"/>
                      <w:highlight w:val="none"/>
                      <w:lang w:val="en-US"/>
                    </w:rPr>
                  </w:pPr>
                  <w:r>
                    <w:rPr>
                      <w:rFonts w:ascii="Times New Roman" w:hAnsi="Times New Roman" w:eastAsia="宋体"/>
                      <w:b w:val="0"/>
                      <w:color w:val="auto"/>
                      <w:szCs w:val="21"/>
                      <w:highlight w:val="none"/>
                    </w:rPr>
                    <w:t>HW</w:t>
                  </w:r>
                  <w:r>
                    <w:rPr>
                      <w:rFonts w:hint="eastAsia" w:ascii="Times New Roman" w:hAnsi="Times New Roman" w:eastAsia="宋体"/>
                      <w:b w:val="0"/>
                      <w:color w:val="auto"/>
                      <w:szCs w:val="21"/>
                      <w:highlight w:val="none"/>
                      <w:lang w:val="en-US" w:eastAsia="zh-CN"/>
                    </w:rPr>
                    <w:t>08</w:t>
                  </w:r>
                </w:p>
              </w:tc>
              <w:tc>
                <w:tcPr>
                  <w:tcW w:w="789" w:type="pct"/>
                  <w:noWrap w:val="0"/>
                  <w:vAlign w:val="center"/>
                </w:tcPr>
                <w:p>
                  <w:pPr>
                    <w:pStyle w:val="60"/>
                    <w:spacing w:before="0"/>
                    <w:jc w:val="center"/>
                    <w:rPr>
                      <w:rFonts w:ascii="Times New Roman" w:hAnsi="Times New Roman" w:eastAsia="宋体"/>
                      <w:b w:val="0"/>
                      <w:color w:val="auto"/>
                      <w:szCs w:val="21"/>
                      <w:highlight w:val="none"/>
                    </w:rPr>
                  </w:pPr>
                  <w:r>
                    <w:rPr>
                      <w:rFonts w:hint="eastAsia" w:ascii="Times New Roman" w:hAnsi="Times New Roman" w:eastAsia="宋体"/>
                      <w:b w:val="0"/>
                      <w:color w:val="auto"/>
                      <w:szCs w:val="21"/>
                      <w:highlight w:val="none"/>
                    </w:rPr>
                    <w:t>900-249-08</w:t>
                  </w:r>
                </w:p>
              </w:tc>
              <w:tc>
                <w:tcPr>
                  <w:tcW w:w="615" w:type="pct"/>
                  <w:noWrap w:val="0"/>
                  <w:vAlign w:val="center"/>
                </w:tcPr>
                <w:p>
                  <w:pPr>
                    <w:pStyle w:val="57"/>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0.01</w:t>
                  </w:r>
                </w:p>
              </w:tc>
              <w:tc>
                <w:tcPr>
                  <w:tcW w:w="543" w:type="pct"/>
                  <w:vMerge w:val="continue"/>
                  <w:noWrap w:val="0"/>
                  <w:vAlign w:val="center"/>
                </w:tcPr>
                <w:p>
                  <w:pPr>
                    <w:pStyle w:val="60"/>
                    <w:spacing w:before="0"/>
                    <w:jc w:val="center"/>
                    <w:rPr>
                      <w:rFonts w:ascii="Times New Roman" w:hAnsi="Times New Roman" w:eastAsia="宋体"/>
                      <w:b w:val="0"/>
                      <w:color w:val="auto"/>
                      <w:szCs w:val="21"/>
                      <w:highlight w:val="none"/>
                    </w:rPr>
                  </w:pPr>
                </w:p>
              </w:tc>
              <w:tc>
                <w:tcPr>
                  <w:tcW w:w="303" w:type="pct"/>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固</w:t>
                  </w:r>
                </w:p>
              </w:tc>
              <w:tc>
                <w:tcPr>
                  <w:tcW w:w="636" w:type="pct"/>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沾染矿物油</w:t>
                  </w:r>
                </w:p>
              </w:tc>
              <w:tc>
                <w:tcPr>
                  <w:tcW w:w="492" w:type="pct"/>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T</w:t>
                  </w:r>
                  <w:r>
                    <w:rPr>
                      <w:rFonts w:hint="eastAsia" w:ascii="Times New Roman" w:hAnsi="Times New Roman" w:eastAsia="宋体"/>
                      <w:b w:val="0"/>
                      <w:color w:val="auto"/>
                      <w:szCs w:val="21"/>
                      <w:highlight w:val="none"/>
                      <w:lang w:val="en-US" w:eastAsia="zh-CN"/>
                    </w:rPr>
                    <w:t>，</w:t>
                  </w:r>
                  <w:r>
                    <w:rPr>
                      <w:rFonts w:ascii="Times New Roman" w:hAnsi="Times New Roman" w:eastAsia="宋体"/>
                      <w:b w:val="0"/>
                      <w:color w:val="auto"/>
                      <w:szCs w:val="21"/>
                      <w:highlight w:val="none"/>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3</w:t>
                  </w:r>
                </w:p>
              </w:tc>
              <w:tc>
                <w:tcPr>
                  <w:tcW w:w="741" w:type="pct"/>
                  <w:noWrap w:val="0"/>
                  <w:vAlign w:val="center"/>
                </w:tcPr>
                <w:p>
                  <w:pPr>
                    <w:pStyle w:val="57"/>
                    <w:jc w:val="center"/>
                    <w:rPr>
                      <w:rFonts w:hint="eastAsia" w:ascii="Times New Roman" w:hAnsi="Times New Roman" w:eastAsia="Times New Roman" w:cs="Times New Roman"/>
                      <w:color w:val="auto"/>
                      <w:sz w:val="21"/>
                      <w:szCs w:val="21"/>
                      <w:highlight w:val="none"/>
                      <w:lang w:val="en-US" w:eastAsia="zh-CN" w:bidi="ar-SA"/>
                    </w:rPr>
                  </w:pPr>
                  <w:r>
                    <w:rPr>
                      <w:rFonts w:hint="eastAsia"/>
                      <w:color w:val="auto"/>
                      <w:szCs w:val="21"/>
                      <w:highlight w:val="none"/>
                    </w:rPr>
                    <w:t>废</w:t>
                  </w:r>
                  <w:r>
                    <w:rPr>
                      <w:color w:val="auto"/>
                      <w:szCs w:val="21"/>
                      <w:highlight w:val="none"/>
                    </w:rPr>
                    <w:t>含油抹布、手套</w:t>
                  </w:r>
                </w:p>
              </w:tc>
              <w:tc>
                <w:tcPr>
                  <w:tcW w:w="496" w:type="pct"/>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HW49</w:t>
                  </w:r>
                </w:p>
              </w:tc>
              <w:tc>
                <w:tcPr>
                  <w:tcW w:w="789" w:type="pct"/>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900-041-49</w:t>
                  </w:r>
                </w:p>
              </w:tc>
              <w:tc>
                <w:tcPr>
                  <w:tcW w:w="615" w:type="pct"/>
                  <w:noWrap w:val="0"/>
                  <w:vAlign w:val="center"/>
                </w:tcPr>
                <w:p>
                  <w:pPr>
                    <w:pStyle w:val="57"/>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0.01</w:t>
                  </w:r>
                </w:p>
              </w:tc>
              <w:tc>
                <w:tcPr>
                  <w:tcW w:w="543" w:type="pct"/>
                  <w:vMerge w:val="continue"/>
                  <w:noWrap w:val="0"/>
                  <w:vAlign w:val="center"/>
                </w:tcPr>
                <w:p>
                  <w:pPr>
                    <w:pStyle w:val="60"/>
                    <w:spacing w:before="0"/>
                    <w:jc w:val="center"/>
                    <w:rPr>
                      <w:rFonts w:ascii="Times New Roman" w:hAnsi="Times New Roman" w:eastAsia="宋体"/>
                      <w:b w:val="0"/>
                      <w:color w:val="auto"/>
                      <w:szCs w:val="21"/>
                      <w:highlight w:val="none"/>
                    </w:rPr>
                  </w:pPr>
                </w:p>
              </w:tc>
              <w:tc>
                <w:tcPr>
                  <w:tcW w:w="303" w:type="pct"/>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固</w:t>
                  </w:r>
                </w:p>
              </w:tc>
              <w:tc>
                <w:tcPr>
                  <w:tcW w:w="636" w:type="pct"/>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沾染矿物油</w:t>
                  </w:r>
                </w:p>
              </w:tc>
              <w:tc>
                <w:tcPr>
                  <w:tcW w:w="492" w:type="pct"/>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pPr>
                    <w:pStyle w:val="60"/>
                    <w:spacing w:before="0"/>
                    <w:jc w:val="center"/>
                    <w:rPr>
                      <w:rFonts w:hint="eastAsia" w:ascii="Times New Roman" w:hAnsi="Times New Roman" w:eastAsia="宋体"/>
                      <w:b w:val="0"/>
                      <w:color w:val="auto"/>
                      <w:szCs w:val="21"/>
                      <w:highlight w:val="none"/>
                    </w:rPr>
                  </w:pPr>
                  <w:r>
                    <w:rPr>
                      <w:rFonts w:hint="eastAsia" w:ascii="Times New Roman" w:hAnsi="Times New Roman" w:eastAsia="宋体"/>
                      <w:b w:val="0"/>
                      <w:color w:val="auto"/>
                      <w:szCs w:val="21"/>
                      <w:highlight w:val="none"/>
                    </w:rPr>
                    <w:t>4</w:t>
                  </w:r>
                </w:p>
              </w:tc>
              <w:tc>
                <w:tcPr>
                  <w:tcW w:w="741"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废无尘布</w:t>
                  </w:r>
                </w:p>
              </w:tc>
              <w:tc>
                <w:tcPr>
                  <w:tcW w:w="496" w:type="pct"/>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HW49</w:t>
                  </w:r>
                </w:p>
              </w:tc>
              <w:tc>
                <w:tcPr>
                  <w:tcW w:w="789" w:type="pct"/>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900-0</w:t>
                  </w:r>
                  <w:r>
                    <w:rPr>
                      <w:rFonts w:hint="eastAsia" w:ascii="Times New Roman" w:hAnsi="Times New Roman" w:eastAsia="宋体"/>
                      <w:b w:val="0"/>
                      <w:color w:val="auto"/>
                      <w:szCs w:val="21"/>
                      <w:highlight w:val="none"/>
                      <w:lang w:val="en-US" w:eastAsia="zh-CN"/>
                    </w:rPr>
                    <w:t>41</w:t>
                  </w:r>
                  <w:r>
                    <w:rPr>
                      <w:rFonts w:ascii="Times New Roman" w:hAnsi="Times New Roman" w:eastAsia="宋体"/>
                      <w:b w:val="0"/>
                      <w:color w:val="auto"/>
                      <w:szCs w:val="21"/>
                      <w:highlight w:val="none"/>
                    </w:rPr>
                    <w:t>-49</w:t>
                  </w:r>
                </w:p>
              </w:tc>
              <w:tc>
                <w:tcPr>
                  <w:tcW w:w="615" w:type="pct"/>
                  <w:noWrap w:val="0"/>
                  <w:vAlign w:val="center"/>
                </w:tcPr>
                <w:p>
                  <w:pPr>
                    <w:pStyle w:val="57"/>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0.01</w:t>
                  </w:r>
                </w:p>
              </w:tc>
              <w:tc>
                <w:tcPr>
                  <w:tcW w:w="543" w:type="pct"/>
                  <w:noWrap w:val="0"/>
                  <w:vAlign w:val="center"/>
                </w:tcPr>
                <w:p>
                  <w:pPr>
                    <w:pStyle w:val="57"/>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酒精擦拭</w:t>
                  </w:r>
                </w:p>
              </w:tc>
              <w:tc>
                <w:tcPr>
                  <w:tcW w:w="303" w:type="pct"/>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固</w:t>
                  </w:r>
                </w:p>
              </w:tc>
              <w:tc>
                <w:tcPr>
                  <w:tcW w:w="636" w:type="pct"/>
                  <w:noWrap w:val="0"/>
                  <w:vAlign w:val="center"/>
                </w:tcPr>
                <w:p>
                  <w:pPr>
                    <w:pStyle w:val="60"/>
                    <w:spacing w:before="0"/>
                    <w:jc w:val="center"/>
                    <w:rPr>
                      <w:rFonts w:ascii="Times New Roman" w:hAnsi="Times New Roman" w:eastAsia="宋体"/>
                      <w:b w:val="0"/>
                      <w:color w:val="auto"/>
                      <w:szCs w:val="21"/>
                      <w:highlight w:val="none"/>
                    </w:rPr>
                  </w:pPr>
                  <w:r>
                    <w:rPr>
                      <w:rFonts w:hint="eastAsia" w:ascii="Times New Roman" w:hAnsi="Times New Roman" w:eastAsia="宋体"/>
                      <w:b w:val="0"/>
                      <w:color w:val="auto"/>
                      <w:szCs w:val="21"/>
                      <w:highlight w:val="none"/>
                    </w:rPr>
                    <w:t>沾染有机废气</w:t>
                  </w:r>
                </w:p>
              </w:tc>
              <w:tc>
                <w:tcPr>
                  <w:tcW w:w="492" w:type="pct"/>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 w:type="dxa"/>
                  <w:noWrap w:val="0"/>
                  <w:vAlign w:val="center"/>
                </w:tcPr>
                <w:p>
                  <w:pPr>
                    <w:pStyle w:val="60"/>
                    <w:spacing w:before="0"/>
                    <w:jc w:val="center"/>
                    <w:rPr>
                      <w:rFonts w:hint="eastAsia" w:ascii="Times New Roman" w:hAnsi="Times New Roman" w:eastAsia="宋体"/>
                      <w:b w:val="0"/>
                      <w:color w:val="auto"/>
                      <w:szCs w:val="21"/>
                      <w:highlight w:val="none"/>
                      <w:lang w:val="en-US" w:eastAsia="zh-CN"/>
                    </w:rPr>
                  </w:pPr>
                  <w:r>
                    <w:rPr>
                      <w:rFonts w:hint="eastAsia" w:ascii="Times New Roman" w:hAnsi="Times New Roman" w:eastAsia="宋体"/>
                      <w:b w:val="0"/>
                      <w:color w:val="auto"/>
                      <w:szCs w:val="21"/>
                      <w:highlight w:val="none"/>
                      <w:lang w:val="en-US" w:eastAsia="zh-CN"/>
                    </w:rPr>
                    <w:t>5</w:t>
                  </w:r>
                </w:p>
              </w:tc>
              <w:tc>
                <w:tcPr>
                  <w:tcW w:w="1213" w:type="dxa"/>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default" w:eastAsia="宋体"/>
                      <w:color w:val="auto"/>
                      <w:szCs w:val="21"/>
                      <w:highlight w:val="none"/>
                      <w:lang w:val="en-US" w:eastAsia="zh-CN"/>
                    </w:rPr>
                    <w:t>沾染危险物质的废包装物</w:t>
                  </w:r>
                </w:p>
              </w:tc>
              <w:tc>
                <w:tcPr>
                  <w:tcW w:w="809" w:type="dxa"/>
                  <w:noWrap w:val="0"/>
                  <w:vAlign w:val="center"/>
                </w:tcPr>
                <w:p>
                  <w:pPr>
                    <w:pStyle w:val="60"/>
                    <w:spacing w:before="0"/>
                    <w:jc w:val="center"/>
                    <w:rPr>
                      <w:rFonts w:hint="default" w:ascii="Times New Roman" w:hAnsi="Times New Roman" w:eastAsia="宋体"/>
                      <w:b w:val="0"/>
                      <w:color w:val="auto"/>
                      <w:kern w:val="2"/>
                      <w:sz w:val="21"/>
                      <w:szCs w:val="21"/>
                      <w:highlight w:val="none"/>
                      <w:lang w:val="en-US" w:eastAsia="zh-CN" w:bidi="ar-SA"/>
                    </w:rPr>
                  </w:pPr>
                  <w:r>
                    <w:rPr>
                      <w:rFonts w:ascii="Times New Roman" w:hAnsi="Times New Roman" w:eastAsia="宋体"/>
                      <w:b w:val="0"/>
                      <w:color w:val="auto"/>
                      <w:szCs w:val="21"/>
                      <w:highlight w:val="none"/>
                    </w:rPr>
                    <w:t>HW49</w:t>
                  </w:r>
                </w:p>
              </w:tc>
              <w:tc>
                <w:tcPr>
                  <w:tcW w:w="1293" w:type="dxa"/>
                  <w:noWrap w:val="0"/>
                  <w:vAlign w:val="center"/>
                </w:tcPr>
                <w:p>
                  <w:pPr>
                    <w:pStyle w:val="60"/>
                    <w:spacing w:before="0"/>
                    <w:jc w:val="center"/>
                    <w:rPr>
                      <w:rFonts w:hint="default" w:ascii="Times New Roman" w:hAnsi="Times New Roman" w:eastAsia="宋体"/>
                      <w:b w:val="0"/>
                      <w:color w:val="auto"/>
                      <w:kern w:val="2"/>
                      <w:sz w:val="21"/>
                      <w:szCs w:val="21"/>
                      <w:highlight w:val="none"/>
                      <w:lang w:val="en-US" w:eastAsia="zh-CN" w:bidi="ar-SA"/>
                    </w:rPr>
                  </w:pPr>
                  <w:r>
                    <w:rPr>
                      <w:rFonts w:ascii="Times New Roman" w:hAnsi="Times New Roman" w:eastAsia="宋体"/>
                      <w:b w:val="0"/>
                      <w:color w:val="auto"/>
                      <w:szCs w:val="21"/>
                      <w:highlight w:val="none"/>
                    </w:rPr>
                    <w:t>900-0</w:t>
                  </w:r>
                  <w:r>
                    <w:rPr>
                      <w:rFonts w:hint="eastAsia" w:ascii="Times New Roman" w:hAnsi="Times New Roman" w:eastAsia="宋体"/>
                      <w:b w:val="0"/>
                      <w:color w:val="auto"/>
                      <w:szCs w:val="21"/>
                      <w:highlight w:val="none"/>
                      <w:lang w:val="en-US" w:eastAsia="zh-CN"/>
                    </w:rPr>
                    <w:t>41</w:t>
                  </w:r>
                  <w:r>
                    <w:rPr>
                      <w:rFonts w:ascii="Times New Roman" w:hAnsi="Times New Roman" w:eastAsia="宋体"/>
                      <w:b w:val="0"/>
                      <w:color w:val="auto"/>
                      <w:szCs w:val="21"/>
                      <w:highlight w:val="none"/>
                    </w:rPr>
                    <w:t>-49</w:t>
                  </w:r>
                </w:p>
              </w:tc>
              <w:tc>
                <w:tcPr>
                  <w:tcW w:w="1007" w:type="dxa"/>
                  <w:noWrap w:val="0"/>
                  <w:vAlign w:val="center"/>
                </w:tcPr>
                <w:p>
                  <w:pPr>
                    <w:pStyle w:val="57"/>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0.15</w:t>
                  </w:r>
                </w:p>
              </w:tc>
              <w:tc>
                <w:tcPr>
                  <w:tcW w:w="888" w:type="dxa"/>
                  <w:noWrap w:val="0"/>
                  <w:vAlign w:val="center"/>
                </w:tcPr>
                <w:p>
                  <w:pPr>
                    <w:pStyle w:val="57"/>
                    <w:rPr>
                      <w:rFonts w:hint="eastAsia"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包装</w:t>
                  </w:r>
                </w:p>
              </w:tc>
              <w:tc>
                <w:tcPr>
                  <w:tcW w:w="492" w:type="dxa"/>
                  <w:noWrap w:val="0"/>
                  <w:vAlign w:val="center"/>
                </w:tcPr>
                <w:p>
                  <w:pPr>
                    <w:pStyle w:val="60"/>
                    <w:spacing w:before="0"/>
                    <w:jc w:val="center"/>
                    <w:rPr>
                      <w:rFonts w:hint="default" w:ascii="Times New Roman" w:hAnsi="Times New Roman" w:eastAsia="宋体"/>
                      <w:b w:val="0"/>
                      <w:color w:val="auto"/>
                      <w:szCs w:val="21"/>
                      <w:highlight w:val="none"/>
                      <w:lang w:val="en-US" w:eastAsia="zh-CN"/>
                    </w:rPr>
                  </w:pPr>
                  <w:r>
                    <w:rPr>
                      <w:rFonts w:hint="eastAsia" w:ascii="Times New Roman" w:hAnsi="Times New Roman" w:eastAsia="宋体"/>
                      <w:b w:val="0"/>
                      <w:color w:val="auto"/>
                      <w:szCs w:val="21"/>
                      <w:highlight w:val="none"/>
                      <w:lang w:val="en-US" w:eastAsia="zh-CN"/>
                    </w:rPr>
                    <w:t>固</w:t>
                  </w:r>
                </w:p>
              </w:tc>
              <w:tc>
                <w:tcPr>
                  <w:tcW w:w="1041" w:type="dxa"/>
                  <w:noWrap w:val="0"/>
                  <w:vAlign w:val="center"/>
                </w:tcPr>
                <w:p>
                  <w:pPr>
                    <w:pStyle w:val="60"/>
                    <w:spacing w:before="0"/>
                    <w:jc w:val="center"/>
                    <w:rPr>
                      <w:rFonts w:ascii="Times New Roman" w:hAnsi="Times New Roman" w:eastAsia="宋体"/>
                      <w:b w:val="0"/>
                      <w:color w:val="auto"/>
                      <w:szCs w:val="21"/>
                      <w:highlight w:val="none"/>
                    </w:rPr>
                  </w:pPr>
                  <w:r>
                    <w:rPr>
                      <w:rFonts w:hint="eastAsia" w:ascii="Times New Roman" w:hAnsi="Times New Roman" w:eastAsia="宋体"/>
                      <w:b w:val="0"/>
                      <w:color w:val="auto"/>
                      <w:szCs w:val="21"/>
                      <w:highlight w:val="none"/>
                    </w:rPr>
                    <w:t>沾染危险物质</w:t>
                  </w:r>
                </w:p>
              </w:tc>
              <w:tc>
                <w:tcPr>
                  <w:tcW w:w="870" w:type="dxa"/>
                  <w:noWrap w:val="0"/>
                  <w:vAlign w:val="center"/>
                </w:tcPr>
                <w:p>
                  <w:pPr>
                    <w:pStyle w:val="60"/>
                    <w:spacing w:before="0"/>
                    <w:jc w:val="center"/>
                    <w:rPr>
                      <w:rFonts w:ascii="Times New Roman" w:hAnsi="Times New Roman" w:eastAsia="宋体"/>
                      <w:b w:val="0"/>
                      <w:color w:val="auto"/>
                      <w:szCs w:val="21"/>
                      <w:highlight w:val="none"/>
                    </w:rPr>
                  </w:pPr>
                  <w:r>
                    <w:rPr>
                      <w:rFonts w:ascii="Times New Roman" w:hAnsi="Times New Roman" w:eastAsia="宋体"/>
                      <w:b w:val="0"/>
                      <w:color w:val="auto"/>
                      <w:szCs w:val="21"/>
                      <w:highlight w:val="none"/>
                    </w:rPr>
                    <w:t>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 w:type="dxa"/>
                  <w:noWrap w:val="0"/>
                  <w:vAlign w:val="center"/>
                </w:tcPr>
                <w:p>
                  <w:pPr>
                    <w:pStyle w:val="60"/>
                    <w:spacing w:before="0"/>
                    <w:jc w:val="center"/>
                    <w:rPr>
                      <w:rFonts w:hint="eastAsia" w:ascii="Times New Roman" w:hAnsi="Times New Roman" w:eastAsia="宋体"/>
                      <w:b w:val="0"/>
                      <w:color w:val="auto"/>
                      <w:szCs w:val="21"/>
                      <w:highlight w:val="none"/>
                      <w:lang w:val="en-US" w:eastAsia="zh-CN"/>
                    </w:rPr>
                  </w:pPr>
                  <w:r>
                    <w:rPr>
                      <w:rFonts w:hint="eastAsia" w:ascii="Times New Roman" w:hAnsi="Times New Roman" w:eastAsia="宋体"/>
                      <w:b w:val="0"/>
                      <w:color w:val="auto"/>
                      <w:szCs w:val="21"/>
                      <w:highlight w:val="none"/>
                      <w:lang w:val="en-US" w:eastAsia="zh-CN"/>
                    </w:rPr>
                    <w:t>6</w:t>
                  </w:r>
                </w:p>
              </w:tc>
              <w:tc>
                <w:tcPr>
                  <w:tcW w:w="1213" w:type="dxa"/>
                  <w:noWrap w:val="0"/>
                  <w:vAlign w:val="center"/>
                </w:tcPr>
                <w:p>
                  <w:pPr>
                    <w:pStyle w:val="57"/>
                    <w:jc w:val="center"/>
                    <w:rPr>
                      <w:rFonts w:hint="eastAsia" w:ascii="Times New Roman" w:hAnsi="Times New Roman" w:eastAsia="Times New Roman" w:cs="Times New Roman"/>
                      <w:color w:val="auto"/>
                      <w:sz w:val="21"/>
                      <w:szCs w:val="21"/>
                      <w:highlight w:val="none"/>
                      <w:lang w:val="en-US" w:eastAsia="zh-CN" w:bidi="ar-SA"/>
                    </w:rPr>
                  </w:pPr>
                  <w:r>
                    <w:rPr>
                      <w:rFonts w:hint="eastAsia"/>
                      <w:color w:val="auto"/>
                      <w:szCs w:val="21"/>
                      <w:highlight w:val="none"/>
                    </w:rPr>
                    <w:t>实验废液</w:t>
                  </w:r>
                </w:p>
              </w:tc>
              <w:tc>
                <w:tcPr>
                  <w:tcW w:w="809" w:type="dxa"/>
                  <w:noWrap w:val="0"/>
                  <w:vAlign w:val="center"/>
                </w:tcPr>
                <w:p>
                  <w:pPr>
                    <w:pStyle w:val="60"/>
                    <w:spacing w:before="0"/>
                    <w:jc w:val="center"/>
                    <w:rPr>
                      <w:rFonts w:hint="default" w:ascii="Times New Roman" w:hAnsi="Times New Roman" w:eastAsia="宋体"/>
                      <w:b w:val="0"/>
                      <w:color w:val="auto"/>
                      <w:kern w:val="2"/>
                      <w:sz w:val="21"/>
                      <w:szCs w:val="21"/>
                      <w:highlight w:val="none"/>
                      <w:lang w:val="en-US" w:eastAsia="zh-CN" w:bidi="ar-SA"/>
                    </w:rPr>
                  </w:pPr>
                  <w:r>
                    <w:rPr>
                      <w:rFonts w:ascii="Times New Roman" w:hAnsi="Times New Roman" w:eastAsia="宋体"/>
                      <w:b w:val="0"/>
                      <w:color w:val="auto"/>
                      <w:szCs w:val="21"/>
                      <w:highlight w:val="none"/>
                    </w:rPr>
                    <w:t>HW49</w:t>
                  </w:r>
                </w:p>
              </w:tc>
              <w:tc>
                <w:tcPr>
                  <w:tcW w:w="1293" w:type="dxa"/>
                  <w:noWrap w:val="0"/>
                  <w:vAlign w:val="center"/>
                </w:tcPr>
                <w:p>
                  <w:pPr>
                    <w:pStyle w:val="60"/>
                    <w:spacing w:before="0"/>
                    <w:jc w:val="center"/>
                    <w:rPr>
                      <w:rFonts w:hint="default" w:ascii="Times New Roman" w:hAnsi="Times New Roman" w:eastAsia="宋体"/>
                      <w:b w:val="0"/>
                      <w:color w:val="auto"/>
                      <w:kern w:val="2"/>
                      <w:sz w:val="21"/>
                      <w:szCs w:val="21"/>
                      <w:highlight w:val="none"/>
                      <w:lang w:val="en-US" w:eastAsia="zh-CN" w:bidi="ar-SA"/>
                    </w:rPr>
                  </w:pPr>
                  <w:r>
                    <w:rPr>
                      <w:rFonts w:ascii="Times New Roman" w:hAnsi="Times New Roman" w:eastAsia="宋体"/>
                      <w:b w:val="0"/>
                      <w:color w:val="auto"/>
                      <w:szCs w:val="21"/>
                      <w:highlight w:val="none"/>
                    </w:rPr>
                    <w:t>900-0</w:t>
                  </w:r>
                  <w:r>
                    <w:rPr>
                      <w:rFonts w:hint="eastAsia" w:ascii="Times New Roman" w:hAnsi="Times New Roman" w:eastAsia="宋体"/>
                      <w:b w:val="0"/>
                      <w:color w:val="auto"/>
                      <w:szCs w:val="21"/>
                      <w:highlight w:val="none"/>
                      <w:lang w:val="en-US" w:eastAsia="zh-CN"/>
                    </w:rPr>
                    <w:t>47</w:t>
                  </w:r>
                  <w:r>
                    <w:rPr>
                      <w:rFonts w:ascii="Times New Roman" w:hAnsi="Times New Roman" w:eastAsia="宋体"/>
                      <w:b w:val="0"/>
                      <w:color w:val="auto"/>
                      <w:szCs w:val="21"/>
                      <w:highlight w:val="none"/>
                    </w:rPr>
                    <w:t>-49</w:t>
                  </w:r>
                </w:p>
              </w:tc>
              <w:tc>
                <w:tcPr>
                  <w:tcW w:w="1007" w:type="dxa"/>
                  <w:noWrap w:val="0"/>
                  <w:vAlign w:val="center"/>
                </w:tcPr>
                <w:p>
                  <w:pPr>
                    <w:pStyle w:val="57"/>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0.78</w:t>
                  </w:r>
                </w:p>
              </w:tc>
              <w:tc>
                <w:tcPr>
                  <w:tcW w:w="888" w:type="dxa"/>
                  <w:noWrap w:val="0"/>
                  <w:vAlign w:val="center"/>
                </w:tcPr>
                <w:p>
                  <w:pPr>
                    <w:pStyle w:val="57"/>
                    <w:rPr>
                      <w:rFonts w:hint="eastAsia"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化验</w:t>
                  </w:r>
                </w:p>
              </w:tc>
              <w:tc>
                <w:tcPr>
                  <w:tcW w:w="492" w:type="dxa"/>
                  <w:noWrap w:val="0"/>
                  <w:vAlign w:val="center"/>
                </w:tcPr>
                <w:p>
                  <w:pPr>
                    <w:pStyle w:val="60"/>
                    <w:spacing w:before="0"/>
                    <w:jc w:val="center"/>
                    <w:rPr>
                      <w:rFonts w:hint="eastAsia" w:ascii="Times New Roman" w:hAnsi="Times New Roman" w:eastAsia="宋体"/>
                      <w:b w:val="0"/>
                      <w:color w:val="auto"/>
                      <w:szCs w:val="21"/>
                      <w:highlight w:val="none"/>
                      <w:lang w:val="en-US" w:eastAsia="zh-CN"/>
                    </w:rPr>
                  </w:pPr>
                  <w:r>
                    <w:rPr>
                      <w:rFonts w:hint="eastAsia" w:ascii="Times New Roman" w:hAnsi="Times New Roman" w:eastAsia="宋体"/>
                      <w:b w:val="0"/>
                      <w:color w:val="auto"/>
                      <w:szCs w:val="21"/>
                      <w:highlight w:val="none"/>
                      <w:lang w:val="en-US" w:eastAsia="zh-CN"/>
                    </w:rPr>
                    <w:t>液</w:t>
                  </w:r>
                </w:p>
              </w:tc>
              <w:tc>
                <w:tcPr>
                  <w:tcW w:w="1041" w:type="dxa"/>
                  <w:noWrap w:val="0"/>
                  <w:vAlign w:val="center"/>
                </w:tcPr>
                <w:p>
                  <w:pPr>
                    <w:pStyle w:val="60"/>
                    <w:spacing w:before="0"/>
                    <w:jc w:val="center"/>
                    <w:rPr>
                      <w:rFonts w:hint="default" w:ascii="Times New Roman" w:hAnsi="Times New Roman" w:eastAsia="宋体"/>
                      <w:b w:val="0"/>
                      <w:color w:val="auto"/>
                      <w:szCs w:val="21"/>
                      <w:highlight w:val="none"/>
                      <w:lang w:val="en-US" w:eastAsia="zh-CN"/>
                    </w:rPr>
                  </w:pPr>
                  <w:r>
                    <w:rPr>
                      <w:rFonts w:hint="eastAsia" w:ascii="Times New Roman" w:hAnsi="Times New Roman" w:eastAsia="宋体"/>
                      <w:b w:val="0"/>
                      <w:color w:val="auto"/>
                      <w:szCs w:val="21"/>
                      <w:highlight w:val="none"/>
                      <w:lang w:val="en-US" w:eastAsia="zh-CN"/>
                    </w:rPr>
                    <w:t>化验室废液</w:t>
                  </w:r>
                </w:p>
              </w:tc>
              <w:tc>
                <w:tcPr>
                  <w:tcW w:w="870" w:type="dxa"/>
                  <w:noWrap w:val="0"/>
                  <w:vAlign w:val="center"/>
                </w:tcPr>
                <w:p>
                  <w:pPr>
                    <w:pStyle w:val="60"/>
                    <w:spacing w:before="0"/>
                    <w:jc w:val="center"/>
                    <w:rPr>
                      <w:rFonts w:hint="default" w:ascii="Times New Roman" w:hAnsi="Times New Roman" w:eastAsia="宋体"/>
                      <w:b w:val="0"/>
                      <w:color w:val="auto"/>
                      <w:szCs w:val="21"/>
                      <w:highlight w:val="none"/>
                      <w:lang w:val="en-US" w:eastAsia="zh-CN"/>
                    </w:rPr>
                  </w:pPr>
                  <w:r>
                    <w:rPr>
                      <w:rFonts w:hint="eastAsia" w:ascii="Times New Roman" w:hAnsi="Times New Roman" w:eastAsia="宋体"/>
                      <w:b w:val="0"/>
                      <w:color w:val="auto"/>
                      <w:szCs w:val="21"/>
                      <w:highlight w:val="none"/>
                      <w:lang w:val="en-US" w:eastAsia="zh-CN"/>
                    </w:rPr>
                    <w:t>T/C/I/R</w:t>
                  </w:r>
                </w:p>
              </w:tc>
            </w:tr>
          </w:tbl>
          <w:p>
            <w:pPr>
              <w:pStyle w:val="8"/>
              <w:spacing w:before="0" w:after="0" w:line="360" w:lineRule="auto"/>
              <w:ind w:right="0"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本项目危险废物暂存场所（设施）基本情况见下表</w:t>
            </w:r>
            <w:r>
              <w:rPr>
                <w:rFonts w:hint="eastAsia" w:ascii="Times New Roman" w:hAnsi="Times New Roman" w:eastAsia="宋体" w:cs="Times New Roman"/>
                <w:color w:val="auto"/>
                <w:sz w:val="24"/>
                <w:szCs w:val="24"/>
                <w:highlight w:val="none"/>
                <w:lang w:eastAsia="zh-CN"/>
              </w:rPr>
              <w:t>。</w:t>
            </w:r>
          </w:p>
          <w:p>
            <w:pPr>
              <w:pStyle w:val="41"/>
              <w:keepNext w:val="0"/>
              <w:keepLines w:val="0"/>
              <w:pageBreakBefore w:val="0"/>
              <w:widowControl w:val="0"/>
              <w:kinsoku/>
              <w:wordWrap/>
              <w:overflowPunct/>
              <w:topLinePunct w:val="0"/>
              <w:autoSpaceDE/>
              <w:autoSpaceDN/>
              <w:bidi w:val="0"/>
              <w:adjustRightInd w:val="0"/>
              <w:snapToGrid w:val="0"/>
              <w:spacing w:line="260" w:lineRule="auto"/>
              <w:ind w:firstLine="0" w:firstLineChars="0"/>
              <w:textAlignment w:val="auto"/>
              <w:rPr>
                <w:rFonts w:hint="eastAsia" w:ascii="Times New Roman" w:hAnsi="Times New Roman" w:eastAsia="宋体" w:cs="Times New Roman"/>
                <w:b/>
                <w:bCs/>
                <w:color w:val="auto"/>
                <w:kern w:val="0"/>
                <w:szCs w:val="21"/>
                <w:highlight w:val="none"/>
              </w:rPr>
            </w:pPr>
            <w:r>
              <w:rPr>
                <w:rFonts w:hint="eastAsia" w:ascii="Times New Roman" w:hAnsi="Times New Roman" w:eastAsia="宋体" w:cs="Times New Roman"/>
                <w:b/>
                <w:bCs/>
                <w:color w:val="auto"/>
                <w:kern w:val="0"/>
                <w:szCs w:val="21"/>
                <w:highlight w:val="none"/>
              </w:rPr>
              <w:t>表4-</w:t>
            </w:r>
            <w:r>
              <w:rPr>
                <w:rFonts w:hint="eastAsia" w:ascii="Times New Roman" w:hAnsi="Times New Roman" w:eastAsia="宋体" w:cs="Times New Roman"/>
                <w:color w:val="auto"/>
                <w:highlight w:val="none"/>
              </w:rPr>
              <w:t>1</w:t>
            </w:r>
            <w:r>
              <w:rPr>
                <w:rFonts w:hint="eastAsia" w:cs="Times New Roman"/>
                <w:color w:val="auto"/>
                <w:highlight w:val="none"/>
                <w:lang w:val="en-US" w:eastAsia="zh-CN"/>
              </w:rPr>
              <w:t>7</w:t>
            </w:r>
            <w:r>
              <w:rPr>
                <w:rFonts w:hint="eastAsia" w:ascii="Times New Roman" w:hAnsi="Times New Roman" w:eastAsia="宋体" w:cs="Times New Roman"/>
                <w:color w:val="auto"/>
                <w:highlight w:val="none"/>
              </w:rPr>
              <w:t xml:space="preserve">  建设项目危险废物贮存场所（设施）基本情况</w:t>
            </w:r>
          </w:p>
          <w:tbl>
            <w:tblPr>
              <w:tblStyle w:val="21"/>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104"/>
              <w:gridCol w:w="889"/>
              <w:gridCol w:w="1287"/>
              <w:gridCol w:w="691"/>
              <w:gridCol w:w="1557"/>
              <w:gridCol w:w="875"/>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pct"/>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b/>
                      <w:bCs/>
                      <w:color w:val="auto"/>
                      <w:sz w:val="21"/>
                      <w:szCs w:val="21"/>
                      <w:highlight w:val="none"/>
                    </w:rPr>
                  </w:pPr>
                  <w:bookmarkStart w:id="3" w:name="_Hlk47616735"/>
                  <w:r>
                    <w:rPr>
                      <w:rFonts w:ascii="Times New Roman"/>
                      <w:b/>
                      <w:bCs/>
                      <w:color w:val="auto"/>
                      <w:sz w:val="21"/>
                      <w:szCs w:val="21"/>
                      <w:highlight w:val="none"/>
                    </w:rPr>
                    <w:t>贮存场所（设施）名称</w:t>
                  </w:r>
                </w:p>
              </w:tc>
              <w:tc>
                <w:tcPr>
                  <w:tcW w:w="671" w:type="pct"/>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b/>
                      <w:bCs/>
                      <w:color w:val="auto"/>
                      <w:sz w:val="21"/>
                      <w:szCs w:val="21"/>
                      <w:highlight w:val="none"/>
                    </w:rPr>
                  </w:pPr>
                  <w:r>
                    <w:rPr>
                      <w:rFonts w:ascii="Times New Roman"/>
                      <w:b/>
                      <w:bCs/>
                      <w:color w:val="auto"/>
                      <w:sz w:val="21"/>
                      <w:szCs w:val="21"/>
                      <w:highlight w:val="none"/>
                    </w:rPr>
                    <w:t>危险废物名称</w:t>
                  </w:r>
                </w:p>
              </w:tc>
              <w:tc>
                <w:tcPr>
                  <w:tcW w:w="540" w:type="pct"/>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b/>
                      <w:bCs/>
                      <w:color w:val="auto"/>
                      <w:sz w:val="21"/>
                      <w:szCs w:val="21"/>
                      <w:highlight w:val="none"/>
                    </w:rPr>
                  </w:pPr>
                  <w:r>
                    <w:rPr>
                      <w:rFonts w:ascii="Times New Roman"/>
                      <w:b/>
                      <w:bCs/>
                      <w:color w:val="auto"/>
                      <w:sz w:val="21"/>
                      <w:szCs w:val="21"/>
                      <w:highlight w:val="none"/>
                    </w:rPr>
                    <w:t>危险废物类别</w:t>
                  </w:r>
                </w:p>
              </w:tc>
              <w:tc>
                <w:tcPr>
                  <w:tcW w:w="782" w:type="pct"/>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b/>
                      <w:bCs/>
                      <w:color w:val="auto"/>
                      <w:sz w:val="21"/>
                      <w:szCs w:val="21"/>
                      <w:highlight w:val="none"/>
                    </w:rPr>
                  </w:pPr>
                  <w:r>
                    <w:rPr>
                      <w:rFonts w:ascii="Times New Roman"/>
                      <w:b/>
                      <w:bCs/>
                      <w:color w:val="auto"/>
                      <w:sz w:val="21"/>
                      <w:szCs w:val="21"/>
                      <w:highlight w:val="none"/>
                    </w:rPr>
                    <w:t>危险废物代码</w:t>
                  </w:r>
                </w:p>
              </w:tc>
              <w:tc>
                <w:tcPr>
                  <w:tcW w:w="420" w:type="pct"/>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b/>
                      <w:bCs/>
                      <w:color w:val="auto"/>
                      <w:sz w:val="21"/>
                      <w:szCs w:val="21"/>
                      <w:highlight w:val="none"/>
                    </w:rPr>
                  </w:pPr>
                  <w:r>
                    <w:rPr>
                      <w:rFonts w:ascii="Times New Roman"/>
                      <w:b/>
                      <w:bCs/>
                      <w:color w:val="auto"/>
                      <w:sz w:val="21"/>
                      <w:szCs w:val="21"/>
                      <w:highlight w:val="none"/>
                    </w:rPr>
                    <w:t>占地面积</w:t>
                  </w:r>
                </w:p>
              </w:tc>
              <w:tc>
                <w:tcPr>
                  <w:tcW w:w="946" w:type="pct"/>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b/>
                      <w:bCs/>
                      <w:color w:val="auto"/>
                      <w:sz w:val="21"/>
                      <w:szCs w:val="21"/>
                      <w:highlight w:val="none"/>
                    </w:rPr>
                  </w:pPr>
                  <w:r>
                    <w:rPr>
                      <w:rFonts w:ascii="Times New Roman"/>
                      <w:b/>
                      <w:bCs/>
                      <w:color w:val="auto"/>
                      <w:sz w:val="21"/>
                      <w:szCs w:val="21"/>
                      <w:highlight w:val="none"/>
                    </w:rPr>
                    <w:t>贮存方式</w:t>
                  </w:r>
                </w:p>
              </w:tc>
              <w:tc>
                <w:tcPr>
                  <w:tcW w:w="532" w:type="pct"/>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b/>
                      <w:bCs/>
                      <w:color w:val="auto"/>
                      <w:sz w:val="21"/>
                      <w:szCs w:val="21"/>
                      <w:highlight w:val="none"/>
                    </w:rPr>
                  </w:pPr>
                  <w:r>
                    <w:rPr>
                      <w:rFonts w:ascii="Times New Roman"/>
                      <w:b/>
                      <w:bCs/>
                      <w:color w:val="auto"/>
                      <w:sz w:val="21"/>
                      <w:szCs w:val="21"/>
                      <w:highlight w:val="none"/>
                    </w:rPr>
                    <w:t>贮存</w:t>
                  </w:r>
                </w:p>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b/>
                      <w:bCs/>
                      <w:color w:val="auto"/>
                      <w:sz w:val="21"/>
                      <w:szCs w:val="21"/>
                      <w:highlight w:val="none"/>
                    </w:rPr>
                  </w:pPr>
                  <w:r>
                    <w:rPr>
                      <w:rFonts w:ascii="Times New Roman"/>
                      <w:b/>
                      <w:bCs/>
                      <w:color w:val="auto"/>
                      <w:sz w:val="21"/>
                      <w:szCs w:val="21"/>
                      <w:highlight w:val="none"/>
                    </w:rPr>
                    <w:t>能力</w:t>
                  </w:r>
                </w:p>
              </w:tc>
              <w:tc>
                <w:tcPr>
                  <w:tcW w:w="495" w:type="pct"/>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b/>
                      <w:bCs/>
                      <w:color w:val="auto"/>
                      <w:sz w:val="21"/>
                      <w:szCs w:val="21"/>
                      <w:highlight w:val="none"/>
                    </w:rPr>
                  </w:pPr>
                  <w:r>
                    <w:rPr>
                      <w:rFonts w:ascii="Times New Roman"/>
                      <w:b/>
                      <w:bCs/>
                      <w:color w:val="auto"/>
                      <w:sz w:val="21"/>
                      <w:szCs w:val="21"/>
                      <w:highlight w:val="none"/>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pct"/>
                  <w:vMerge w:val="restart"/>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color w:val="auto"/>
                      <w:sz w:val="21"/>
                      <w:szCs w:val="21"/>
                      <w:highlight w:val="none"/>
                    </w:rPr>
                  </w:pPr>
                  <w:r>
                    <w:rPr>
                      <w:rFonts w:ascii="Times New Roman"/>
                      <w:b w:val="0"/>
                      <w:bCs/>
                      <w:color w:val="auto"/>
                      <w:sz w:val="21"/>
                      <w:szCs w:val="21"/>
                      <w:highlight w:val="none"/>
                    </w:rPr>
                    <w:t>危废暂存间</w:t>
                  </w:r>
                </w:p>
              </w:tc>
              <w:tc>
                <w:tcPr>
                  <w:tcW w:w="671" w:type="pct"/>
                  <w:noWrap w:val="0"/>
                  <w:vAlign w:val="center"/>
                </w:tcPr>
                <w:p>
                  <w:pPr>
                    <w:pStyle w:val="57"/>
                    <w:keepNext w:val="0"/>
                    <w:keepLines w:val="0"/>
                    <w:pageBreakBefore w:val="0"/>
                    <w:kinsoku/>
                    <w:wordWrap/>
                    <w:overflowPunct/>
                    <w:topLinePunct w:val="0"/>
                    <w:autoSpaceDE/>
                    <w:autoSpaceDN/>
                    <w:bidi w:val="0"/>
                    <w:adjustRightInd w:val="0"/>
                    <w:ind w:left="0"/>
                    <w:jc w:val="center"/>
                    <w:rPr>
                      <w:rFonts w:hint="eastAsia" w:ascii="Times New Roman" w:hAnsi="Times New Roman" w:eastAsia="Times New Roman" w:cs="Times New Roman"/>
                      <w:color w:val="auto"/>
                      <w:sz w:val="21"/>
                      <w:szCs w:val="21"/>
                      <w:highlight w:val="none"/>
                      <w:lang w:val="en-US" w:eastAsia="zh-CN" w:bidi="ar-SA"/>
                    </w:rPr>
                  </w:pPr>
                  <w:r>
                    <w:rPr>
                      <w:color w:val="auto"/>
                      <w:szCs w:val="21"/>
                      <w:highlight w:val="none"/>
                    </w:rPr>
                    <w:t>废</w:t>
                  </w:r>
                  <w:r>
                    <w:rPr>
                      <w:rFonts w:hint="eastAsia" w:eastAsia="宋体"/>
                      <w:color w:val="auto"/>
                      <w:szCs w:val="21"/>
                      <w:highlight w:val="none"/>
                      <w:lang w:val="en-US" w:eastAsia="zh-CN"/>
                    </w:rPr>
                    <w:t>机</w:t>
                  </w:r>
                  <w:r>
                    <w:rPr>
                      <w:color w:val="auto"/>
                      <w:szCs w:val="21"/>
                      <w:highlight w:val="none"/>
                    </w:rPr>
                    <w:t>油</w:t>
                  </w:r>
                </w:p>
              </w:tc>
              <w:tc>
                <w:tcPr>
                  <w:tcW w:w="540" w:type="pct"/>
                  <w:noWrap w:val="0"/>
                  <w:vAlign w:val="center"/>
                </w:tcPr>
                <w:p>
                  <w:pPr>
                    <w:pStyle w:val="60"/>
                    <w:keepNext w:val="0"/>
                    <w:keepLines w:val="0"/>
                    <w:pageBreakBefore w:val="0"/>
                    <w:kinsoku/>
                    <w:wordWrap/>
                    <w:overflowPunct/>
                    <w:topLinePunct w:val="0"/>
                    <w:autoSpaceDE/>
                    <w:autoSpaceDN/>
                    <w:bidi w:val="0"/>
                    <w:adjustRightInd w:val="0"/>
                    <w:spacing w:before="0" w:beforeLines="0" w:afterLines="0"/>
                    <w:ind w:left="0"/>
                    <w:jc w:val="center"/>
                    <w:rPr>
                      <w:rFonts w:hint="default" w:ascii="Times New Roman" w:hAnsi="Times New Roman" w:eastAsia="宋体"/>
                      <w:b w:val="0"/>
                      <w:color w:val="auto"/>
                      <w:kern w:val="2"/>
                      <w:sz w:val="21"/>
                      <w:szCs w:val="21"/>
                      <w:highlight w:val="none"/>
                      <w:lang w:val="en-US" w:eastAsia="zh-CN" w:bidi="ar-SA"/>
                    </w:rPr>
                  </w:pPr>
                  <w:r>
                    <w:rPr>
                      <w:rFonts w:ascii="Times New Roman" w:hAnsi="Times New Roman" w:eastAsia="宋体"/>
                      <w:b w:val="0"/>
                      <w:color w:val="auto"/>
                      <w:szCs w:val="21"/>
                      <w:highlight w:val="none"/>
                    </w:rPr>
                    <w:t>HW08</w:t>
                  </w:r>
                </w:p>
              </w:tc>
              <w:tc>
                <w:tcPr>
                  <w:tcW w:w="782" w:type="pct"/>
                  <w:noWrap w:val="0"/>
                  <w:vAlign w:val="center"/>
                </w:tcPr>
                <w:p>
                  <w:pPr>
                    <w:pStyle w:val="60"/>
                    <w:keepNext w:val="0"/>
                    <w:keepLines w:val="0"/>
                    <w:pageBreakBefore w:val="0"/>
                    <w:kinsoku/>
                    <w:wordWrap/>
                    <w:overflowPunct/>
                    <w:topLinePunct w:val="0"/>
                    <w:autoSpaceDE/>
                    <w:autoSpaceDN/>
                    <w:bidi w:val="0"/>
                    <w:adjustRightInd w:val="0"/>
                    <w:spacing w:before="0" w:beforeLines="0" w:afterLines="0"/>
                    <w:ind w:left="0"/>
                    <w:jc w:val="center"/>
                    <w:rPr>
                      <w:rFonts w:hint="default" w:ascii="Times New Roman" w:hAnsi="Times New Roman" w:eastAsia="宋体"/>
                      <w:b w:val="0"/>
                      <w:color w:val="auto"/>
                      <w:kern w:val="2"/>
                      <w:sz w:val="21"/>
                      <w:szCs w:val="21"/>
                      <w:highlight w:val="none"/>
                      <w:lang w:val="en-US" w:eastAsia="zh-CN" w:bidi="ar-SA"/>
                    </w:rPr>
                  </w:pPr>
                  <w:r>
                    <w:rPr>
                      <w:rFonts w:ascii="Times New Roman" w:hAnsi="Times New Roman" w:eastAsia="宋体"/>
                      <w:b w:val="0"/>
                      <w:color w:val="auto"/>
                      <w:szCs w:val="21"/>
                      <w:highlight w:val="none"/>
                    </w:rPr>
                    <w:t>900-2</w:t>
                  </w:r>
                  <w:r>
                    <w:rPr>
                      <w:rFonts w:hint="eastAsia" w:ascii="Times New Roman" w:hAnsi="Times New Roman" w:eastAsia="宋体"/>
                      <w:b w:val="0"/>
                      <w:color w:val="auto"/>
                      <w:szCs w:val="21"/>
                      <w:highlight w:val="none"/>
                      <w:lang w:val="en-US" w:eastAsia="zh-CN"/>
                    </w:rPr>
                    <w:t>49</w:t>
                  </w:r>
                  <w:r>
                    <w:rPr>
                      <w:rFonts w:ascii="Times New Roman" w:hAnsi="Times New Roman" w:eastAsia="宋体"/>
                      <w:b w:val="0"/>
                      <w:color w:val="auto"/>
                      <w:szCs w:val="21"/>
                      <w:highlight w:val="none"/>
                    </w:rPr>
                    <w:t>-08</w:t>
                  </w:r>
                </w:p>
              </w:tc>
              <w:tc>
                <w:tcPr>
                  <w:tcW w:w="420" w:type="pct"/>
                  <w:vMerge w:val="restart"/>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color w:val="auto"/>
                      <w:sz w:val="21"/>
                      <w:szCs w:val="21"/>
                      <w:highlight w:val="none"/>
                    </w:rPr>
                  </w:pPr>
                  <w:r>
                    <w:rPr>
                      <w:rFonts w:ascii="Times New Roman"/>
                      <w:b w:val="0"/>
                      <w:bCs/>
                      <w:color w:val="auto"/>
                      <w:sz w:val="21"/>
                      <w:szCs w:val="21"/>
                      <w:highlight w:val="none"/>
                    </w:rPr>
                    <w:t>约</w:t>
                  </w:r>
                  <w:r>
                    <w:rPr>
                      <w:rFonts w:hint="eastAsia" w:ascii="Times New Roman"/>
                      <w:b w:val="0"/>
                      <w:bCs/>
                      <w:color w:val="auto"/>
                      <w:sz w:val="21"/>
                      <w:szCs w:val="21"/>
                      <w:highlight w:val="none"/>
                      <w:lang w:val="en-US" w:eastAsia="zh-CN"/>
                    </w:rPr>
                    <w:t>10</w:t>
                  </w:r>
                  <w:r>
                    <w:rPr>
                      <w:rFonts w:ascii="Times New Roman"/>
                      <w:b w:val="0"/>
                      <w:bCs/>
                      <w:color w:val="auto"/>
                      <w:sz w:val="21"/>
                      <w:szCs w:val="21"/>
                      <w:highlight w:val="none"/>
                    </w:rPr>
                    <w:t>m</w:t>
                  </w:r>
                  <w:r>
                    <w:rPr>
                      <w:rFonts w:ascii="Times New Roman"/>
                      <w:b w:val="0"/>
                      <w:bCs/>
                      <w:color w:val="auto"/>
                      <w:sz w:val="21"/>
                      <w:szCs w:val="21"/>
                      <w:highlight w:val="none"/>
                      <w:vertAlign w:val="superscript"/>
                    </w:rPr>
                    <w:t>2</w:t>
                  </w:r>
                </w:p>
              </w:tc>
              <w:tc>
                <w:tcPr>
                  <w:tcW w:w="946" w:type="pct"/>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b w:val="0"/>
                      <w:bCs/>
                      <w:color w:val="auto"/>
                      <w:sz w:val="21"/>
                      <w:szCs w:val="21"/>
                      <w:highlight w:val="none"/>
                    </w:rPr>
                  </w:pPr>
                  <w:r>
                    <w:rPr>
                      <w:rFonts w:ascii="Times New Roman"/>
                      <w:b w:val="0"/>
                      <w:bCs/>
                      <w:color w:val="auto"/>
                      <w:sz w:val="21"/>
                      <w:szCs w:val="21"/>
                      <w:highlight w:val="none"/>
                    </w:rPr>
                    <w:t>采用专用容器盛装并在容器下方设置托盘</w:t>
                  </w:r>
                </w:p>
              </w:tc>
              <w:tc>
                <w:tcPr>
                  <w:tcW w:w="532" w:type="pct"/>
                  <w:noWrap w:val="0"/>
                  <w:vAlign w:val="center"/>
                </w:tcPr>
                <w:p>
                  <w:pPr>
                    <w:pStyle w:val="57"/>
                    <w:keepNext w:val="0"/>
                    <w:keepLines w:val="0"/>
                    <w:pageBreakBefore w:val="0"/>
                    <w:kinsoku/>
                    <w:wordWrap/>
                    <w:overflowPunct/>
                    <w:topLinePunct w:val="0"/>
                    <w:autoSpaceDE/>
                    <w:autoSpaceDN/>
                    <w:bidi w:val="0"/>
                    <w:adjustRightInd w:val="0"/>
                    <w:ind w:left="0"/>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0.03t</w:t>
                  </w:r>
                </w:p>
              </w:tc>
              <w:tc>
                <w:tcPr>
                  <w:tcW w:w="495" w:type="pct"/>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hint="eastAsia" w:ascii="Times New Roman"/>
                      <w:b w:val="0"/>
                      <w:bCs/>
                      <w:color w:val="auto"/>
                      <w:sz w:val="21"/>
                      <w:szCs w:val="21"/>
                      <w:highlight w:val="none"/>
                    </w:rPr>
                  </w:pPr>
                  <w:r>
                    <w:rPr>
                      <w:rFonts w:hint="eastAsia" w:ascii="Times New Roman"/>
                      <w:b w:val="0"/>
                      <w:bCs/>
                      <w:color w:val="auto"/>
                      <w:sz w:val="21"/>
                      <w:szCs w:val="21"/>
                      <w:highlight w:val="none"/>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1" w:type="pct"/>
                  <w:vMerge w:val="continue"/>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color w:val="auto"/>
                      <w:sz w:val="21"/>
                      <w:szCs w:val="21"/>
                      <w:highlight w:val="none"/>
                    </w:rPr>
                  </w:pPr>
                </w:p>
              </w:tc>
              <w:tc>
                <w:tcPr>
                  <w:tcW w:w="671" w:type="pct"/>
                  <w:noWrap w:val="0"/>
                  <w:vAlign w:val="center"/>
                </w:tcPr>
                <w:p>
                  <w:pPr>
                    <w:pStyle w:val="57"/>
                    <w:keepNext w:val="0"/>
                    <w:keepLines w:val="0"/>
                    <w:pageBreakBefore w:val="0"/>
                    <w:kinsoku/>
                    <w:wordWrap/>
                    <w:overflowPunct/>
                    <w:topLinePunct w:val="0"/>
                    <w:autoSpaceDE/>
                    <w:autoSpaceDN/>
                    <w:bidi w:val="0"/>
                    <w:adjustRightInd w:val="0"/>
                    <w:ind w:left="0"/>
                    <w:jc w:val="center"/>
                    <w:rPr>
                      <w:rFonts w:hint="eastAsia" w:ascii="Times New Roman" w:hAnsi="Times New Roman" w:eastAsia="Times New Roman" w:cs="Times New Roman"/>
                      <w:color w:val="auto"/>
                      <w:sz w:val="21"/>
                      <w:szCs w:val="21"/>
                      <w:highlight w:val="none"/>
                      <w:lang w:val="en-US" w:eastAsia="zh-CN" w:bidi="ar-SA"/>
                    </w:rPr>
                  </w:pPr>
                  <w:r>
                    <w:rPr>
                      <w:color w:val="auto"/>
                      <w:szCs w:val="21"/>
                      <w:highlight w:val="none"/>
                    </w:rPr>
                    <w:t>废</w:t>
                  </w:r>
                  <w:r>
                    <w:rPr>
                      <w:rFonts w:hint="eastAsia" w:eastAsia="宋体"/>
                      <w:color w:val="auto"/>
                      <w:szCs w:val="21"/>
                      <w:highlight w:val="none"/>
                      <w:lang w:val="en-US" w:eastAsia="zh-CN"/>
                    </w:rPr>
                    <w:t>机</w:t>
                  </w:r>
                  <w:r>
                    <w:rPr>
                      <w:color w:val="auto"/>
                      <w:szCs w:val="21"/>
                      <w:highlight w:val="none"/>
                    </w:rPr>
                    <w:t>油桶</w:t>
                  </w:r>
                </w:p>
              </w:tc>
              <w:tc>
                <w:tcPr>
                  <w:tcW w:w="540" w:type="pct"/>
                  <w:noWrap w:val="0"/>
                  <w:vAlign w:val="center"/>
                </w:tcPr>
                <w:p>
                  <w:pPr>
                    <w:pStyle w:val="60"/>
                    <w:keepNext w:val="0"/>
                    <w:keepLines w:val="0"/>
                    <w:pageBreakBefore w:val="0"/>
                    <w:kinsoku/>
                    <w:wordWrap/>
                    <w:overflowPunct/>
                    <w:topLinePunct w:val="0"/>
                    <w:autoSpaceDE/>
                    <w:autoSpaceDN/>
                    <w:bidi w:val="0"/>
                    <w:adjustRightInd w:val="0"/>
                    <w:spacing w:before="0" w:beforeLines="0" w:afterLines="0"/>
                    <w:ind w:left="0"/>
                    <w:jc w:val="center"/>
                    <w:rPr>
                      <w:rFonts w:hint="default" w:ascii="Times New Roman" w:hAnsi="Times New Roman" w:eastAsia="宋体"/>
                      <w:b w:val="0"/>
                      <w:color w:val="auto"/>
                      <w:kern w:val="2"/>
                      <w:sz w:val="21"/>
                      <w:szCs w:val="21"/>
                      <w:highlight w:val="none"/>
                      <w:lang w:val="en-US" w:eastAsia="zh-CN" w:bidi="ar-SA"/>
                    </w:rPr>
                  </w:pPr>
                  <w:r>
                    <w:rPr>
                      <w:rFonts w:ascii="Times New Roman" w:hAnsi="Times New Roman" w:eastAsia="宋体"/>
                      <w:b w:val="0"/>
                      <w:color w:val="auto"/>
                      <w:szCs w:val="21"/>
                      <w:highlight w:val="none"/>
                    </w:rPr>
                    <w:t>HW</w:t>
                  </w:r>
                  <w:r>
                    <w:rPr>
                      <w:rFonts w:hint="eastAsia" w:ascii="Times New Roman" w:hAnsi="Times New Roman" w:eastAsia="宋体"/>
                      <w:b w:val="0"/>
                      <w:color w:val="auto"/>
                      <w:szCs w:val="21"/>
                      <w:highlight w:val="none"/>
                      <w:lang w:val="en-US" w:eastAsia="zh-CN"/>
                    </w:rPr>
                    <w:t>08</w:t>
                  </w:r>
                </w:p>
              </w:tc>
              <w:tc>
                <w:tcPr>
                  <w:tcW w:w="782" w:type="pct"/>
                  <w:noWrap w:val="0"/>
                  <w:vAlign w:val="center"/>
                </w:tcPr>
                <w:p>
                  <w:pPr>
                    <w:pStyle w:val="60"/>
                    <w:keepNext w:val="0"/>
                    <w:keepLines w:val="0"/>
                    <w:pageBreakBefore w:val="0"/>
                    <w:kinsoku/>
                    <w:wordWrap/>
                    <w:overflowPunct/>
                    <w:topLinePunct w:val="0"/>
                    <w:autoSpaceDE/>
                    <w:autoSpaceDN/>
                    <w:bidi w:val="0"/>
                    <w:adjustRightInd w:val="0"/>
                    <w:spacing w:before="0" w:beforeLines="0" w:afterLines="0"/>
                    <w:ind w:left="0"/>
                    <w:jc w:val="center"/>
                    <w:rPr>
                      <w:rFonts w:hint="default" w:ascii="Times New Roman" w:hAnsi="Times New Roman" w:eastAsia="宋体"/>
                      <w:b w:val="0"/>
                      <w:color w:val="auto"/>
                      <w:kern w:val="2"/>
                      <w:sz w:val="21"/>
                      <w:szCs w:val="21"/>
                      <w:highlight w:val="none"/>
                      <w:lang w:val="en-US" w:eastAsia="zh-CN" w:bidi="ar-SA"/>
                    </w:rPr>
                  </w:pPr>
                  <w:r>
                    <w:rPr>
                      <w:rFonts w:hint="eastAsia" w:ascii="Times New Roman" w:hAnsi="Times New Roman" w:eastAsia="宋体"/>
                      <w:b w:val="0"/>
                      <w:color w:val="auto"/>
                      <w:szCs w:val="21"/>
                      <w:highlight w:val="none"/>
                    </w:rPr>
                    <w:t>900-249-08</w:t>
                  </w:r>
                </w:p>
              </w:tc>
              <w:tc>
                <w:tcPr>
                  <w:tcW w:w="420" w:type="pct"/>
                  <w:vMerge w:val="continue"/>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color w:val="auto"/>
                      <w:sz w:val="21"/>
                      <w:szCs w:val="21"/>
                      <w:highlight w:val="none"/>
                    </w:rPr>
                  </w:pPr>
                </w:p>
              </w:tc>
              <w:tc>
                <w:tcPr>
                  <w:tcW w:w="946" w:type="pct"/>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b w:val="0"/>
                      <w:bCs/>
                      <w:color w:val="auto"/>
                      <w:sz w:val="21"/>
                      <w:szCs w:val="21"/>
                      <w:highlight w:val="none"/>
                    </w:rPr>
                  </w:pPr>
                  <w:r>
                    <w:rPr>
                      <w:rFonts w:ascii="Times New Roman"/>
                      <w:b w:val="0"/>
                      <w:bCs/>
                      <w:color w:val="auto"/>
                      <w:sz w:val="21"/>
                      <w:szCs w:val="21"/>
                      <w:highlight w:val="none"/>
                    </w:rPr>
                    <w:t>置于危废暂存间</w:t>
                  </w:r>
                </w:p>
              </w:tc>
              <w:tc>
                <w:tcPr>
                  <w:tcW w:w="532" w:type="pct"/>
                  <w:noWrap w:val="0"/>
                  <w:vAlign w:val="center"/>
                </w:tcPr>
                <w:p>
                  <w:pPr>
                    <w:pStyle w:val="57"/>
                    <w:keepNext w:val="0"/>
                    <w:keepLines w:val="0"/>
                    <w:pageBreakBefore w:val="0"/>
                    <w:kinsoku/>
                    <w:wordWrap/>
                    <w:overflowPunct/>
                    <w:topLinePunct w:val="0"/>
                    <w:autoSpaceDE/>
                    <w:autoSpaceDN/>
                    <w:bidi w:val="0"/>
                    <w:adjustRightInd w:val="0"/>
                    <w:ind w:left="0"/>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0.01t</w:t>
                  </w:r>
                </w:p>
              </w:tc>
              <w:tc>
                <w:tcPr>
                  <w:tcW w:w="495" w:type="pct"/>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b w:val="0"/>
                      <w:bCs/>
                      <w:color w:val="auto"/>
                      <w:sz w:val="21"/>
                      <w:szCs w:val="21"/>
                      <w:highlight w:val="none"/>
                    </w:rPr>
                  </w:pPr>
                  <w:r>
                    <w:rPr>
                      <w:rFonts w:hint="eastAsia" w:ascii="Times New Roman"/>
                      <w:b w:val="0"/>
                      <w:bCs/>
                      <w:color w:val="auto"/>
                      <w:sz w:val="21"/>
                      <w:szCs w:val="21"/>
                      <w:highlight w:val="none"/>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pct"/>
                  <w:vMerge w:val="continue"/>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color w:val="auto"/>
                      <w:sz w:val="21"/>
                      <w:szCs w:val="21"/>
                      <w:highlight w:val="none"/>
                    </w:rPr>
                  </w:pPr>
                </w:p>
              </w:tc>
              <w:tc>
                <w:tcPr>
                  <w:tcW w:w="671" w:type="pct"/>
                  <w:noWrap w:val="0"/>
                  <w:vAlign w:val="center"/>
                </w:tcPr>
                <w:p>
                  <w:pPr>
                    <w:pStyle w:val="57"/>
                    <w:keepNext w:val="0"/>
                    <w:keepLines w:val="0"/>
                    <w:pageBreakBefore w:val="0"/>
                    <w:kinsoku/>
                    <w:wordWrap/>
                    <w:overflowPunct/>
                    <w:topLinePunct w:val="0"/>
                    <w:autoSpaceDE/>
                    <w:autoSpaceDN/>
                    <w:bidi w:val="0"/>
                    <w:adjustRightInd w:val="0"/>
                    <w:ind w:left="0"/>
                    <w:jc w:val="center"/>
                    <w:rPr>
                      <w:rFonts w:hint="eastAsia" w:ascii="Times New Roman" w:hAnsi="Times New Roman" w:eastAsia="Times New Roman" w:cs="Times New Roman"/>
                      <w:color w:val="auto"/>
                      <w:sz w:val="21"/>
                      <w:szCs w:val="21"/>
                      <w:highlight w:val="none"/>
                      <w:lang w:val="en-US" w:eastAsia="zh-CN" w:bidi="ar-SA"/>
                    </w:rPr>
                  </w:pPr>
                  <w:r>
                    <w:rPr>
                      <w:rFonts w:hint="eastAsia"/>
                      <w:color w:val="auto"/>
                      <w:szCs w:val="21"/>
                      <w:highlight w:val="none"/>
                    </w:rPr>
                    <w:t>废</w:t>
                  </w:r>
                  <w:r>
                    <w:rPr>
                      <w:color w:val="auto"/>
                      <w:szCs w:val="21"/>
                      <w:highlight w:val="none"/>
                    </w:rPr>
                    <w:t>含油抹布、手套</w:t>
                  </w:r>
                </w:p>
              </w:tc>
              <w:tc>
                <w:tcPr>
                  <w:tcW w:w="540" w:type="pct"/>
                  <w:noWrap w:val="0"/>
                  <w:vAlign w:val="center"/>
                </w:tcPr>
                <w:p>
                  <w:pPr>
                    <w:pStyle w:val="60"/>
                    <w:keepNext w:val="0"/>
                    <w:keepLines w:val="0"/>
                    <w:pageBreakBefore w:val="0"/>
                    <w:kinsoku/>
                    <w:wordWrap/>
                    <w:overflowPunct/>
                    <w:topLinePunct w:val="0"/>
                    <w:autoSpaceDE/>
                    <w:autoSpaceDN/>
                    <w:bidi w:val="0"/>
                    <w:adjustRightInd w:val="0"/>
                    <w:spacing w:before="0" w:beforeLines="0" w:afterLines="0"/>
                    <w:ind w:left="0"/>
                    <w:jc w:val="center"/>
                    <w:rPr>
                      <w:rFonts w:hint="default" w:ascii="Times New Roman" w:hAnsi="Times New Roman" w:eastAsia="宋体"/>
                      <w:b w:val="0"/>
                      <w:color w:val="auto"/>
                      <w:kern w:val="2"/>
                      <w:sz w:val="21"/>
                      <w:szCs w:val="21"/>
                      <w:highlight w:val="none"/>
                      <w:lang w:val="en-US" w:eastAsia="zh-CN" w:bidi="ar-SA"/>
                    </w:rPr>
                  </w:pPr>
                  <w:r>
                    <w:rPr>
                      <w:rFonts w:ascii="Times New Roman" w:hAnsi="Times New Roman" w:eastAsia="宋体"/>
                      <w:b w:val="0"/>
                      <w:color w:val="auto"/>
                      <w:szCs w:val="21"/>
                      <w:highlight w:val="none"/>
                    </w:rPr>
                    <w:t>HW49</w:t>
                  </w:r>
                </w:p>
              </w:tc>
              <w:tc>
                <w:tcPr>
                  <w:tcW w:w="782" w:type="pct"/>
                  <w:noWrap w:val="0"/>
                  <w:vAlign w:val="center"/>
                </w:tcPr>
                <w:p>
                  <w:pPr>
                    <w:pStyle w:val="60"/>
                    <w:keepNext w:val="0"/>
                    <w:keepLines w:val="0"/>
                    <w:pageBreakBefore w:val="0"/>
                    <w:kinsoku/>
                    <w:wordWrap/>
                    <w:overflowPunct/>
                    <w:topLinePunct w:val="0"/>
                    <w:autoSpaceDE/>
                    <w:autoSpaceDN/>
                    <w:bidi w:val="0"/>
                    <w:adjustRightInd w:val="0"/>
                    <w:spacing w:before="0" w:beforeLines="0" w:afterLines="0"/>
                    <w:ind w:left="0"/>
                    <w:jc w:val="center"/>
                    <w:rPr>
                      <w:rFonts w:hint="default" w:ascii="Times New Roman" w:hAnsi="Times New Roman" w:eastAsia="宋体"/>
                      <w:b w:val="0"/>
                      <w:color w:val="auto"/>
                      <w:kern w:val="2"/>
                      <w:sz w:val="21"/>
                      <w:szCs w:val="21"/>
                      <w:highlight w:val="none"/>
                      <w:lang w:val="en-US" w:eastAsia="zh-CN" w:bidi="ar-SA"/>
                    </w:rPr>
                  </w:pPr>
                  <w:r>
                    <w:rPr>
                      <w:rFonts w:ascii="Times New Roman" w:hAnsi="Times New Roman" w:eastAsia="宋体"/>
                      <w:b w:val="0"/>
                      <w:color w:val="auto"/>
                      <w:szCs w:val="21"/>
                      <w:highlight w:val="none"/>
                    </w:rPr>
                    <w:t>900-041-49</w:t>
                  </w:r>
                </w:p>
              </w:tc>
              <w:tc>
                <w:tcPr>
                  <w:tcW w:w="420" w:type="pct"/>
                  <w:vMerge w:val="continue"/>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color w:val="auto"/>
                      <w:sz w:val="21"/>
                      <w:szCs w:val="21"/>
                      <w:highlight w:val="none"/>
                    </w:rPr>
                  </w:pPr>
                </w:p>
              </w:tc>
              <w:tc>
                <w:tcPr>
                  <w:tcW w:w="946" w:type="pct"/>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b w:val="0"/>
                      <w:bCs/>
                      <w:color w:val="auto"/>
                      <w:sz w:val="21"/>
                      <w:szCs w:val="21"/>
                      <w:highlight w:val="none"/>
                    </w:rPr>
                  </w:pPr>
                  <w:r>
                    <w:rPr>
                      <w:rFonts w:ascii="Times New Roman"/>
                      <w:b w:val="0"/>
                      <w:bCs/>
                      <w:color w:val="auto"/>
                      <w:sz w:val="21"/>
                      <w:szCs w:val="21"/>
                      <w:highlight w:val="none"/>
                    </w:rPr>
                    <w:t>采用专用的容器密封盛装</w:t>
                  </w:r>
                </w:p>
              </w:tc>
              <w:tc>
                <w:tcPr>
                  <w:tcW w:w="532" w:type="pct"/>
                  <w:noWrap w:val="0"/>
                  <w:vAlign w:val="center"/>
                </w:tcPr>
                <w:p>
                  <w:pPr>
                    <w:pStyle w:val="57"/>
                    <w:keepNext w:val="0"/>
                    <w:keepLines w:val="0"/>
                    <w:pageBreakBefore w:val="0"/>
                    <w:kinsoku/>
                    <w:wordWrap/>
                    <w:overflowPunct/>
                    <w:topLinePunct w:val="0"/>
                    <w:autoSpaceDE/>
                    <w:autoSpaceDN/>
                    <w:bidi w:val="0"/>
                    <w:adjustRightInd w:val="0"/>
                    <w:ind w:left="0"/>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0.01t</w:t>
                  </w:r>
                </w:p>
              </w:tc>
              <w:tc>
                <w:tcPr>
                  <w:tcW w:w="495" w:type="pct"/>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b w:val="0"/>
                      <w:bCs/>
                      <w:color w:val="auto"/>
                      <w:sz w:val="21"/>
                      <w:szCs w:val="21"/>
                      <w:highlight w:val="none"/>
                    </w:rPr>
                  </w:pPr>
                  <w:r>
                    <w:rPr>
                      <w:rFonts w:hint="eastAsia" w:ascii="Times New Roman"/>
                      <w:b w:val="0"/>
                      <w:bCs/>
                      <w:color w:val="auto"/>
                      <w:sz w:val="21"/>
                      <w:szCs w:val="21"/>
                      <w:highlight w:val="none"/>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pct"/>
                  <w:vMerge w:val="continue"/>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color w:val="auto"/>
                      <w:sz w:val="21"/>
                      <w:szCs w:val="21"/>
                      <w:highlight w:val="none"/>
                    </w:rPr>
                  </w:pPr>
                </w:p>
              </w:tc>
              <w:tc>
                <w:tcPr>
                  <w:tcW w:w="671" w:type="pct"/>
                  <w:noWrap w:val="0"/>
                  <w:vAlign w:val="center"/>
                </w:tcPr>
                <w:p>
                  <w:pPr>
                    <w:pStyle w:val="57"/>
                    <w:keepNext w:val="0"/>
                    <w:keepLines w:val="0"/>
                    <w:pageBreakBefore w:val="0"/>
                    <w:kinsoku/>
                    <w:wordWrap/>
                    <w:overflowPunct/>
                    <w:topLinePunct w:val="0"/>
                    <w:autoSpaceDE/>
                    <w:autoSpaceDN/>
                    <w:bidi w:val="0"/>
                    <w:adjustRightInd w:val="0"/>
                    <w:ind w:left="0"/>
                    <w:jc w:val="center"/>
                    <w:rPr>
                      <w:rFonts w:hint="eastAsia"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废无尘布</w:t>
                  </w:r>
                </w:p>
              </w:tc>
              <w:tc>
                <w:tcPr>
                  <w:tcW w:w="540" w:type="pct"/>
                  <w:noWrap w:val="0"/>
                  <w:vAlign w:val="center"/>
                </w:tcPr>
                <w:p>
                  <w:pPr>
                    <w:pStyle w:val="60"/>
                    <w:keepNext w:val="0"/>
                    <w:keepLines w:val="0"/>
                    <w:pageBreakBefore w:val="0"/>
                    <w:kinsoku/>
                    <w:wordWrap/>
                    <w:overflowPunct/>
                    <w:topLinePunct w:val="0"/>
                    <w:autoSpaceDE/>
                    <w:autoSpaceDN/>
                    <w:bidi w:val="0"/>
                    <w:adjustRightInd w:val="0"/>
                    <w:spacing w:before="0" w:beforeLines="0" w:afterLines="0"/>
                    <w:ind w:left="0"/>
                    <w:jc w:val="center"/>
                    <w:rPr>
                      <w:rFonts w:hint="default" w:ascii="Times New Roman" w:hAnsi="Times New Roman" w:eastAsia="宋体"/>
                      <w:b w:val="0"/>
                      <w:color w:val="auto"/>
                      <w:kern w:val="2"/>
                      <w:sz w:val="21"/>
                      <w:szCs w:val="21"/>
                      <w:highlight w:val="none"/>
                      <w:lang w:val="en-US" w:eastAsia="zh-CN" w:bidi="ar-SA"/>
                    </w:rPr>
                  </w:pPr>
                  <w:r>
                    <w:rPr>
                      <w:rFonts w:ascii="Times New Roman" w:hAnsi="Times New Roman" w:eastAsia="宋体"/>
                      <w:b w:val="0"/>
                      <w:color w:val="auto"/>
                      <w:szCs w:val="21"/>
                      <w:highlight w:val="none"/>
                    </w:rPr>
                    <w:t>HW49</w:t>
                  </w:r>
                </w:p>
              </w:tc>
              <w:tc>
                <w:tcPr>
                  <w:tcW w:w="782" w:type="pct"/>
                  <w:noWrap w:val="0"/>
                  <w:vAlign w:val="center"/>
                </w:tcPr>
                <w:p>
                  <w:pPr>
                    <w:pStyle w:val="60"/>
                    <w:keepNext w:val="0"/>
                    <w:keepLines w:val="0"/>
                    <w:pageBreakBefore w:val="0"/>
                    <w:kinsoku/>
                    <w:wordWrap/>
                    <w:overflowPunct/>
                    <w:topLinePunct w:val="0"/>
                    <w:autoSpaceDE/>
                    <w:autoSpaceDN/>
                    <w:bidi w:val="0"/>
                    <w:adjustRightInd w:val="0"/>
                    <w:spacing w:before="0" w:beforeLines="0" w:afterLines="0"/>
                    <w:ind w:left="0"/>
                    <w:jc w:val="center"/>
                    <w:rPr>
                      <w:rFonts w:hint="default" w:ascii="Times New Roman" w:hAnsi="Times New Roman" w:eastAsia="宋体"/>
                      <w:b w:val="0"/>
                      <w:color w:val="auto"/>
                      <w:kern w:val="2"/>
                      <w:sz w:val="21"/>
                      <w:szCs w:val="21"/>
                      <w:highlight w:val="none"/>
                      <w:lang w:val="en-US" w:eastAsia="zh-CN" w:bidi="ar-SA"/>
                    </w:rPr>
                  </w:pPr>
                  <w:r>
                    <w:rPr>
                      <w:rFonts w:ascii="Times New Roman" w:hAnsi="Times New Roman" w:eastAsia="宋体"/>
                      <w:b w:val="0"/>
                      <w:color w:val="auto"/>
                      <w:szCs w:val="21"/>
                      <w:highlight w:val="none"/>
                    </w:rPr>
                    <w:t>900-0</w:t>
                  </w:r>
                  <w:r>
                    <w:rPr>
                      <w:rFonts w:hint="eastAsia" w:ascii="Times New Roman" w:hAnsi="Times New Roman" w:eastAsia="宋体"/>
                      <w:b w:val="0"/>
                      <w:color w:val="auto"/>
                      <w:szCs w:val="21"/>
                      <w:highlight w:val="none"/>
                      <w:lang w:val="en-US" w:eastAsia="zh-CN"/>
                    </w:rPr>
                    <w:t>41</w:t>
                  </w:r>
                  <w:r>
                    <w:rPr>
                      <w:rFonts w:ascii="Times New Roman" w:hAnsi="Times New Roman" w:eastAsia="宋体"/>
                      <w:b w:val="0"/>
                      <w:color w:val="auto"/>
                      <w:szCs w:val="21"/>
                      <w:highlight w:val="none"/>
                    </w:rPr>
                    <w:t>-49</w:t>
                  </w:r>
                </w:p>
              </w:tc>
              <w:tc>
                <w:tcPr>
                  <w:tcW w:w="420" w:type="pct"/>
                  <w:vMerge w:val="continue"/>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color w:val="auto"/>
                      <w:sz w:val="21"/>
                      <w:szCs w:val="21"/>
                      <w:highlight w:val="none"/>
                    </w:rPr>
                  </w:pPr>
                </w:p>
              </w:tc>
              <w:tc>
                <w:tcPr>
                  <w:tcW w:w="946" w:type="pct"/>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b w:val="0"/>
                      <w:bCs/>
                      <w:color w:val="auto"/>
                      <w:sz w:val="21"/>
                      <w:szCs w:val="21"/>
                      <w:highlight w:val="none"/>
                    </w:rPr>
                  </w:pPr>
                  <w:r>
                    <w:rPr>
                      <w:rFonts w:ascii="Times New Roman"/>
                      <w:b w:val="0"/>
                      <w:bCs/>
                      <w:color w:val="auto"/>
                      <w:sz w:val="21"/>
                      <w:szCs w:val="21"/>
                      <w:highlight w:val="none"/>
                    </w:rPr>
                    <w:t>采用专用的容器密封盛装</w:t>
                  </w:r>
                </w:p>
              </w:tc>
              <w:tc>
                <w:tcPr>
                  <w:tcW w:w="532" w:type="pct"/>
                  <w:noWrap w:val="0"/>
                  <w:vAlign w:val="center"/>
                </w:tcPr>
                <w:p>
                  <w:pPr>
                    <w:pStyle w:val="57"/>
                    <w:keepNext w:val="0"/>
                    <w:keepLines w:val="0"/>
                    <w:pageBreakBefore w:val="0"/>
                    <w:kinsoku/>
                    <w:wordWrap/>
                    <w:overflowPunct/>
                    <w:topLinePunct w:val="0"/>
                    <w:autoSpaceDE/>
                    <w:autoSpaceDN/>
                    <w:bidi w:val="0"/>
                    <w:adjustRightInd w:val="0"/>
                    <w:ind w:left="0"/>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0.01t</w:t>
                  </w:r>
                </w:p>
              </w:tc>
              <w:tc>
                <w:tcPr>
                  <w:tcW w:w="495" w:type="pct"/>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hint="eastAsia" w:ascii="Times New Roman"/>
                      <w:b w:val="0"/>
                      <w:bCs/>
                      <w:color w:val="auto"/>
                      <w:kern w:val="0"/>
                      <w:sz w:val="21"/>
                      <w:szCs w:val="21"/>
                      <w:highlight w:val="none"/>
                      <w:lang w:val="en-US" w:eastAsia="zh-CN" w:bidi="ar-SA"/>
                    </w:rPr>
                  </w:pPr>
                  <w:r>
                    <w:rPr>
                      <w:rFonts w:hint="eastAsia" w:ascii="Times New Roman"/>
                      <w:b w:val="0"/>
                      <w:bCs/>
                      <w:color w:val="auto"/>
                      <w:sz w:val="21"/>
                      <w:szCs w:val="21"/>
                      <w:highlight w:val="none"/>
                    </w:rPr>
                    <w:t>不定期</w:t>
                  </w:r>
                </w:p>
              </w:tc>
            </w:tr>
            <w:bookmarkEnd w:id="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pct"/>
                  <w:vMerge w:val="continue"/>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color w:val="auto"/>
                      <w:sz w:val="21"/>
                      <w:szCs w:val="21"/>
                      <w:highlight w:val="none"/>
                    </w:rPr>
                  </w:pPr>
                </w:p>
              </w:tc>
              <w:tc>
                <w:tcPr>
                  <w:tcW w:w="1105" w:type="dxa"/>
                  <w:noWrap w:val="0"/>
                  <w:vAlign w:val="center"/>
                </w:tcPr>
                <w:p>
                  <w:pPr>
                    <w:pStyle w:val="57"/>
                    <w:keepNext w:val="0"/>
                    <w:keepLines w:val="0"/>
                    <w:pageBreakBefore w:val="0"/>
                    <w:kinsoku/>
                    <w:wordWrap/>
                    <w:overflowPunct/>
                    <w:topLinePunct w:val="0"/>
                    <w:autoSpaceDE/>
                    <w:autoSpaceDN/>
                    <w:bidi w:val="0"/>
                    <w:adjustRightInd w:val="0"/>
                    <w:ind w:left="0"/>
                    <w:jc w:val="center"/>
                    <w:rPr>
                      <w:rFonts w:hint="eastAsia" w:ascii="Times New Roman" w:hAnsi="Times New Roman" w:eastAsia="宋体" w:cs="Times New Roman"/>
                      <w:color w:val="auto"/>
                      <w:sz w:val="21"/>
                      <w:szCs w:val="21"/>
                      <w:highlight w:val="none"/>
                      <w:lang w:val="en-US" w:eastAsia="zh-CN" w:bidi="ar-SA"/>
                    </w:rPr>
                  </w:pPr>
                  <w:r>
                    <w:rPr>
                      <w:rFonts w:hint="default" w:eastAsia="宋体"/>
                      <w:color w:val="auto"/>
                      <w:szCs w:val="21"/>
                      <w:highlight w:val="none"/>
                      <w:lang w:val="en-US" w:eastAsia="zh-CN"/>
                    </w:rPr>
                    <w:t>沾染危险物质的废包装物</w:t>
                  </w:r>
                </w:p>
              </w:tc>
              <w:tc>
                <w:tcPr>
                  <w:tcW w:w="889" w:type="dxa"/>
                  <w:noWrap w:val="0"/>
                  <w:vAlign w:val="center"/>
                </w:tcPr>
                <w:p>
                  <w:pPr>
                    <w:pStyle w:val="60"/>
                    <w:keepNext w:val="0"/>
                    <w:keepLines w:val="0"/>
                    <w:pageBreakBefore w:val="0"/>
                    <w:kinsoku/>
                    <w:wordWrap/>
                    <w:overflowPunct/>
                    <w:topLinePunct w:val="0"/>
                    <w:autoSpaceDE/>
                    <w:autoSpaceDN/>
                    <w:bidi w:val="0"/>
                    <w:adjustRightInd w:val="0"/>
                    <w:spacing w:before="0" w:beforeLines="0" w:afterLines="0"/>
                    <w:ind w:left="0"/>
                    <w:jc w:val="center"/>
                    <w:rPr>
                      <w:rFonts w:hint="default" w:ascii="Times New Roman" w:hAnsi="Times New Roman" w:eastAsia="宋体"/>
                      <w:b w:val="0"/>
                      <w:color w:val="auto"/>
                      <w:kern w:val="2"/>
                      <w:sz w:val="21"/>
                      <w:szCs w:val="21"/>
                      <w:highlight w:val="none"/>
                      <w:lang w:val="en-US" w:eastAsia="zh-CN" w:bidi="ar-SA"/>
                    </w:rPr>
                  </w:pPr>
                  <w:r>
                    <w:rPr>
                      <w:rFonts w:ascii="Times New Roman" w:hAnsi="Times New Roman" w:eastAsia="宋体"/>
                      <w:b w:val="0"/>
                      <w:color w:val="auto"/>
                      <w:szCs w:val="21"/>
                      <w:highlight w:val="none"/>
                    </w:rPr>
                    <w:t>HW49</w:t>
                  </w:r>
                </w:p>
              </w:tc>
              <w:tc>
                <w:tcPr>
                  <w:tcW w:w="1288" w:type="dxa"/>
                  <w:noWrap w:val="0"/>
                  <w:vAlign w:val="center"/>
                </w:tcPr>
                <w:p>
                  <w:pPr>
                    <w:pStyle w:val="60"/>
                    <w:keepNext w:val="0"/>
                    <w:keepLines w:val="0"/>
                    <w:pageBreakBefore w:val="0"/>
                    <w:kinsoku/>
                    <w:wordWrap/>
                    <w:overflowPunct/>
                    <w:topLinePunct w:val="0"/>
                    <w:autoSpaceDE/>
                    <w:autoSpaceDN/>
                    <w:bidi w:val="0"/>
                    <w:adjustRightInd w:val="0"/>
                    <w:spacing w:before="0" w:beforeLines="0" w:afterLines="0"/>
                    <w:ind w:left="0"/>
                    <w:jc w:val="center"/>
                    <w:rPr>
                      <w:rFonts w:hint="default" w:ascii="Times New Roman" w:hAnsi="Times New Roman" w:eastAsia="宋体"/>
                      <w:b w:val="0"/>
                      <w:color w:val="auto"/>
                      <w:kern w:val="2"/>
                      <w:sz w:val="21"/>
                      <w:szCs w:val="21"/>
                      <w:highlight w:val="none"/>
                      <w:lang w:val="en-US" w:eastAsia="zh-CN" w:bidi="ar-SA"/>
                    </w:rPr>
                  </w:pPr>
                  <w:r>
                    <w:rPr>
                      <w:rFonts w:ascii="Times New Roman" w:hAnsi="Times New Roman" w:eastAsia="宋体"/>
                      <w:b w:val="0"/>
                      <w:color w:val="auto"/>
                      <w:szCs w:val="21"/>
                      <w:highlight w:val="none"/>
                    </w:rPr>
                    <w:t>900-0</w:t>
                  </w:r>
                  <w:r>
                    <w:rPr>
                      <w:rFonts w:hint="eastAsia" w:ascii="Times New Roman" w:hAnsi="Times New Roman" w:eastAsia="宋体"/>
                      <w:b w:val="0"/>
                      <w:color w:val="auto"/>
                      <w:szCs w:val="21"/>
                      <w:highlight w:val="none"/>
                      <w:lang w:val="en-US" w:eastAsia="zh-CN"/>
                    </w:rPr>
                    <w:t>41</w:t>
                  </w:r>
                  <w:r>
                    <w:rPr>
                      <w:rFonts w:ascii="Times New Roman" w:hAnsi="Times New Roman" w:eastAsia="宋体"/>
                      <w:b w:val="0"/>
                      <w:color w:val="auto"/>
                      <w:szCs w:val="21"/>
                      <w:highlight w:val="none"/>
                    </w:rPr>
                    <w:t>-49</w:t>
                  </w:r>
                </w:p>
              </w:tc>
              <w:tc>
                <w:tcPr>
                  <w:tcW w:w="420" w:type="pct"/>
                  <w:vMerge w:val="continue"/>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color w:val="auto"/>
                      <w:sz w:val="21"/>
                      <w:szCs w:val="21"/>
                      <w:highlight w:val="none"/>
                    </w:rPr>
                  </w:pPr>
                </w:p>
              </w:tc>
              <w:tc>
                <w:tcPr>
                  <w:tcW w:w="1558" w:type="dxa"/>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hint="eastAsia" w:ascii="Times New Roman" w:eastAsia="宋体"/>
                      <w:b w:val="0"/>
                      <w:bCs/>
                      <w:color w:val="auto"/>
                      <w:sz w:val="21"/>
                      <w:szCs w:val="21"/>
                      <w:highlight w:val="none"/>
                      <w:lang w:val="en-US" w:eastAsia="zh-CN"/>
                    </w:rPr>
                  </w:pPr>
                  <w:r>
                    <w:rPr>
                      <w:rFonts w:ascii="Times New Roman"/>
                      <w:b w:val="0"/>
                      <w:bCs/>
                      <w:color w:val="auto"/>
                      <w:sz w:val="21"/>
                      <w:szCs w:val="21"/>
                      <w:highlight w:val="none"/>
                    </w:rPr>
                    <w:t>采用专用的容器密封盛装</w:t>
                  </w:r>
                  <w:r>
                    <w:rPr>
                      <w:rFonts w:hint="eastAsia" w:ascii="Times New Roman"/>
                      <w:b w:val="0"/>
                      <w:bCs/>
                      <w:color w:val="auto"/>
                      <w:sz w:val="21"/>
                      <w:szCs w:val="21"/>
                      <w:highlight w:val="none"/>
                      <w:lang w:val="en-US" w:eastAsia="zh-CN"/>
                    </w:rPr>
                    <w:t>/</w:t>
                  </w:r>
                  <w:r>
                    <w:rPr>
                      <w:rFonts w:ascii="Times New Roman"/>
                      <w:b w:val="0"/>
                      <w:bCs/>
                      <w:color w:val="auto"/>
                      <w:sz w:val="21"/>
                      <w:szCs w:val="21"/>
                      <w:highlight w:val="none"/>
                    </w:rPr>
                    <w:t>置于危废暂存间</w:t>
                  </w:r>
                </w:p>
              </w:tc>
              <w:tc>
                <w:tcPr>
                  <w:tcW w:w="876" w:type="dxa"/>
                  <w:noWrap w:val="0"/>
                  <w:vAlign w:val="center"/>
                </w:tcPr>
                <w:p>
                  <w:pPr>
                    <w:pStyle w:val="57"/>
                    <w:keepNext w:val="0"/>
                    <w:keepLines w:val="0"/>
                    <w:pageBreakBefore w:val="0"/>
                    <w:kinsoku/>
                    <w:wordWrap/>
                    <w:overflowPunct/>
                    <w:topLinePunct w:val="0"/>
                    <w:autoSpaceDE/>
                    <w:autoSpaceDN/>
                    <w:bidi w:val="0"/>
                    <w:adjustRightInd w:val="0"/>
                    <w:ind w:left="0"/>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0.15t</w:t>
                  </w:r>
                </w:p>
              </w:tc>
              <w:tc>
                <w:tcPr>
                  <w:tcW w:w="816" w:type="dxa"/>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hint="eastAsia" w:ascii="Times New Roman" w:hAnsi="Times New Roman" w:eastAsia="宋体"/>
                      <w:b w:val="0"/>
                      <w:bCs/>
                      <w:color w:val="auto"/>
                      <w:kern w:val="0"/>
                      <w:sz w:val="21"/>
                      <w:szCs w:val="21"/>
                      <w:highlight w:val="none"/>
                      <w:lang w:val="en-US" w:eastAsia="zh-CN" w:bidi="ar-SA"/>
                    </w:rPr>
                  </w:pPr>
                  <w:r>
                    <w:rPr>
                      <w:rFonts w:hint="eastAsia" w:ascii="Times New Roman"/>
                      <w:b w:val="0"/>
                      <w:bCs/>
                      <w:color w:val="auto"/>
                      <w:sz w:val="21"/>
                      <w:szCs w:val="21"/>
                      <w:highlight w:val="none"/>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pct"/>
                  <w:vMerge w:val="continue"/>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color w:val="auto"/>
                      <w:sz w:val="21"/>
                      <w:szCs w:val="21"/>
                      <w:highlight w:val="none"/>
                    </w:rPr>
                  </w:pPr>
                </w:p>
              </w:tc>
              <w:tc>
                <w:tcPr>
                  <w:tcW w:w="1105" w:type="dxa"/>
                  <w:noWrap w:val="0"/>
                  <w:vAlign w:val="center"/>
                </w:tcPr>
                <w:p>
                  <w:pPr>
                    <w:pStyle w:val="57"/>
                    <w:keepNext w:val="0"/>
                    <w:keepLines w:val="0"/>
                    <w:pageBreakBefore w:val="0"/>
                    <w:kinsoku/>
                    <w:wordWrap/>
                    <w:overflowPunct/>
                    <w:topLinePunct w:val="0"/>
                    <w:autoSpaceDE/>
                    <w:autoSpaceDN/>
                    <w:bidi w:val="0"/>
                    <w:adjustRightInd w:val="0"/>
                    <w:ind w:left="0"/>
                    <w:jc w:val="center"/>
                    <w:rPr>
                      <w:rFonts w:hint="eastAsia" w:ascii="Times New Roman" w:hAnsi="Times New Roman" w:eastAsia="Times New Roman" w:cs="Times New Roman"/>
                      <w:color w:val="auto"/>
                      <w:sz w:val="21"/>
                      <w:szCs w:val="21"/>
                      <w:highlight w:val="none"/>
                      <w:lang w:val="en-US" w:eastAsia="zh-CN" w:bidi="ar-SA"/>
                    </w:rPr>
                  </w:pPr>
                  <w:r>
                    <w:rPr>
                      <w:rFonts w:hint="eastAsia"/>
                      <w:color w:val="auto"/>
                      <w:szCs w:val="21"/>
                      <w:highlight w:val="none"/>
                    </w:rPr>
                    <w:t>实验废液</w:t>
                  </w:r>
                </w:p>
              </w:tc>
              <w:tc>
                <w:tcPr>
                  <w:tcW w:w="889" w:type="dxa"/>
                  <w:noWrap w:val="0"/>
                  <w:vAlign w:val="center"/>
                </w:tcPr>
                <w:p>
                  <w:pPr>
                    <w:pStyle w:val="60"/>
                    <w:keepNext w:val="0"/>
                    <w:keepLines w:val="0"/>
                    <w:pageBreakBefore w:val="0"/>
                    <w:kinsoku/>
                    <w:wordWrap/>
                    <w:overflowPunct/>
                    <w:topLinePunct w:val="0"/>
                    <w:autoSpaceDE/>
                    <w:autoSpaceDN/>
                    <w:bidi w:val="0"/>
                    <w:adjustRightInd w:val="0"/>
                    <w:spacing w:before="0" w:beforeLines="0" w:afterLines="0"/>
                    <w:ind w:left="0"/>
                    <w:jc w:val="center"/>
                    <w:rPr>
                      <w:rFonts w:hint="default" w:ascii="Times New Roman" w:hAnsi="Times New Roman" w:eastAsia="宋体"/>
                      <w:b w:val="0"/>
                      <w:color w:val="auto"/>
                      <w:kern w:val="2"/>
                      <w:sz w:val="21"/>
                      <w:szCs w:val="21"/>
                      <w:highlight w:val="none"/>
                      <w:lang w:val="en-US" w:eastAsia="zh-CN" w:bidi="ar-SA"/>
                    </w:rPr>
                  </w:pPr>
                  <w:r>
                    <w:rPr>
                      <w:rFonts w:ascii="Times New Roman" w:hAnsi="Times New Roman" w:eastAsia="宋体"/>
                      <w:b w:val="0"/>
                      <w:color w:val="auto"/>
                      <w:szCs w:val="21"/>
                      <w:highlight w:val="none"/>
                    </w:rPr>
                    <w:t>HW49</w:t>
                  </w:r>
                </w:p>
              </w:tc>
              <w:tc>
                <w:tcPr>
                  <w:tcW w:w="1288" w:type="dxa"/>
                  <w:noWrap w:val="0"/>
                  <w:vAlign w:val="center"/>
                </w:tcPr>
                <w:p>
                  <w:pPr>
                    <w:pStyle w:val="60"/>
                    <w:keepNext w:val="0"/>
                    <w:keepLines w:val="0"/>
                    <w:pageBreakBefore w:val="0"/>
                    <w:kinsoku/>
                    <w:wordWrap/>
                    <w:overflowPunct/>
                    <w:topLinePunct w:val="0"/>
                    <w:autoSpaceDE/>
                    <w:autoSpaceDN/>
                    <w:bidi w:val="0"/>
                    <w:adjustRightInd w:val="0"/>
                    <w:spacing w:before="0" w:beforeLines="0" w:afterLines="0"/>
                    <w:ind w:left="0"/>
                    <w:jc w:val="center"/>
                    <w:rPr>
                      <w:rFonts w:hint="default" w:ascii="Times New Roman" w:hAnsi="Times New Roman" w:eastAsia="宋体"/>
                      <w:b w:val="0"/>
                      <w:color w:val="auto"/>
                      <w:kern w:val="2"/>
                      <w:sz w:val="21"/>
                      <w:szCs w:val="21"/>
                      <w:highlight w:val="none"/>
                      <w:lang w:val="en-US" w:eastAsia="zh-CN" w:bidi="ar-SA"/>
                    </w:rPr>
                  </w:pPr>
                  <w:r>
                    <w:rPr>
                      <w:rFonts w:ascii="Times New Roman" w:hAnsi="Times New Roman" w:eastAsia="宋体"/>
                      <w:b w:val="0"/>
                      <w:color w:val="auto"/>
                      <w:szCs w:val="21"/>
                      <w:highlight w:val="none"/>
                    </w:rPr>
                    <w:t>900-0</w:t>
                  </w:r>
                  <w:r>
                    <w:rPr>
                      <w:rFonts w:hint="eastAsia" w:ascii="Times New Roman" w:hAnsi="Times New Roman" w:eastAsia="宋体"/>
                      <w:b w:val="0"/>
                      <w:color w:val="auto"/>
                      <w:szCs w:val="21"/>
                      <w:highlight w:val="none"/>
                      <w:lang w:val="en-US" w:eastAsia="zh-CN"/>
                    </w:rPr>
                    <w:t>47</w:t>
                  </w:r>
                  <w:r>
                    <w:rPr>
                      <w:rFonts w:ascii="Times New Roman" w:hAnsi="Times New Roman" w:eastAsia="宋体"/>
                      <w:b w:val="0"/>
                      <w:color w:val="auto"/>
                      <w:szCs w:val="21"/>
                      <w:highlight w:val="none"/>
                    </w:rPr>
                    <w:t>-49</w:t>
                  </w:r>
                </w:p>
              </w:tc>
              <w:tc>
                <w:tcPr>
                  <w:tcW w:w="420" w:type="pct"/>
                  <w:vMerge w:val="continue"/>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color w:val="auto"/>
                      <w:sz w:val="21"/>
                      <w:szCs w:val="21"/>
                      <w:highlight w:val="none"/>
                    </w:rPr>
                  </w:pPr>
                </w:p>
              </w:tc>
              <w:tc>
                <w:tcPr>
                  <w:tcW w:w="1558" w:type="dxa"/>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ascii="Times New Roman"/>
                      <w:b w:val="0"/>
                      <w:bCs/>
                      <w:color w:val="auto"/>
                      <w:sz w:val="21"/>
                      <w:szCs w:val="21"/>
                      <w:highlight w:val="none"/>
                    </w:rPr>
                  </w:pPr>
                  <w:r>
                    <w:rPr>
                      <w:rFonts w:ascii="Times New Roman"/>
                      <w:b w:val="0"/>
                      <w:bCs/>
                      <w:color w:val="auto"/>
                      <w:sz w:val="21"/>
                      <w:szCs w:val="21"/>
                      <w:highlight w:val="none"/>
                    </w:rPr>
                    <w:t>采用专用容器盛装并在容器下方设置托盘</w:t>
                  </w:r>
                </w:p>
              </w:tc>
              <w:tc>
                <w:tcPr>
                  <w:tcW w:w="876" w:type="dxa"/>
                  <w:noWrap w:val="0"/>
                  <w:vAlign w:val="center"/>
                </w:tcPr>
                <w:p>
                  <w:pPr>
                    <w:pStyle w:val="57"/>
                    <w:keepNext w:val="0"/>
                    <w:keepLines w:val="0"/>
                    <w:pageBreakBefore w:val="0"/>
                    <w:kinsoku/>
                    <w:wordWrap/>
                    <w:overflowPunct/>
                    <w:topLinePunct w:val="0"/>
                    <w:autoSpaceDE/>
                    <w:autoSpaceDN/>
                    <w:bidi w:val="0"/>
                    <w:adjustRightInd w:val="0"/>
                    <w:ind w:left="0"/>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0.78t</w:t>
                  </w:r>
                </w:p>
              </w:tc>
              <w:tc>
                <w:tcPr>
                  <w:tcW w:w="816" w:type="dxa"/>
                  <w:noWrap w:val="0"/>
                  <w:vAlign w:val="center"/>
                </w:tcPr>
                <w:p>
                  <w:pPr>
                    <w:pStyle w:val="41"/>
                    <w:keepNext w:val="0"/>
                    <w:keepLines w:val="0"/>
                    <w:pageBreakBefore w:val="0"/>
                    <w:kinsoku/>
                    <w:wordWrap/>
                    <w:overflowPunct/>
                    <w:topLinePunct w:val="0"/>
                    <w:autoSpaceDE/>
                    <w:autoSpaceDN/>
                    <w:bidi w:val="0"/>
                    <w:adjustRightInd w:val="0"/>
                    <w:spacing w:before="0" w:beforeLines="0" w:after="0" w:afterLines="0" w:line="240" w:lineRule="auto"/>
                    <w:ind w:left="0" w:firstLine="0" w:firstLineChars="0"/>
                    <w:jc w:val="center"/>
                    <w:rPr>
                      <w:rFonts w:hint="eastAsia" w:ascii="Times New Roman" w:hAnsi="Times New Roman" w:eastAsia="宋体"/>
                      <w:b w:val="0"/>
                      <w:bCs/>
                      <w:color w:val="auto"/>
                      <w:kern w:val="0"/>
                      <w:sz w:val="21"/>
                      <w:szCs w:val="21"/>
                      <w:highlight w:val="none"/>
                      <w:lang w:val="en-US" w:eastAsia="zh-CN" w:bidi="ar-SA"/>
                    </w:rPr>
                  </w:pPr>
                  <w:r>
                    <w:rPr>
                      <w:rFonts w:hint="eastAsia" w:ascii="Times New Roman"/>
                      <w:b w:val="0"/>
                      <w:bCs/>
                      <w:color w:val="auto"/>
                      <w:sz w:val="21"/>
                      <w:szCs w:val="21"/>
                      <w:highlight w:val="none"/>
                    </w:rPr>
                    <w:t>不定期</w:t>
                  </w:r>
                </w:p>
              </w:tc>
            </w:tr>
          </w:tbl>
          <w:p>
            <w:pPr>
              <w:pStyle w:val="8"/>
              <w:spacing w:before="0" w:after="0" w:line="360" w:lineRule="auto"/>
              <w:ind w:right="0" w:firstLine="482" w:firstLineChars="200"/>
              <w:rPr>
                <w:rFonts w:hint="eastAsia" w:eastAsia="宋体"/>
                <w:b/>
                <w:bCs/>
                <w:color w:val="auto"/>
                <w:sz w:val="24"/>
                <w:szCs w:val="24"/>
                <w:highlight w:val="none"/>
                <w:lang w:val="en-US" w:eastAsia="zh-CN"/>
              </w:rPr>
            </w:pPr>
            <w:r>
              <w:rPr>
                <w:rFonts w:hint="eastAsia"/>
                <w:b/>
                <w:bCs/>
                <w:color w:val="auto"/>
                <w:sz w:val="24"/>
                <w:szCs w:val="24"/>
                <w:highlight w:val="none"/>
                <w:lang w:val="en-US" w:eastAsia="zh-CN"/>
              </w:rPr>
              <w:t>2、</w:t>
            </w:r>
            <w:r>
              <w:rPr>
                <w:b/>
                <w:bCs/>
                <w:color w:val="auto"/>
                <w:sz w:val="24"/>
                <w:szCs w:val="24"/>
                <w:highlight w:val="none"/>
              </w:rPr>
              <w:t>危险废物</w:t>
            </w:r>
            <w:r>
              <w:rPr>
                <w:rFonts w:hint="eastAsia"/>
                <w:b/>
                <w:bCs/>
                <w:color w:val="auto"/>
                <w:sz w:val="24"/>
                <w:szCs w:val="24"/>
                <w:highlight w:val="none"/>
                <w:lang w:val="en-US" w:eastAsia="zh-CN"/>
              </w:rPr>
              <w:t>管理</w:t>
            </w:r>
          </w:p>
          <w:p>
            <w:pPr>
              <w:pStyle w:val="8"/>
              <w:spacing w:before="0" w:after="0" w:line="360" w:lineRule="auto"/>
              <w:ind w:right="0" w:firstLine="482" w:firstLineChars="200"/>
              <w:rPr>
                <w:rFonts w:hint="default" w:eastAsia="宋体"/>
                <w:b/>
                <w:bCs/>
                <w:color w:val="auto"/>
                <w:sz w:val="24"/>
                <w:szCs w:val="24"/>
                <w:highlight w:val="none"/>
                <w:lang w:val="en-US" w:eastAsia="zh-CN"/>
              </w:rPr>
            </w:pPr>
            <w:r>
              <w:rPr>
                <w:rFonts w:hint="eastAsia"/>
                <w:b/>
                <w:bCs/>
                <w:color w:val="auto"/>
                <w:sz w:val="24"/>
                <w:szCs w:val="24"/>
                <w:highlight w:val="none"/>
                <w:lang w:eastAsia="zh-CN"/>
              </w:rPr>
              <w:t>（</w:t>
            </w:r>
            <w:r>
              <w:rPr>
                <w:rFonts w:hint="eastAsia"/>
                <w:b/>
                <w:bCs/>
                <w:color w:val="auto"/>
                <w:sz w:val="24"/>
                <w:szCs w:val="24"/>
                <w:highlight w:val="none"/>
                <w:lang w:val="en-US" w:eastAsia="zh-CN"/>
              </w:rPr>
              <w:t>1</w:t>
            </w:r>
            <w:r>
              <w:rPr>
                <w:rFonts w:hint="eastAsia"/>
                <w:b/>
                <w:bCs/>
                <w:color w:val="auto"/>
                <w:sz w:val="24"/>
                <w:szCs w:val="24"/>
                <w:highlight w:val="none"/>
                <w:lang w:eastAsia="zh-CN"/>
              </w:rPr>
              <w:t>）</w:t>
            </w:r>
            <w:r>
              <w:rPr>
                <w:rFonts w:hint="eastAsia"/>
                <w:b/>
                <w:bCs/>
                <w:color w:val="auto"/>
                <w:sz w:val="24"/>
                <w:szCs w:val="24"/>
                <w:highlight w:val="none"/>
                <w:lang w:val="en-US" w:eastAsia="zh-CN"/>
              </w:rPr>
              <w:t>基本要求</w:t>
            </w:r>
          </w:p>
          <w:p>
            <w:pPr>
              <w:pStyle w:val="8"/>
              <w:spacing w:before="0" w:after="0" w:line="360" w:lineRule="auto"/>
              <w:ind w:right="0" w:firstLine="480" w:firstLineChars="200"/>
              <w:rPr>
                <w:color w:val="auto"/>
                <w:sz w:val="24"/>
                <w:szCs w:val="24"/>
                <w:highlight w:val="none"/>
              </w:rPr>
            </w:pPr>
            <w:r>
              <w:rPr>
                <w:color w:val="auto"/>
                <w:sz w:val="24"/>
                <w:szCs w:val="24"/>
                <w:highlight w:val="none"/>
              </w:rPr>
              <w:t>本环评要求建设单位加强对危险废物规范收集、暂存、转运、处置过程的管理。具体要求如下：</w:t>
            </w:r>
          </w:p>
          <w:p>
            <w:pPr>
              <w:pStyle w:val="8"/>
              <w:spacing w:before="0" w:after="0" w:line="360" w:lineRule="auto"/>
              <w:ind w:right="0" w:firstLine="480" w:firstLineChars="200"/>
              <w:rPr>
                <w:color w:val="auto"/>
                <w:sz w:val="24"/>
                <w:szCs w:val="24"/>
                <w:highlight w:val="none"/>
              </w:rPr>
            </w:pPr>
            <w:r>
              <w:rPr>
                <w:color w:val="auto"/>
                <w:sz w:val="24"/>
                <w:szCs w:val="24"/>
                <w:highlight w:val="none"/>
              </w:rPr>
              <w:t>①</w:t>
            </w:r>
            <w:r>
              <w:rPr>
                <w:rFonts w:hint="eastAsia"/>
                <w:color w:val="auto"/>
                <w:sz w:val="24"/>
                <w:szCs w:val="24"/>
                <w:highlight w:val="none"/>
              </w:rPr>
              <w:t>危险废物</w:t>
            </w:r>
            <w:r>
              <w:rPr>
                <w:color w:val="auto"/>
                <w:sz w:val="24"/>
                <w:szCs w:val="24"/>
                <w:highlight w:val="none"/>
              </w:rPr>
              <w:t>收集：危险废物一经产生，应立即收集至</w:t>
            </w:r>
            <w:r>
              <w:rPr>
                <w:rFonts w:hint="eastAsia"/>
                <w:color w:val="auto"/>
                <w:sz w:val="24"/>
                <w:szCs w:val="24"/>
                <w:highlight w:val="none"/>
              </w:rPr>
              <w:t>危废暂存间</w:t>
            </w:r>
            <w:r>
              <w:rPr>
                <w:color w:val="auto"/>
                <w:sz w:val="24"/>
                <w:szCs w:val="24"/>
                <w:highlight w:val="none"/>
              </w:rPr>
              <w:t>。</w:t>
            </w:r>
          </w:p>
          <w:p>
            <w:pPr>
              <w:pStyle w:val="8"/>
              <w:spacing w:before="0" w:after="0" w:line="360" w:lineRule="auto"/>
              <w:ind w:right="0" w:firstLine="480" w:firstLineChars="200"/>
              <w:rPr>
                <w:color w:val="auto"/>
                <w:sz w:val="24"/>
                <w:szCs w:val="24"/>
                <w:highlight w:val="none"/>
              </w:rPr>
            </w:pPr>
            <w:r>
              <w:rPr>
                <w:color w:val="auto"/>
                <w:sz w:val="24"/>
                <w:szCs w:val="24"/>
                <w:highlight w:val="none"/>
              </w:rPr>
              <w:t>②</w:t>
            </w:r>
            <w:r>
              <w:rPr>
                <w:rFonts w:hint="eastAsia"/>
                <w:color w:val="auto"/>
                <w:sz w:val="24"/>
                <w:szCs w:val="24"/>
                <w:highlight w:val="none"/>
              </w:rPr>
              <w:t>危险废物</w:t>
            </w:r>
            <w:r>
              <w:rPr>
                <w:color w:val="auto"/>
                <w:sz w:val="24"/>
                <w:szCs w:val="24"/>
                <w:highlight w:val="none"/>
              </w:rPr>
              <w:t>暂存：</w:t>
            </w:r>
            <w:r>
              <w:rPr>
                <w:rFonts w:hint="eastAsia"/>
                <w:color w:val="auto"/>
                <w:sz w:val="24"/>
                <w:szCs w:val="24"/>
                <w:highlight w:val="none"/>
              </w:rPr>
              <w:t>厂区东侧设置一间危废暂存间，面积为</w:t>
            </w:r>
            <w:r>
              <w:rPr>
                <w:rFonts w:hint="eastAsia"/>
                <w:color w:val="auto"/>
                <w:sz w:val="24"/>
                <w:szCs w:val="24"/>
                <w:highlight w:val="none"/>
                <w:lang w:val="en-US" w:eastAsia="zh-CN"/>
              </w:rPr>
              <w:t>10</w:t>
            </w:r>
            <w:r>
              <w:rPr>
                <w:rFonts w:hint="eastAsia"/>
                <w:color w:val="auto"/>
                <w:sz w:val="24"/>
                <w:szCs w:val="24"/>
                <w:highlight w:val="none"/>
              </w:rPr>
              <w:t>m</w:t>
            </w:r>
            <w:r>
              <w:rPr>
                <w:rFonts w:hint="eastAsia"/>
                <w:color w:val="auto"/>
                <w:sz w:val="24"/>
                <w:szCs w:val="24"/>
                <w:highlight w:val="none"/>
                <w:vertAlign w:val="superscript"/>
              </w:rPr>
              <w:t>2</w:t>
            </w:r>
            <w:r>
              <w:rPr>
                <w:rFonts w:hint="eastAsia"/>
                <w:color w:val="auto"/>
                <w:sz w:val="24"/>
                <w:szCs w:val="24"/>
                <w:highlight w:val="none"/>
              </w:rPr>
              <w:t>，</w:t>
            </w:r>
            <w:r>
              <w:rPr>
                <w:color w:val="auto"/>
                <w:sz w:val="24"/>
                <w:szCs w:val="24"/>
                <w:highlight w:val="none"/>
              </w:rPr>
              <w:t>危废暂存间密闭设置，</w:t>
            </w:r>
            <w:r>
              <w:rPr>
                <w:rFonts w:hint="eastAsia"/>
                <w:color w:val="auto"/>
                <w:sz w:val="24"/>
                <w:szCs w:val="24"/>
                <w:highlight w:val="none"/>
              </w:rPr>
              <w:t>满足防风、防雨、防晒、防渗漏“</w:t>
            </w:r>
            <w:r>
              <w:rPr>
                <w:rFonts w:hint="eastAsia"/>
                <w:color w:val="auto"/>
                <w:sz w:val="24"/>
                <w:szCs w:val="24"/>
                <w:highlight w:val="none"/>
                <w:lang w:val="en-US" w:eastAsia="zh-CN"/>
              </w:rPr>
              <w:t>四</w:t>
            </w:r>
            <w:r>
              <w:rPr>
                <w:rFonts w:hint="eastAsia"/>
                <w:color w:val="auto"/>
                <w:sz w:val="24"/>
                <w:szCs w:val="24"/>
                <w:highlight w:val="none"/>
              </w:rPr>
              <w:t>防”要求，</w:t>
            </w:r>
            <w:r>
              <w:rPr>
                <w:color w:val="auto"/>
                <w:sz w:val="24"/>
                <w:szCs w:val="24"/>
                <w:highlight w:val="none"/>
              </w:rPr>
              <w:t>地面采用</w:t>
            </w:r>
            <w:r>
              <w:rPr>
                <w:rFonts w:hint="eastAsia"/>
                <w:color w:val="auto"/>
                <w:sz w:val="24"/>
                <w:szCs w:val="24"/>
                <w:highlight w:val="none"/>
              </w:rPr>
              <w:t>防渗混凝土+</w:t>
            </w:r>
            <w:r>
              <w:rPr>
                <w:rFonts w:hint="eastAsia"/>
                <w:color w:val="auto"/>
                <w:sz w:val="24"/>
                <w:szCs w:val="24"/>
                <w:highlight w:val="none"/>
                <w:lang w:val="en-US" w:eastAsia="zh-CN"/>
              </w:rPr>
              <w:t>环氧树脂漆</w:t>
            </w:r>
            <w:r>
              <w:rPr>
                <w:rFonts w:hint="eastAsia"/>
                <w:color w:val="auto"/>
                <w:sz w:val="24"/>
                <w:szCs w:val="24"/>
                <w:highlight w:val="none"/>
              </w:rPr>
              <w:t>+不锈钢托盘</w:t>
            </w:r>
            <w:r>
              <w:rPr>
                <w:color w:val="auto"/>
                <w:sz w:val="24"/>
                <w:szCs w:val="24"/>
                <w:highlight w:val="none"/>
              </w:rPr>
              <w:t>用于防渗，根据危险废物的类别设置对应的收集桶，并做好标识标牌，进行登记暂存危废名称、数量等。</w:t>
            </w:r>
          </w:p>
          <w:p>
            <w:pPr>
              <w:pStyle w:val="8"/>
              <w:spacing w:before="0" w:after="0" w:line="360" w:lineRule="auto"/>
              <w:ind w:right="0" w:firstLine="480" w:firstLineChars="200"/>
              <w:rPr>
                <w:color w:val="auto"/>
                <w:sz w:val="24"/>
                <w:szCs w:val="24"/>
                <w:highlight w:val="none"/>
              </w:rPr>
            </w:pPr>
            <w:r>
              <w:rPr>
                <w:color w:val="auto"/>
                <w:sz w:val="24"/>
                <w:szCs w:val="24"/>
                <w:highlight w:val="none"/>
              </w:rPr>
              <w:t>③危险废物转运和处理：建设单位必须根据企业产生的危废种类委托有相应危废处理资质的公司进行处理，并由该公司进行危险废物的运输作业。危险废物转运过程中必须填写转运联单，运输过程须严格按照相关于运输要求进行。</w:t>
            </w:r>
          </w:p>
          <w:p>
            <w:pPr>
              <w:pStyle w:val="8"/>
              <w:spacing w:before="0" w:after="0" w:line="360" w:lineRule="auto"/>
              <w:ind w:right="0" w:firstLine="482" w:firstLineChars="200"/>
              <w:rPr>
                <w:rFonts w:hint="default" w:eastAsia="宋体"/>
                <w:b/>
                <w:bCs/>
                <w:color w:val="auto"/>
                <w:sz w:val="24"/>
                <w:szCs w:val="24"/>
                <w:highlight w:val="none"/>
                <w:lang w:val="en-US" w:eastAsia="zh-CN"/>
              </w:rPr>
            </w:pPr>
            <w:r>
              <w:rPr>
                <w:rFonts w:hint="eastAsia"/>
                <w:b/>
                <w:bCs/>
                <w:color w:val="auto"/>
                <w:sz w:val="24"/>
                <w:szCs w:val="24"/>
                <w:highlight w:val="none"/>
                <w:lang w:eastAsia="zh-CN"/>
              </w:rPr>
              <w:t>（</w:t>
            </w:r>
            <w:r>
              <w:rPr>
                <w:rFonts w:hint="eastAsia"/>
                <w:b/>
                <w:bCs/>
                <w:color w:val="auto"/>
                <w:sz w:val="24"/>
                <w:szCs w:val="24"/>
                <w:highlight w:val="none"/>
                <w:lang w:val="en-US" w:eastAsia="zh-CN"/>
              </w:rPr>
              <w:t>2</w:t>
            </w:r>
            <w:r>
              <w:rPr>
                <w:rFonts w:hint="eastAsia"/>
                <w:b/>
                <w:bCs/>
                <w:color w:val="auto"/>
                <w:sz w:val="24"/>
                <w:szCs w:val="24"/>
                <w:highlight w:val="none"/>
                <w:lang w:eastAsia="zh-CN"/>
              </w:rPr>
              <w:t>）</w:t>
            </w:r>
            <w:r>
              <w:rPr>
                <w:rFonts w:hint="eastAsia"/>
                <w:b/>
                <w:bCs/>
                <w:color w:val="auto"/>
                <w:sz w:val="24"/>
                <w:szCs w:val="24"/>
                <w:highlight w:val="none"/>
                <w:lang w:val="en-US" w:eastAsia="zh-CN"/>
              </w:rPr>
              <w:t>贮存要求</w:t>
            </w:r>
          </w:p>
          <w:p>
            <w:pPr>
              <w:pStyle w:val="8"/>
              <w:spacing w:before="0" w:after="0" w:line="360" w:lineRule="auto"/>
              <w:ind w:right="0" w:firstLine="480" w:firstLineChars="200"/>
              <w:rPr>
                <w:b w:val="0"/>
                <w:bCs w:val="0"/>
                <w:color w:val="auto"/>
                <w:sz w:val="24"/>
                <w:szCs w:val="24"/>
                <w:highlight w:val="none"/>
              </w:rPr>
            </w:pPr>
            <w:r>
              <w:rPr>
                <w:color w:val="auto"/>
                <w:sz w:val="24"/>
                <w:szCs w:val="24"/>
                <w:highlight w:val="none"/>
              </w:rPr>
              <w:t>按照《危险废物贮存污染控制标准》（GB18597-2001）</w:t>
            </w:r>
            <w:r>
              <w:rPr>
                <w:rFonts w:hint="eastAsia"/>
                <w:color w:val="auto"/>
                <w:sz w:val="24"/>
                <w:szCs w:val="24"/>
                <w:highlight w:val="none"/>
                <w:lang w:val="en-US" w:eastAsia="zh-CN"/>
              </w:rPr>
              <w:t>及其修改单</w:t>
            </w:r>
            <w:r>
              <w:rPr>
                <w:color w:val="auto"/>
                <w:sz w:val="24"/>
                <w:szCs w:val="24"/>
                <w:highlight w:val="none"/>
              </w:rPr>
              <w:t>，结合本项目产生的危险废物性质，</w:t>
            </w:r>
            <w:r>
              <w:rPr>
                <w:b w:val="0"/>
                <w:bCs w:val="0"/>
                <w:color w:val="auto"/>
                <w:sz w:val="24"/>
                <w:szCs w:val="24"/>
                <w:highlight w:val="none"/>
                <w:u w:val="none"/>
              </w:rPr>
              <w:t>本项目危险废物贮存的一般要求为：</w:t>
            </w:r>
          </w:p>
          <w:p>
            <w:pPr>
              <w:pStyle w:val="8"/>
              <w:spacing w:before="0" w:after="0" w:line="360" w:lineRule="auto"/>
              <w:ind w:right="0" w:firstLine="480" w:firstLineChars="200"/>
              <w:rPr>
                <w:color w:val="auto"/>
                <w:sz w:val="24"/>
                <w:szCs w:val="24"/>
                <w:highlight w:val="none"/>
              </w:rPr>
            </w:pPr>
            <w:r>
              <w:rPr>
                <w:rFonts w:hint="eastAsia"/>
                <w:color w:val="auto"/>
                <w:sz w:val="24"/>
                <w:szCs w:val="24"/>
                <w:highlight w:val="none"/>
                <w:lang w:val="en-US" w:eastAsia="zh-CN"/>
              </w:rPr>
              <w:t>①</w:t>
            </w:r>
            <w:r>
              <w:rPr>
                <w:color w:val="auto"/>
                <w:sz w:val="24"/>
                <w:szCs w:val="24"/>
                <w:highlight w:val="none"/>
              </w:rPr>
              <w:t>设置专用的危险废物贮存设施，并按危险废物性质分类贮存。</w:t>
            </w:r>
          </w:p>
          <w:p>
            <w:pPr>
              <w:pStyle w:val="8"/>
              <w:spacing w:before="0" w:after="0" w:line="360" w:lineRule="auto"/>
              <w:ind w:right="0" w:firstLine="480" w:firstLineChars="200"/>
              <w:rPr>
                <w:color w:val="auto"/>
                <w:sz w:val="24"/>
                <w:szCs w:val="24"/>
                <w:highlight w:val="none"/>
              </w:rPr>
            </w:pPr>
            <w:r>
              <w:rPr>
                <w:rFonts w:hint="eastAsia"/>
                <w:color w:val="auto"/>
                <w:sz w:val="24"/>
                <w:szCs w:val="24"/>
                <w:highlight w:val="none"/>
                <w:lang w:val="en-US" w:eastAsia="zh-CN"/>
              </w:rPr>
              <w:t>②</w:t>
            </w:r>
            <w:r>
              <w:rPr>
                <w:color w:val="auto"/>
                <w:sz w:val="24"/>
                <w:szCs w:val="24"/>
                <w:highlight w:val="none"/>
              </w:rPr>
              <w:t>禁止将不相容（相互反应）的危险废物在同一容器内混装。</w:t>
            </w:r>
          </w:p>
          <w:p>
            <w:pPr>
              <w:pStyle w:val="8"/>
              <w:spacing w:before="0" w:after="0" w:line="360" w:lineRule="auto"/>
              <w:ind w:right="0" w:firstLine="480" w:firstLineChars="200"/>
              <w:rPr>
                <w:color w:val="auto"/>
                <w:sz w:val="24"/>
                <w:szCs w:val="24"/>
                <w:highlight w:val="none"/>
              </w:rPr>
            </w:pPr>
            <w:r>
              <w:rPr>
                <w:rFonts w:hint="eastAsia"/>
                <w:color w:val="auto"/>
                <w:sz w:val="24"/>
                <w:szCs w:val="24"/>
                <w:highlight w:val="none"/>
                <w:lang w:val="en-US" w:eastAsia="zh-CN"/>
              </w:rPr>
              <w:t>③</w:t>
            </w:r>
            <w:r>
              <w:rPr>
                <w:color w:val="auto"/>
                <w:sz w:val="24"/>
                <w:szCs w:val="24"/>
                <w:highlight w:val="none"/>
              </w:rPr>
              <w:t>无法装入常用容器的危险废物可用防漏胶袋等盛装。</w:t>
            </w:r>
          </w:p>
          <w:p>
            <w:pPr>
              <w:pStyle w:val="8"/>
              <w:spacing w:before="0" w:after="0" w:line="360" w:lineRule="auto"/>
              <w:ind w:right="0" w:firstLine="480" w:firstLineChars="200"/>
              <w:rPr>
                <w:color w:val="auto"/>
                <w:sz w:val="24"/>
                <w:szCs w:val="24"/>
                <w:highlight w:val="none"/>
              </w:rPr>
            </w:pPr>
            <w:r>
              <w:rPr>
                <w:rFonts w:hint="eastAsia"/>
                <w:color w:val="auto"/>
                <w:sz w:val="24"/>
                <w:szCs w:val="24"/>
                <w:highlight w:val="none"/>
                <w:lang w:val="en-US" w:eastAsia="zh-CN"/>
              </w:rPr>
              <w:t>④</w:t>
            </w:r>
            <w:r>
              <w:rPr>
                <w:color w:val="auto"/>
                <w:sz w:val="24"/>
                <w:szCs w:val="24"/>
                <w:highlight w:val="none"/>
              </w:rPr>
              <w:t>盛装危险废物的容器上必须粘贴符合GB18597-2001标准中所示的标签。</w:t>
            </w:r>
          </w:p>
          <w:p>
            <w:pPr>
              <w:pStyle w:val="8"/>
              <w:spacing w:before="0" w:after="0" w:line="360" w:lineRule="auto"/>
              <w:ind w:right="0" w:firstLine="482" w:firstLineChars="200"/>
              <w:jc w:val="left"/>
              <w:rPr>
                <w:rFonts w:hint="eastAsia" w:eastAsia="宋体"/>
                <w:b/>
                <w:bCs/>
                <w:color w:val="auto"/>
                <w:sz w:val="24"/>
                <w:szCs w:val="24"/>
                <w:highlight w:val="none"/>
                <w:u w:val="none"/>
                <w:lang w:val="en-US" w:eastAsia="zh-CN"/>
              </w:rPr>
            </w:pPr>
            <w:r>
              <w:rPr>
                <w:rFonts w:hint="eastAsia"/>
                <w:b/>
                <w:bCs/>
                <w:color w:val="auto"/>
                <w:sz w:val="24"/>
                <w:szCs w:val="24"/>
                <w:highlight w:val="none"/>
                <w:u w:val="none"/>
                <w:lang w:eastAsia="zh-CN"/>
              </w:rPr>
              <w:t>（</w:t>
            </w:r>
            <w:r>
              <w:rPr>
                <w:rFonts w:hint="eastAsia"/>
                <w:b/>
                <w:bCs/>
                <w:color w:val="auto"/>
                <w:sz w:val="24"/>
                <w:szCs w:val="24"/>
                <w:highlight w:val="none"/>
                <w:u w:val="none"/>
                <w:lang w:val="en-US" w:eastAsia="zh-CN"/>
              </w:rPr>
              <w:t>3</w:t>
            </w:r>
            <w:r>
              <w:rPr>
                <w:rFonts w:hint="eastAsia"/>
                <w:b/>
                <w:bCs/>
                <w:color w:val="auto"/>
                <w:sz w:val="24"/>
                <w:szCs w:val="24"/>
                <w:highlight w:val="none"/>
                <w:u w:val="none"/>
                <w:lang w:eastAsia="zh-CN"/>
              </w:rPr>
              <w:t>）</w:t>
            </w:r>
            <w:r>
              <w:rPr>
                <w:b/>
                <w:bCs/>
                <w:color w:val="auto"/>
                <w:sz w:val="24"/>
                <w:szCs w:val="24"/>
                <w:highlight w:val="none"/>
                <w:u w:val="none"/>
              </w:rPr>
              <w:t>贮存容器</w:t>
            </w:r>
            <w:r>
              <w:rPr>
                <w:rFonts w:hint="eastAsia"/>
                <w:b/>
                <w:bCs/>
                <w:color w:val="auto"/>
                <w:sz w:val="24"/>
                <w:szCs w:val="24"/>
                <w:highlight w:val="none"/>
                <w:u w:val="none"/>
                <w:lang w:val="en-US" w:eastAsia="zh-CN"/>
              </w:rPr>
              <w:t>要求</w:t>
            </w:r>
          </w:p>
          <w:p>
            <w:pPr>
              <w:adjustRightInd w:val="0"/>
              <w:snapToGrid w:val="0"/>
              <w:spacing w:line="360" w:lineRule="auto"/>
              <w:ind w:firstLine="480" w:firstLineChars="200"/>
              <w:rPr>
                <w:rFonts w:hint="eastAsia" w:ascii="Times New Roman" w:hAnsi="Times New Roman" w:eastAsia="宋体" w:cs="Times New Roman"/>
                <w:color w:val="auto"/>
                <w:kern w:val="0"/>
                <w:sz w:val="24"/>
                <w:highlight w:val="none"/>
              </w:rPr>
            </w:pPr>
            <w:r>
              <w:rPr>
                <w:rFonts w:hint="eastAsia"/>
                <w:color w:val="auto"/>
                <w:sz w:val="24"/>
                <w:szCs w:val="24"/>
                <w:highlight w:val="none"/>
                <w:lang w:val="en-US" w:eastAsia="zh-CN"/>
              </w:rPr>
              <w:t>①</w:t>
            </w:r>
            <w:r>
              <w:rPr>
                <w:rFonts w:hint="eastAsia" w:ascii="Times New Roman" w:hAnsi="Times New Roman" w:eastAsia="宋体" w:cs="Times New Roman"/>
                <w:color w:val="auto"/>
                <w:kern w:val="0"/>
                <w:sz w:val="24"/>
                <w:highlight w:val="none"/>
              </w:rPr>
              <w:t>应当使用符合标准的容器盛装危险废物。</w:t>
            </w:r>
          </w:p>
          <w:p>
            <w:pPr>
              <w:adjustRightInd w:val="0"/>
              <w:snapToGrid w:val="0"/>
              <w:spacing w:line="360" w:lineRule="auto"/>
              <w:ind w:firstLine="480" w:firstLineChars="200"/>
              <w:rPr>
                <w:rFonts w:hint="eastAsia" w:ascii="Times New Roman" w:hAnsi="Times New Roman" w:eastAsia="宋体" w:cs="Times New Roman"/>
                <w:color w:val="auto"/>
                <w:kern w:val="0"/>
                <w:sz w:val="24"/>
                <w:highlight w:val="none"/>
              </w:rPr>
            </w:pPr>
            <w:r>
              <w:rPr>
                <w:rFonts w:hint="eastAsia"/>
                <w:color w:val="auto"/>
                <w:sz w:val="24"/>
                <w:szCs w:val="24"/>
                <w:highlight w:val="none"/>
                <w:lang w:val="en-US" w:eastAsia="zh-CN"/>
              </w:rPr>
              <w:t>②</w:t>
            </w:r>
            <w:r>
              <w:rPr>
                <w:rFonts w:hint="eastAsia" w:ascii="Times New Roman" w:hAnsi="Times New Roman" w:eastAsia="宋体" w:cs="Times New Roman"/>
                <w:color w:val="auto"/>
                <w:kern w:val="0"/>
                <w:sz w:val="24"/>
                <w:highlight w:val="none"/>
              </w:rPr>
              <w:t>装载危险废物的容器及材质要满足相应的强度要求。</w:t>
            </w:r>
          </w:p>
          <w:p>
            <w:pPr>
              <w:adjustRightInd w:val="0"/>
              <w:snapToGrid w:val="0"/>
              <w:spacing w:line="360" w:lineRule="auto"/>
              <w:ind w:firstLine="480" w:firstLineChars="200"/>
              <w:rPr>
                <w:rFonts w:hint="eastAsia" w:ascii="Times New Roman" w:hAnsi="Times New Roman" w:eastAsia="宋体" w:cs="Times New Roman"/>
                <w:color w:val="auto"/>
                <w:kern w:val="0"/>
                <w:sz w:val="24"/>
                <w:highlight w:val="none"/>
              </w:rPr>
            </w:pPr>
            <w:r>
              <w:rPr>
                <w:rFonts w:hint="eastAsia"/>
                <w:color w:val="auto"/>
                <w:sz w:val="24"/>
                <w:szCs w:val="24"/>
                <w:highlight w:val="none"/>
                <w:lang w:val="en-US" w:eastAsia="zh-CN"/>
              </w:rPr>
              <w:t>③</w:t>
            </w:r>
            <w:r>
              <w:rPr>
                <w:rFonts w:hint="eastAsia" w:ascii="Times New Roman" w:hAnsi="Times New Roman" w:eastAsia="宋体" w:cs="Times New Roman"/>
                <w:color w:val="auto"/>
                <w:kern w:val="0"/>
                <w:sz w:val="24"/>
                <w:highlight w:val="none"/>
              </w:rPr>
              <w:t>装载危险废物的容器必须完好无损。</w:t>
            </w:r>
          </w:p>
          <w:p>
            <w:pPr>
              <w:adjustRightInd w:val="0"/>
              <w:snapToGrid w:val="0"/>
              <w:spacing w:line="360" w:lineRule="auto"/>
              <w:ind w:firstLine="480" w:firstLineChars="200"/>
              <w:rPr>
                <w:rFonts w:hint="eastAsia" w:ascii="Times New Roman" w:hAnsi="Times New Roman" w:eastAsia="宋体" w:cs="Times New Roman"/>
                <w:color w:val="auto"/>
                <w:kern w:val="0"/>
                <w:sz w:val="24"/>
                <w:highlight w:val="none"/>
              </w:rPr>
            </w:pPr>
            <w:r>
              <w:rPr>
                <w:rFonts w:hint="eastAsia"/>
                <w:color w:val="auto"/>
                <w:sz w:val="24"/>
                <w:szCs w:val="24"/>
                <w:highlight w:val="none"/>
                <w:lang w:val="en-US" w:eastAsia="zh-CN"/>
              </w:rPr>
              <w:t>④</w:t>
            </w:r>
            <w:r>
              <w:rPr>
                <w:rFonts w:hint="eastAsia" w:ascii="Times New Roman" w:hAnsi="Times New Roman" w:eastAsia="宋体" w:cs="Times New Roman"/>
                <w:color w:val="auto"/>
                <w:kern w:val="0"/>
                <w:sz w:val="24"/>
                <w:highlight w:val="none"/>
              </w:rPr>
              <w:t>盛装危险废物的容器材质要与危险废物相容（不相互反应）。</w:t>
            </w:r>
          </w:p>
          <w:p>
            <w:pPr>
              <w:adjustRightInd w:val="0"/>
              <w:snapToGrid w:val="0"/>
              <w:spacing w:line="360" w:lineRule="auto"/>
              <w:ind w:firstLine="480" w:firstLineChars="200"/>
              <w:rPr>
                <w:rFonts w:hint="eastAsia" w:ascii="Times New Roman" w:hAnsi="Times New Roman" w:eastAsia="宋体" w:cs="Times New Roman"/>
                <w:color w:val="auto"/>
                <w:kern w:val="0"/>
                <w:sz w:val="24"/>
                <w:highlight w:val="none"/>
              </w:rPr>
            </w:pPr>
            <w:r>
              <w:rPr>
                <w:rFonts w:hint="eastAsia" w:cs="Times New Roman"/>
                <w:color w:val="auto"/>
                <w:kern w:val="0"/>
                <w:sz w:val="24"/>
                <w:highlight w:val="none"/>
                <w:lang w:val="en-US" w:eastAsia="zh-CN"/>
              </w:rPr>
              <w:t>⑤</w:t>
            </w:r>
            <w:r>
              <w:rPr>
                <w:rFonts w:hint="eastAsia" w:ascii="Times New Roman" w:hAnsi="Times New Roman" w:eastAsia="宋体" w:cs="Times New Roman"/>
                <w:color w:val="auto"/>
                <w:kern w:val="0"/>
                <w:sz w:val="24"/>
                <w:highlight w:val="none"/>
              </w:rPr>
              <w:t>危险废物暂存间必须与人员活动密集区等隔开，方便危险废物的装卸、装卸人员及运送车辆的出入；应有严密的封闭措施，设专人管理，避免非工作人员进出，以及防鼠、防蚊蝇、防蟑螂、防盗以及预防儿童接触等安全措施。</w:t>
            </w:r>
          </w:p>
          <w:p>
            <w:pPr>
              <w:adjustRightInd w:val="0"/>
              <w:snapToGrid w:val="0"/>
              <w:spacing w:line="360" w:lineRule="auto"/>
              <w:ind w:firstLine="482" w:firstLineChars="200"/>
              <w:rPr>
                <w:rFonts w:hint="eastAsia" w:ascii="Times New Roman" w:hAnsi="Times New Roman" w:eastAsia="宋体" w:cs="Times New Roman"/>
                <w:b/>
                <w:bCs/>
                <w:color w:val="auto"/>
                <w:kern w:val="0"/>
                <w:sz w:val="24"/>
                <w:highlight w:val="none"/>
                <w:lang w:eastAsia="zh-CN"/>
              </w:rPr>
            </w:pPr>
            <w:r>
              <w:rPr>
                <w:rFonts w:hint="eastAsia" w:cs="Times New Roman"/>
                <w:b/>
                <w:bCs/>
                <w:color w:val="auto"/>
                <w:kern w:val="0"/>
                <w:sz w:val="24"/>
                <w:highlight w:val="none"/>
                <w:lang w:eastAsia="zh-CN"/>
              </w:rPr>
              <w:t>（</w:t>
            </w:r>
            <w:r>
              <w:rPr>
                <w:rFonts w:hint="eastAsia" w:cs="Times New Roman"/>
                <w:b/>
                <w:bCs/>
                <w:color w:val="auto"/>
                <w:kern w:val="0"/>
                <w:sz w:val="24"/>
                <w:highlight w:val="none"/>
                <w:lang w:val="en-US" w:eastAsia="zh-CN"/>
              </w:rPr>
              <w:t>4</w:t>
            </w:r>
            <w:r>
              <w:rPr>
                <w:rFonts w:hint="eastAsia" w:cs="Times New Roman"/>
                <w:b/>
                <w:bCs/>
                <w:color w:val="auto"/>
                <w:kern w:val="0"/>
                <w:sz w:val="24"/>
                <w:highlight w:val="none"/>
                <w:lang w:eastAsia="zh-CN"/>
              </w:rPr>
              <w:t>）</w:t>
            </w:r>
            <w:r>
              <w:rPr>
                <w:rFonts w:hint="eastAsia" w:ascii="Times New Roman" w:hAnsi="Times New Roman" w:eastAsia="宋体" w:cs="Times New Roman"/>
                <w:b/>
                <w:bCs/>
                <w:color w:val="auto"/>
                <w:kern w:val="0"/>
                <w:sz w:val="24"/>
                <w:highlight w:val="none"/>
              </w:rPr>
              <w:t>危险废物的交接</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①</w:t>
            </w:r>
            <w:r>
              <w:rPr>
                <w:rFonts w:hint="eastAsia" w:ascii="Times New Roman" w:hAnsi="Times New Roman" w:eastAsia="宋体" w:cs="Times New Roman"/>
                <w:color w:val="auto"/>
                <w:kern w:val="0"/>
                <w:sz w:val="24"/>
                <w:highlight w:val="none"/>
                <w:lang w:val="en-US" w:eastAsia="zh-CN"/>
              </w:rPr>
              <w:t>危险废物转运严格按照《危险废物转移管理办法》执行。</w:t>
            </w:r>
          </w:p>
          <w:p>
            <w:p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②</w:t>
            </w:r>
            <w:r>
              <w:rPr>
                <w:rFonts w:hint="eastAsia" w:ascii="Times New Roman" w:hAnsi="Times New Roman" w:eastAsia="宋体" w:cs="Times New Roman"/>
                <w:color w:val="auto"/>
                <w:kern w:val="0"/>
                <w:sz w:val="24"/>
                <w:highlight w:val="none"/>
                <w:lang w:val="en-US" w:eastAsia="zh-CN"/>
              </w:rPr>
              <w:t>危险废物移出人、危险废物承运人、危险废物接受人（以下分别简称移出人、承运人和接受人）在危险废物转移过程中应当采取防扬散、防流失、防渗漏或者其他防止污染环境的措施，不得擅自倾倒、堆放、丢弃、遗撒危险废物，并对所造成的环境污染及生态破坏依法承担责任。移出人、承运人、接受人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p>
            <w:p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③</w:t>
            </w:r>
            <w:r>
              <w:rPr>
                <w:rFonts w:hint="eastAsia" w:ascii="Times New Roman" w:hAnsi="Times New Roman" w:eastAsia="宋体" w:cs="Times New Roman"/>
                <w:color w:val="auto"/>
                <w:kern w:val="0"/>
                <w:sz w:val="24"/>
                <w:highlight w:val="none"/>
                <w:lang w:val="en-US" w:eastAsia="zh-CN"/>
              </w:rPr>
              <w:t>危险废物托运人（以下简称托运人）应当按照国家危险货物相关标准确定危险废物对应危险货物的类别、项别、编号等，并委托具备相应危险货物运输资质的单位承运危险废物，依法签订运输合同。采用包装方式运输危险废物的，应当妥善包装，并按照国家有关标准在外包装上设置相应的识别标志。装载危险废物时，托运人应当核实承运人、运输工具及收运人员是否具有相应经营范围的有效危险货物运输许可证件，以及待转移的危险废物识别标志中的相关信息与危险废物转移联单是否相符；不相符的，应当不予装载。装载采用包装方式运输的危险废物的，应当确保将包装完好的危险废物交付承运人。</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④</w:t>
            </w:r>
            <w:r>
              <w:rPr>
                <w:rFonts w:hint="eastAsia" w:ascii="Times New Roman" w:hAnsi="Times New Roman" w:eastAsia="宋体" w:cs="Times New Roman"/>
                <w:color w:val="auto"/>
                <w:kern w:val="0"/>
                <w:sz w:val="24"/>
                <w:highlight w:val="none"/>
                <w:lang w:val="en-US" w:eastAsia="zh-CN"/>
              </w:rPr>
              <w:t>危险废物转移联单应当根据危险废物管理计划中填报的危险废物转移等备案信息填写、运行。</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⑤</w:t>
            </w:r>
            <w:r>
              <w:rPr>
                <w:rFonts w:hint="eastAsia" w:ascii="Times New Roman" w:hAnsi="Times New Roman" w:eastAsia="宋体" w:cs="Times New Roman"/>
                <w:color w:val="auto"/>
                <w:kern w:val="0"/>
                <w:sz w:val="24"/>
                <w:highlight w:val="none"/>
                <w:lang w:val="en-US" w:eastAsia="zh-CN"/>
              </w:rPr>
              <w:t>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p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⑥</w:t>
            </w:r>
            <w:r>
              <w:rPr>
                <w:rFonts w:hint="eastAsia" w:ascii="Times New Roman" w:hAnsi="Times New Roman" w:eastAsia="宋体" w:cs="Times New Roman"/>
                <w:color w:val="auto"/>
                <w:kern w:val="0"/>
                <w:sz w:val="24"/>
                <w:highlight w:val="none"/>
                <w:lang w:val="en-US" w:eastAsia="zh-CN"/>
              </w:rPr>
              <w:t>采用联运方式转移危险废物的，前一承运人和后一承运人应当明确运输交接的时间和地点。后一承运人应当核实危险废物转移联单确定的移出人信息、前一承运人信息及危险废物相关信息。</w:t>
            </w:r>
          </w:p>
          <w:p>
            <w:p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⑦</w:t>
            </w:r>
            <w:r>
              <w:rPr>
                <w:rFonts w:hint="eastAsia" w:ascii="Times New Roman" w:hAnsi="Times New Roman" w:eastAsia="宋体" w:cs="Times New Roman"/>
                <w:color w:val="auto"/>
                <w:kern w:val="0"/>
                <w:sz w:val="24"/>
                <w:highlight w:val="none"/>
                <w:lang w:val="en-US" w:eastAsia="zh-CN"/>
              </w:rPr>
              <w:t>接受人应当对运抵的危险废物进行核实验收，并在接受之日起五个工作日内通过信息系统确认接受。运抵的危险废物的名称、数量、特性、形态、包装方式与危险废物转移联单填写内容不符的，接受人应当及时告知移出人，视情况决定是否接受，同时向接受地生态环境主管部门报告。</w:t>
            </w:r>
          </w:p>
          <w:p>
            <w:p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⑧</w:t>
            </w:r>
            <w:r>
              <w:rPr>
                <w:rFonts w:hint="eastAsia" w:ascii="Times New Roman" w:hAnsi="Times New Roman" w:eastAsia="宋体" w:cs="Times New Roman"/>
                <w:color w:val="auto"/>
                <w:kern w:val="0"/>
                <w:sz w:val="24"/>
                <w:highlight w:val="none"/>
                <w:lang w:val="en-US" w:eastAsia="zh-CN"/>
              </w:rPr>
              <w:t>对不通过车（船或者其他运输工具），且无法按次对危险废物计量的其他方式转移危险废物的，移出人和接受人应当分别配备计量记录设备，将每天危险废物转移的种类、重量（数量）、形态和危险特性等信息纳入相关台账记录，并根据所在地设区的市级以上地方生态环境主管部门的要求填写、运行危险废物转移联单。</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⑨</w:t>
            </w:r>
            <w:r>
              <w:rPr>
                <w:rFonts w:hint="eastAsia" w:ascii="Times New Roman" w:hAnsi="Times New Roman" w:eastAsia="宋体" w:cs="Times New Roman"/>
                <w:color w:val="auto"/>
                <w:kern w:val="0"/>
                <w:sz w:val="24"/>
                <w:highlight w:val="none"/>
                <w:lang w:val="en-US" w:eastAsia="zh-CN"/>
              </w:rPr>
              <w:t>危险废物电子转移联单数据应当在信息系统中至少保存十年。因特殊原因无法运行危险废物电子转移联单的，可以先使用纸质转移联单，并于转移活动完成后十个工作日内在信息系统中补录电子转移联单。</w:t>
            </w:r>
          </w:p>
          <w:p>
            <w:pPr>
              <w:pStyle w:val="8"/>
              <w:spacing w:before="0" w:after="0" w:line="360" w:lineRule="auto"/>
              <w:ind w:right="0" w:firstLine="482" w:firstLineChars="200"/>
              <w:jc w:val="left"/>
              <w:rPr>
                <w:rFonts w:hint="eastAsia" w:eastAsia="宋体"/>
                <w:b/>
                <w:bCs/>
                <w:color w:val="auto"/>
                <w:sz w:val="24"/>
                <w:szCs w:val="24"/>
                <w:highlight w:val="none"/>
                <w:u w:val="none"/>
                <w:lang w:eastAsia="zh-CN"/>
              </w:rPr>
            </w:pPr>
            <w:r>
              <w:rPr>
                <w:rFonts w:hint="eastAsia"/>
                <w:b/>
                <w:bCs/>
                <w:color w:val="auto"/>
                <w:sz w:val="24"/>
                <w:szCs w:val="24"/>
                <w:highlight w:val="none"/>
                <w:u w:val="none"/>
                <w:lang w:eastAsia="zh-CN"/>
              </w:rPr>
              <w:t>（</w:t>
            </w:r>
            <w:r>
              <w:rPr>
                <w:rFonts w:hint="eastAsia"/>
                <w:b/>
                <w:bCs/>
                <w:color w:val="auto"/>
                <w:sz w:val="24"/>
                <w:szCs w:val="24"/>
                <w:highlight w:val="none"/>
                <w:u w:val="none"/>
                <w:lang w:val="en-US" w:eastAsia="zh-CN"/>
              </w:rPr>
              <w:t>5</w:t>
            </w:r>
            <w:r>
              <w:rPr>
                <w:rFonts w:hint="eastAsia"/>
                <w:b/>
                <w:bCs/>
                <w:color w:val="auto"/>
                <w:sz w:val="24"/>
                <w:szCs w:val="24"/>
                <w:highlight w:val="none"/>
                <w:u w:val="none"/>
                <w:lang w:eastAsia="zh-CN"/>
              </w:rPr>
              <w:t>）</w:t>
            </w:r>
            <w:r>
              <w:rPr>
                <w:b/>
                <w:bCs/>
                <w:color w:val="auto"/>
                <w:sz w:val="24"/>
                <w:szCs w:val="24"/>
                <w:highlight w:val="none"/>
                <w:u w:val="none"/>
              </w:rPr>
              <w:t>危险废物的运送</w:t>
            </w:r>
          </w:p>
          <w:p>
            <w:pPr>
              <w:pStyle w:val="8"/>
              <w:spacing w:before="0" w:after="0" w:line="360" w:lineRule="auto"/>
              <w:ind w:right="0" w:firstLine="480" w:firstLineChars="200"/>
              <w:jc w:val="left"/>
              <w:rPr>
                <w:color w:val="auto"/>
                <w:sz w:val="24"/>
                <w:szCs w:val="24"/>
                <w:highlight w:val="none"/>
              </w:rPr>
            </w:pPr>
            <w:r>
              <w:rPr>
                <w:rFonts w:hint="eastAsia"/>
                <w:color w:val="auto"/>
                <w:sz w:val="24"/>
                <w:szCs w:val="24"/>
                <w:highlight w:val="none"/>
                <w:lang w:val="en-US" w:eastAsia="zh-CN"/>
              </w:rPr>
              <w:t>①</w:t>
            </w:r>
            <w:r>
              <w:rPr>
                <w:color w:val="auto"/>
                <w:sz w:val="24"/>
                <w:szCs w:val="24"/>
                <w:highlight w:val="none"/>
              </w:rPr>
              <w:t>本项目危险废物由处置单位专用车辆定期运送到相应处置单位。危险废物转运车应符合相关要求。</w:t>
            </w:r>
          </w:p>
          <w:p>
            <w:pPr>
              <w:pStyle w:val="8"/>
              <w:spacing w:before="0" w:after="0" w:line="360" w:lineRule="auto"/>
              <w:ind w:right="0" w:firstLine="480" w:firstLineChars="200"/>
              <w:jc w:val="left"/>
              <w:rPr>
                <w:color w:val="auto"/>
                <w:sz w:val="24"/>
                <w:szCs w:val="24"/>
                <w:highlight w:val="none"/>
              </w:rPr>
            </w:pPr>
            <w:r>
              <w:rPr>
                <w:rFonts w:hint="eastAsia"/>
                <w:color w:val="auto"/>
                <w:sz w:val="24"/>
                <w:szCs w:val="24"/>
                <w:highlight w:val="none"/>
                <w:lang w:val="en-US" w:eastAsia="zh-CN"/>
              </w:rPr>
              <w:t>②</w:t>
            </w:r>
            <w:r>
              <w:rPr>
                <w:color w:val="auto"/>
                <w:sz w:val="24"/>
                <w:szCs w:val="24"/>
                <w:highlight w:val="none"/>
              </w:rPr>
              <w:t>运送路线应尽量避开人口密集区域和交通拥堵道路。驾驶室与货箱完全隔开，以保证驾驶人员的安全。</w:t>
            </w:r>
          </w:p>
          <w:p>
            <w:pPr>
              <w:pStyle w:val="8"/>
              <w:spacing w:before="0" w:after="0" w:line="360" w:lineRule="auto"/>
              <w:ind w:right="0" w:firstLine="480" w:firstLineChars="200"/>
              <w:jc w:val="left"/>
              <w:rPr>
                <w:color w:val="auto"/>
                <w:sz w:val="24"/>
                <w:szCs w:val="24"/>
                <w:highlight w:val="none"/>
              </w:rPr>
            </w:pPr>
            <w:r>
              <w:rPr>
                <w:rFonts w:hint="eastAsia"/>
                <w:color w:val="auto"/>
                <w:sz w:val="24"/>
                <w:szCs w:val="24"/>
                <w:highlight w:val="none"/>
                <w:lang w:val="en-US" w:eastAsia="zh-CN"/>
              </w:rPr>
              <w:t>③</w:t>
            </w:r>
            <w:r>
              <w:rPr>
                <w:color w:val="auto"/>
                <w:sz w:val="24"/>
                <w:szCs w:val="24"/>
                <w:highlight w:val="none"/>
              </w:rPr>
              <w:t>车厢应经防渗处理，在装载货物时，即使车厢内部有液体，也不会渗漏到箱体和外部环境中；车厢底部应设置具有良好气密性的排水孔，在清洗车厢内部时，能够有效收集和排出污水，不可使清洗污水直接漫流到外部环境中；正常运输使用时应具有良好气密性。</w:t>
            </w:r>
          </w:p>
          <w:p>
            <w:pPr>
              <w:pStyle w:val="8"/>
              <w:spacing w:before="0" w:after="0" w:line="360" w:lineRule="auto"/>
              <w:ind w:right="0" w:firstLine="480" w:firstLineChars="200"/>
              <w:jc w:val="left"/>
              <w:rPr>
                <w:color w:val="auto"/>
                <w:sz w:val="24"/>
                <w:szCs w:val="24"/>
                <w:highlight w:val="none"/>
              </w:rPr>
            </w:pPr>
            <w:r>
              <w:rPr>
                <w:rFonts w:hint="eastAsia"/>
                <w:color w:val="auto"/>
                <w:sz w:val="24"/>
                <w:szCs w:val="24"/>
                <w:highlight w:val="none"/>
                <w:lang w:val="en-US" w:eastAsia="zh-CN"/>
              </w:rPr>
              <w:t>④</w:t>
            </w:r>
            <w:r>
              <w:rPr>
                <w:color w:val="auto"/>
                <w:sz w:val="24"/>
                <w:szCs w:val="24"/>
                <w:highlight w:val="none"/>
              </w:rPr>
              <w:t>危险废物运送前，处置单位必须对每辆运送车的车况进行检查，确保车况良好后方可出车。危险废物运送车辆不得搭乘其他无关人员，不得装载或混装其他货物和动植物。车辆行驶时应锁闭车厢门，确保安全，不得丢失、遗撒和打开包装取出危险废物。</w:t>
            </w:r>
          </w:p>
          <w:p>
            <w:pPr>
              <w:pStyle w:val="8"/>
              <w:spacing w:before="0" w:after="0" w:line="360" w:lineRule="auto"/>
              <w:ind w:right="0" w:firstLine="480" w:firstLineChars="200"/>
              <w:jc w:val="left"/>
              <w:rPr>
                <w:color w:val="auto"/>
                <w:sz w:val="24"/>
                <w:szCs w:val="24"/>
                <w:highlight w:val="none"/>
              </w:rPr>
            </w:pPr>
            <w:r>
              <w:rPr>
                <w:rFonts w:hint="eastAsia"/>
                <w:color w:val="auto"/>
                <w:sz w:val="24"/>
                <w:szCs w:val="24"/>
                <w:highlight w:val="none"/>
                <w:lang w:val="en-US" w:eastAsia="zh-CN"/>
              </w:rPr>
              <w:t>⑤</w:t>
            </w:r>
            <w:r>
              <w:rPr>
                <w:color w:val="auto"/>
                <w:sz w:val="24"/>
                <w:szCs w:val="24"/>
                <w:highlight w:val="none"/>
              </w:rPr>
              <w:t>危险废物转运车应在明显部位固定产品标牌。危险废物转运车应在车辆的前部、后部及车厢两侧喷涂警示性标志；驾驶室两侧表明危险废物处置转运单位名称。</w:t>
            </w:r>
          </w:p>
          <w:p>
            <w:pPr>
              <w:pStyle w:val="8"/>
              <w:spacing w:before="0" w:after="0" w:line="360" w:lineRule="auto"/>
              <w:ind w:right="0" w:firstLine="482" w:firstLineChars="200"/>
              <w:jc w:val="left"/>
              <w:rPr>
                <w:rFonts w:hint="eastAsia" w:eastAsia="宋体"/>
                <w:b/>
                <w:bCs/>
                <w:color w:val="auto"/>
                <w:sz w:val="24"/>
                <w:szCs w:val="24"/>
                <w:highlight w:val="none"/>
                <w:u w:val="none"/>
                <w:lang w:eastAsia="zh-CN"/>
              </w:rPr>
            </w:pPr>
            <w:r>
              <w:rPr>
                <w:rFonts w:hint="eastAsia"/>
                <w:b/>
                <w:bCs/>
                <w:color w:val="auto"/>
                <w:sz w:val="24"/>
                <w:szCs w:val="24"/>
                <w:highlight w:val="none"/>
                <w:u w:val="none"/>
                <w:lang w:eastAsia="zh-CN"/>
              </w:rPr>
              <w:t>（</w:t>
            </w:r>
            <w:r>
              <w:rPr>
                <w:rFonts w:hint="eastAsia"/>
                <w:b/>
                <w:bCs/>
                <w:color w:val="auto"/>
                <w:sz w:val="24"/>
                <w:szCs w:val="24"/>
                <w:highlight w:val="none"/>
                <w:u w:val="none"/>
                <w:lang w:val="en-US" w:eastAsia="zh-CN"/>
              </w:rPr>
              <w:t>6</w:t>
            </w:r>
            <w:r>
              <w:rPr>
                <w:rFonts w:hint="eastAsia"/>
                <w:b/>
                <w:bCs/>
                <w:color w:val="auto"/>
                <w:sz w:val="24"/>
                <w:szCs w:val="24"/>
                <w:highlight w:val="none"/>
                <w:u w:val="none"/>
                <w:lang w:eastAsia="zh-CN"/>
              </w:rPr>
              <w:t>）</w:t>
            </w:r>
            <w:r>
              <w:rPr>
                <w:b/>
                <w:bCs/>
                <w:color w:val="auto"/>
                <w:sz w:val="24"/>
                <w:szCs w:val="24"/>
                <w:highlight w:val="none"/>
                <w:u w:val="none"/>
              </w:rPr>
              <w:t>其他注意事项</w:t>
            </w:r>
          </w:p>
          <w:p>
            <w:pPr>
              <w:pStyle w:val="8"/>
              <w:spacing w:before="0" w:after="0" w:line="360" w:lineRule="auto"/>
              <w:ind w:right="0" w:firstLine="480" w:firstLineChars="200"/>
              <w:jc w:val="left"/>
              <w:rPr>
                <w:color w:val="auto"/>
                <w:sz w:val="24"/>
                <w:szCs w:val="24"/>
                <w:highlight w:val="none"/>
              </w:rPr>
            </w:pPr>
            <w:r>
              <w:rPr>
                <w:rFonts w:hint="eastAsia"/>
                <w:color w:val="auto"/>
                <w:sz w:val="24"/>
                <w:szCs w:val="24"/>
                <w:highlight w:val="none"/>
                <w:lang w:val="en-US" w:eastAsia="zh-CN"/>
              </w:rPr>
              <w:t>①</w:t>
            </w:r>
            <w:r>
              <w:rPr>
                <w:color w:val="auto"/>
                <w:sz w:val="24"/>
                <w:szCs w:val="24"/>
                <w:highlight w:val="none"/>
              </w:rPr>
              <w:t>应当制定与危险废物安全处置有关的规章制度和在发生意外事故时的应急方案；设置监控部门或者专员，负责检查、督促、落实本项目危险废物的管理工作。</w:t>
            </w:r>
          </w:p>
          <w:p>
            <w:pPr>
              <w:pStyle w:val="8"/>
              <w:spacing w:before="0" w:after="0" w:line="360" w:lineRule="auto"/>
              <w:ind w:right="0" w:firstLine="480" w:firstLineChars="200"/>
              <w:jc w:val="left"/>
              <w:rPr>
                <w:color w:val="auto"/>
                <w:sz w:val="24"/>
                <w:szCs w:val="24"/>
                <w:highlight w:val="none"/>
              </w:rPr>
            </w:pPr>
            <w:r>
              <w:rPr>
                <w:rFonts w:hint="eastAsia"/>
                <w:color w:val="auto"/>
                <w:sz w:val="24"/>
                <w:szCs w:val="24"/>
                <w:highlight w:val="none"/>
                <w:lang w:val="en-US" w:eastAsia="zh-CN"/>
              </w:rPr>
              <w:t>②</w:t>
            </w:r>
            <w:r>
              <w:rPr>
                <w:color w:val="auto"/>
                <w:sz w:val="24"/>
                <w:szCs w:val="24"/>
                <w:highlight w:val="none"/>
              </w:rPr>
              <w:t>应当对本项目从事危险废物收集、运送、贮存、处置等工作人员和管理人员，进行相关法律和专业技术、安全防护以及紧急处理等知识的培训。</w:t>
            </w:r>
          </w:p>
          <w:p>
            <w:pPr>
              <w:pStyle w:val="8"/>
              <w:spacing w:before="0" w:after="0" w:line="360" w:lineRule="auto"/>
              <w:ind w:right="0" w:firstLine="480" w:firstLineChars="200"/>
              <w:jc w:val="left"/>
              <w:rPr>
                <w:color w:val="auto"/>
                <w:sz w:val="24"/>
                <w:szCs w:val="24"/>
                <w:highlight w:val="none"/>
              </w:rPr>
            </w:pPr>
            <w:r>
              <w:rPr>
                <w:rFonts w:hint="eastAsia"/>
                <w:color w:val="auto"/>
                <w:sz w:val="24"/>
                <w:szCs w:val="24"/>
                <w:highlight w:val="none"/>
                <w:lang w:val="en-US" w:eastAsia="zh-CN"/>
              </w:rPr>
              <w:t>③</w:t>
            </w:r>
            <w:r>
              <w:rPr>
                <w:color w:val="auto"/>
                <w:sz w:val="24"/>
                <w:szCs w:val="24"/>
                <w:highlight w:val="none"/>
              </w:rPr>
              <w:t>禁止任何单位和个人转让、买卖危险废物。禁止在运送过程中丢弃危险废物；禁止贮存地点倾倒、堆放危险废物或者将危险废物混入其他废物和生活垃圾。</w:t>
            </w:r>
          </w:p>
          <w:p>
            <w:pPr>
              <w:spacing w:line="360" w:lineRule="auto"/>
              <w:ind w:firstLine="480" w:firstLineChars="200"/>
              <w:jc w:val="left"/>
              <w:rPr>
                <w:rFonts w:hint="eastAsia"/>
                <w:b/>
                <w:bCs/>
                <w:color w:val="auto"/>
                <w:sz w:val="24"/>
                <w:highlight w:val="none"/>
              </w:rPr>
            </w:pPr>
            <w:r>
              <w:rPr>
                <w:rFonts w:hint="eastAsia"/>
                <w:color w:val="auto"/>
                <w:sz w:val="24"/>
                <w:highlight w:val="none"/>
                <w:lang w:val="en-US" w:eastAsia="zh-CN"/>
              </w:rPr>
              <w:t>④</w:t>
            </w:r>
            <w:r>
              <w:rPr>
                <w:color w:val="auto"/>
                <w:sz w:val="24"/>
                <w:highlight w:val="none"/>
              </w:rPr>
              <w:t>禁止邮寄危险废物。禁止通过铁路、航空运输危险废物。有陆路通道的，禁止通过水路运输危险废物；没有陆路通道必须经水路运输危险废物的，应当经设区的市级以上人民政府环境保护主管部门批准，并采取严格的环境保护措施后，方可通过水路运输。禁止将危险废物与旅客在同一运输工具上载运。禁止在饮用水源保护区的水体上运输危险废物。</w:t>
            </w:r>
          </w:p>
          <w:p>
            <w:pPr>
              <w:adjustRightInd w:val="0"/>
              <w:snapToGrid w:val="0"/>
              <w:spacing w:line="360" w:lineRule="auto"/>
              <w:rPr>
                <w:color w:val="auto"/>
                <w:kern w:val="28"/>
                <w:sz w:val="24"/>
                <w:highlight w:val="none"/>
              </w:rPr>
            </w:pPr>
            <w:r>
              <w:rPr>
                <w:rFonts w:hint="eastAsia"/>
                <w:b/>
                <w:bCs/>
                <w:color w:val="auto"/>
                <w:kern w:val="28"/>
                <w:sz w:val="24"/>
                <w:highlight w:val="none"/>
              </w:rPr>
              <w:t>五</w:t>
            </w:r>
            <w:r>
              <w:rPr>
                <w:b/>
                <w:bCs/>
                <w:color w:val="auto"/>
                <w:kern w:val="28"/>
                <w:sz w:val="24"/>
                <w:highlight w:val="none"/>
              </w:rPr>
              <w:t>、</w:t>
            </w:r>
            <w:r>
              <w:rPr>
                <w:b/>
                <w:bCs/>
                <w:color w:val="auto"/>
                <w:sz w:val="24"/>
                <w:highlight w:val="none"/>
              </w:rPr>
              <w:t>地下水</w:t>
            </w:r>
            <w:r>
              <w:rPr>
                <w:rFonts w:hint="eastAsia"/>
                <w:b/>
                <w:bCs/>
                <w:color w:val="auto"/>
                <w:sz w:val="24"/>
                <w:highlight w:val="none"/>
              </w:rPr>
              <w:t>、土壤</w:t>
            </w:r>
            <w:r>
              <w:rPr>
                <w:b/>
                <w:bCs/>
                <w:color w:val="auto"/>
                <w:sz w:val="24"/>
                <w:highlight w:val="none"/>
              </w:rPr>
              <w:t>污染防治措施</w:t>
            </w:r>
          </w:p>
          <w:p>
            <w:pPr>
              <w:spacing w:line="360" w:lineRule="auto"/>
              <w:ind w:firstLine="482" w:firstLineChars="200"/>
              <w:rPr>
                <w:b/>
                <w:bCs/>
                <w:color w:val="auto"/>
                <w:sz w:val="24"/>
                <w:highlight w:val="none"/>
              </w:rPr>
            </w:pPr>
            <w:r>
              <w:rPr>
                <w:rFonts w:hint="eastAsia"/>
                <w:b/>
                <w:bCs/>
                <w:color w:val="auto"/>
                <w:sz w:val="24"/>
                <w:highlight w:val="none"/>
              </w:rPr>
              <w:t>1、污染途径</w:t>
            </w:r>
          </w:p>
          <w:p>
            <w:pPr>
              <w:spacing w:line="360" w:lineRule="auto"/>
              <w:ind w:firstLine="480" w:firstLineChars="200"/>
              <w:rPr>
                <w:color w:val="auto"/>
                <w:sz w:val="24"/>
                <w:highlight w:val="none"/>
              </w:rPr>
            </w:pPr>
            <w:r>
              <w:rPr>
                <w:color w:val="auto"/>
                <w:sz w:val="24"/>
                <w:highlight w:val="none"/>
              </w:rPr>
              <w:t>污染物进入土壤、地下水的途径主要是由降雨或废水排放等通过垂直渗透进入包气带，进入包气带的污染物在物理、化学和生物作用下经吸附、转化、迁移和分解后输入地下水。</w:t>
            </w:r>
            <w:r>
              <w:rPr>
                <w:rFonts w:hint="eastAsia"/>
                <w:color w:val="auto"/>
                <w:sz w:val="24"/>
                <w:highlight w:val="none"/>
              </w:rPr>
              <w:t>本项目不涉及重金属、持久性难降解有机污染物，在做好分区防渗的前提下，</w:t>
            </w:r>
            <w:r>
              <w:rPr>
                <w:rFonts w:hint="eastAsia"/>
                <w:color w:val="auto"/>
                <w:sz w:val="24"/>
                <w:highlight w:val="none"/>
                <w:lang w:val="en-US" w:eastAsia="zh-CN"/>
              </w:rPr>
              <w:t>不存在</w:t>
            </w:r>
            <w:r>
              <w:rPr>
                <w:color w:val="auto"/>
                <w:sz w:val="24"/>
                <w:highlight w:val="none"/>
              </w:rPr>
              <w:t>土壤、地下水</w:t>
            </w:r>
            <w:r>
              <w:rPr>
                <w:rFonts w:hint="eastAsia"/>
                <w:color w:val="auto"/>
                <w:sz w:val="24"/>
                <w:highlight w:val="none"/>
                <w:lang w:val="en-US" w:eastAsia="zh-CN"/>
              </w:rPr>
              <w:t>污染途径</w:t>
            </w:r>
            <w:r>
              <w:rPr>
                <w:rFonts w:hint="eastAsia"/>
                <w:color w:val="auto"/>
                <w:sz w:val="24"/>
                <w:highlight w:val="none"/>
              </w:rPr>
              <w:t>。</w:t>
            </w:r>
          </w:p>
          <w:p>
            <w:pPr>
              <w:adjustRightInd w:val="0"/>
              <w:snapToGrid w:val="0"/>
              <w:spacing w:line="360" w:lineRule="auto"/>
              <w:ind w:firstLine="482" w:firstLineChars="200"/>
              <w:rPr>
                <w:color w:val="auto"/>
                <w:sz w:val="24"/>
                <w:highlight w:val="none"/>
              </w:rPr>
            </w:pPr>
            <w:r>
              <w:rPr>
                <w:rFonts w:hint="eastAsia"/>
                <w:b/>
                <w:bCs/>
                <w:color w:val="auto"/>
                <w:sz w:val="24"/>
                <w:highlight w:val="none"/>
              </w:rPr>
              <w:t>2、防治措施</w:t>
            </w:r>
          </w:p>
          <w:p>
            <w:pPr>
              <w:spacing w:line="360" w:lineRule="auto"/>
              <w:ind w:firstLine="480" w:firstLineChars="200"/>
              <w:rPr>
                <w:color w:val="auto"/>
                <w:sz w:val="24"/>
                <w:highlight w:val="none"/>
              </w:rPr>
            </w:pPr>
            <w:r>
              <w:rPr>
                <w:color w:val="auto"/>
                <w:sz w:val="24"/>
                <w:highlight w:val="none"/>
              </w:rPr>
              <w:t>根据分区防渗原则，将全厂按物料或者污染物泄漏的途径和生产功能单元所处的位置划分为重点防渗区、一般防渗区</w:t>
            </w:r>
            <w:r>
              <w:rPr>
                <w:rFonts w:hint="eastAsia"/>
                <w:color w:val="auto"/>
                <w:sz w:val="24"/>
                <w:highlight w:val="none"/>
              </w:rPr>
              <w:t>、简单防渗区</w:t>
            </w:r>
            <w:r>
              <w:rPr>
                <w:color w:val="auto"/>
                <w:sz w:val="24"/>
                <w:highlight w:val="none"/>
              </w:rPr>
              <w:t>。</w:t>
            </w:r>
          </w:p>
          <w:p>
            <w:pPr>
              <w:spacing w:line="360" w:lineRule="auto"/>
              <w:ind w:firstLine="480" w:firstLineChars="200"/>
              <w:rPr>
                <w:color w:val="auto"/>
                <w:sz w:val="24"/>
                <w:highlight w:val="none"/>
              </w:rPr>
            </w:pPr>
            <w:r>
              <w:rPr>
                <w:color w:val="auto"/>
                <w:sz w:val="24"/>
                <w:highlight w:val="none"/>
              </w:rPr>
              <w:t>重点防渗区：危废暂存间</w:t>
            </w:r>
            <w:r>
              <w:rPr>
                <w:rFonts w:hint="eastAsia"/>
                <w:color w:val="auto"/>
                <w:sz w:val="24"/>
                <w:highlight w:val="none"/>
                <w:lang w:eastAsia="zh-CN"/>
              </w:rPr>
              <w:t>、</w:t>
            </w:r>
            <w:r>
              <w:rPr>
                <w:rFonts w:hint="eastAsia"/>
                <w:color w:val="auto"/>
                <w:sz w:val="24"/>
                <w:highlight w:val="none"/>
                <w:lang w:val="en-US" w:eastAsia="zh-CN"/>
              </w:rPr>
              <w:t>污水处理站加药间</w:t>
            </w:r>
            <w:r>
              <w:rPr>
                <w:rFonts w:hint="eastAsia"/>
                <w:color w:val="auto"/>
                <w:sz w:val="24"/>
                <w:highlight w:val="none"/>
              </w:rPr>
              <w:t>。</w:t>
            </w:r>
          </w:p>
          <w:p>
            <w:pPr>
              <w:spacing w:line="360" w:lineRule="auto"/>
              <w:ind w:firstLine="480" w:firstLineChars="200"/>
              <w:rPr>
                <w:color w:val="auto"/>
                <w:sz w:val="24"/>
                <w:highlight w:val="none"/>
              </w:rPr>
            </w:pPr>
            <w:r>
              <w:rPr>
                <w:color w:val="auto"/>
                <w:sz w:val="24"/>
                <w:highlight w:val="none"/>
              </w:rPr>
              <w:t>一般防渗区：生产车间</w:t>
            </w:r>
            <w:r>
              <w:rPr>
                <w:rFonts w:hint="eastAsia"/>
                <w:color w:val="auto"/>
                <w:sz w:val="24"/>
                <w:highlight w:val="none"/>
              </w:rPr>
              <w:t>、一般固废暂存间、</w:t>
            </w:r>
            <w:r>
              <w:rPr>
                <w:rFonts w:hint="eastAsia"/>
                <w:color w:val="auto"/>
                <w:sz w:val="24"/>
                <w:highlight w:val="none"/>
                <w:lang w:val="en-US" w:eastAsia="zh-CN"/>
              </w:rPr>
              <w:t>预处理房、污水处理站及其管道</w:t>
            </w:r>
            <w:r>
              <w:rPr>
                <w:color w:val="auto"/>
                <w:sz w:val="24"/>
                <w:highlight w:val="none"/>
              </w:rPr>
              <w:t>。</w:t>
            </w:r>
          </w:p>
          <w:p>
            <w:pPr>
              <w:adjustRightInd w:val="0"/>
              <w:snapToGrid w:val="0"/>
              <w:spacing w:line="360" w:lineRule="auto"/>
              <w:ind w:firstLine="480" w:firstLineChars="200"/>
              <w:rPr>
                <w:color w:val="auto"/>
                <w:sz w:val="24"/>
                <w:highlight w:val="none"/>
              </w:rPr>
            </w:pPr>
            <w:r>
              <w:rPr>
                <w:rFonts w:hint="eastAsia"/>
                <w:color w:val="auto"/>
                <w:sz w:val="24"/>
                <w:highlight w:val="none"/>
              </w:rPr>
              <w:t>简单防渗区：除重点防渗区和一般防渗区以外的其他区域。</w:t>
            </w:r>
          </w:p>
          <w:p>
            <w:pPr>
              <w:spacing w:line="360" w:lineRule="auto"/>
              <w:ind w:firstLine="480" w:firstLineChars="200"/>
              <w:rPr>
                <w:color w:val="auto"/>
                <w:sz w:val="24"/>
                <w:highlight w:val="none"/>
              </w:rPr>
            </w:pPr>
            <w:r>
              <w:rPr>
                <w:color w:val="auto"/>
                <w:sz w:val="24"/>
                <w:highlight w:val="none"/>
              </w:rPr>
              <w:t>项目分区防渗情况见表4-1</w:t>
            </w:r>
            <w:r>
              <w:rPr>
                <w:rFonts w:hint="eastAsia"/>
                <w:color w:val="auto"/>
                <w:sz w:val="24"/>
                <w:highlight w:val="none"/>
                <w:lang w:val="en-US" w:eastAsia="zh-CN"/>
              </w:rPr>
              <w:t>8</w:t>
            </w:r>
            <w:r>
              <w:rPr>
                <w:color w:val="auto"/>
                <w:sz w:val="24"/>
                <w:highlight w:val="none"/>
              </w:rPr>
              <w:t>。</w:t>
            </w:r>
          </w:p>
          <w:p>
            <w:pPr>
              <w:pStyle w:val="41"/>
              <w:bidi w:val="0"/>
              <w:rPr>
                <w:rFonts w:hint="eastAsia"/>
                <w:color w:val="auto"/>
                <w:highlight w:val="none"/>
              </w:rPr>
            </w:pPr>
            <w:r>
              <w:rPr>
                <w:rFonts w:hint="eastAsia"/>
                <w:color w:val="auto"/>
                <w:highlight w:val="none"/>
              </w:rPr>
              <w:t>表4-1</w:t>
            </w:r>
            <w:r>
              <w:rPr>
                <w:rFonts w:hint="eastAsia"/>
                <w:color w:val="auto"/>
                <w:highlight w:val="none"/>
                <w:lang w:val="en-US" w:eastAsia="zh-CN"/>
              </w:rPr>
              <w:t>8</w:t>
            </w:r>
            <w:r>
              <w:rPr>
                <w:rFonts w:hint="eastAsia"/>
                <w:color w:val="auto"/>
                <w:highlight w:val="none"/>
              </w:rPr>
              <w:t xml:space="preserve">  项目地下水防渗分区表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842"/>
              <w:gridCol w:w="2241"/>
              <w:gridCol w:w="1864"/>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ascii="Times New Roman"/>
                      <w:b/>
                      <w:bCs/>
                      <w:color w:val="auto"/>
                      <w:sz w:val="21"/>
                      <w:szCs w:val="21"/>
                      <w:highlight w:val="none"/>
                    </w:rPr>
                  </w:pPr>
                  <w:r>
                    <w:rPr>
                      <w:rFonts w:ascii="Times New Roman"/>
                      <w:b/>
                      <w:bCs/>
                      <w:color w:val="auto"/>
                      <w:sz w:val="21"/>
                      <w:szCs w:val="21"/>
                      <w:highlight w:val="none"/>
                    </w:rPr>
                    <w:t>分区类别</w:t>
                  </w:r>
                </w:p>
              </w:tc>
              <w:tc>
                <w:tcPr>
                  <w:tcW w:w="1118"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ascii="Times New Roman"/>
                      <w:b/>
                      <w:bCs/>
                      <w:color w:val="auto"/>
                      <w:sz w:val="21"/>
                      <w:szCs w:val="21"/>
                      <w:highlight w:val="none"/>
                    </w:rPr>
                  </w:pPr>
                  <w:r>
                    <w:rPr>
                      <w:rFonts w:ascii="Times New Roman"/>
                      <w:b/>
                      <w:bCs/>
                      <w:color w:val="auto"/>
                      <w:sz w:val="21"/>
                      <w:szCs w:val="21"/>
                      <w:highlight w:val="none"/>
                    </w:rPr>
                    <w:t>区域名称</w:t>
                  </w:r>
                </w:p>
              </w:tc>
              <w:tc>
                <w:tcPr>
                  <w:tcW w:w="1360"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ascii="Times New Roman"/>
                      <w:b/>
                      <w:bCs/>
                      <w:color w:val="auto"/>
                      <w:sz w:val="21"/>
                      <w:szCs w:val="21"/>
                      <w:highlight w:val="none"/>
                    </w:rPr>
                  </w:pPr>
                  <w:r>
                    <w:rPr>
                      <w:rFonts w:hint="eastAsia" w:ascii="Times New Roman"/>
                      <w:b/>
                      <w:bCs/>
                      <w:color w:val="auto"/>
                      <w:sz w:val="21"/>
                      <w:szCs w:val="21"/>
                      <w:highlight w:val="none"/>
                    </w:rPr>
                    <w:t>防渗</w:t>
                  </w:r>
                  <w:r>
                    <w:rPr>
                      <w:rFonts w:ascii="Times New Roman"/>
                      <w:b/>
                      <w:bCs/>
                      <w:color w:val="auto"/>
                      <w:sz w:val="21"/>
                      <w:szCs w:val="21"/>
                      <w:highlight w:val="none"/>
                    </w:rPr>
                    <w:t>措施</w:t>
                  </w:r>
                </w:p>
              </w:tc>
              <w:tc>
                <w:tcPr>
                  <w:tcW w:w="1131"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ascii="Times New Roman"/>
                      <w:b/>
                      <w:bCs/>
                      <w:color w:val="auto"/>
                      <w:sz w:val="21"/>
                      <w:szCs w:val="21"/>
                      <w:highlight w:val="none"/>
                    </w:rPr>
                  </w:pPr>
                  <w:r>
                    <w:rPr>
                      <w:rFonts w:ascii="Times New Roman"/>
                      <w:b/>
                      <w:bCs/>
                      <w:color w:val="auto"/>
                      <w:sz w:val="21"/>
                      <w:szCs w:val="21"/>
                      <w:highlight w:val="none"/>
                    </w:rPr>
                    <w:t>防渗技术要求</w:t>
                  </w:r>
                </w:p>
              </w:tc>
              <w:tc>
                <w:tcPr>
                  <w:tcW w:w="694"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hint="eastAsia" w:ascii="Times New Roman" w:eastAsia="宋体"/>
                      <w:b/>
                      <w:bCs/>
                      <w:color w:val="auto"/>
                      <w:sz w:val="21"/>
                      <w:szCs w:val="21"/>
                      <w:highlight w:val="none"/>
                      <w:lang w:eastAsia="zh-CN"/>
                    </w:rPr>
                  </w:pPr>
                  <w:r>
                    <w:rPr>
                      <w:rFonts w:hint="eastAsia" w:ascii="Times New Roman"/>
                      <w:b/>
                      <w:bCs/>
                      <w:color w:val="auto"/>
                      <w:sz w:val="21"/>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Merge w:val="restar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ascii="Times New Roman"/>
                      <w:b w:val="0"/>
                      <w:bCs/>
                      <w:color w:val="auto"/>
                      <w:sz w:val="21"/>
                      <w:szCs w:val="21"/>
                      <w:highlight w:val="none"/>
                    </w:rPr>
                  </w:pPr>
                  <w:r>
                    <w:rPr>
                      <w:rFonts w:ascii="Times New Roman"/>
                      <w:b w:val="0"/>
                      <w:bCs/>
                      <w:color w:val="auto"/>
                      <w:sz w:val="21"/>
                      <w:szCs w:val="21"/>
                      <w:highlight w:val="none"/>
                    </w:rPr>
                    <w:t>重点防渗区</w:t>
                  </w:r>
                </w:p>
              </w:tc>
              <w:tc>
                <w:tcPr>
                  <w:tcW w:w="1118"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ascii="Times New Roman"/>
                      <w:b w:val="0"/>
                      <w:bCs/>
                      <w:color w:val="auto"/>
                      <w:sz w:val="21"/>
                      <w:szCs w:val="21"/>
                      <w:highlight w:val="none"/>
                    </w:rPr>
                  </w:pPr>
                  <w:r>
                    <w:rPr>
                      <w:rFonts w:ascii="Times New Roman"/>
                      <w:b w:val="0"/>
                      <w:bCs/>
                      <w:color w:val="auto"/>
                      <w:sz w:val="21"/>
                      <w:szCs w:val="21"/>
                      <w:highlight w:val="none"/>
                    </w:rPr>
                    <w:t>危废暂存间</w:t>
                  </w:r>
                </w:p>
              </w:tc>
              <w:tc>
                <w:tcPr>
                  <w:tcW w:w="1360"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hint="eastAsia" w:ascii="Times New Roman" w:eastAsia="宋体"/>
                      <w:b w:val="0"/>
                      <w:bCs/>
                      <w:color w:val="auto"/>
                      <w:sz w:val="21"/>
                      <w:szCs w:val="21"/>
                      <w:highlight w:val="none"/>
                      <w:lang w:eastAsia="zh-CN"/>
                    </w:rPr>
                  </w:pPr>
                  <w:r>
                    <w:rPr>
                      <w:rFonts w:hint="eastAsia" w:ascii="Times New Roman"/>
                      <w:b w:val="0"/>
                      <w:bCs/>
                      <w:color w:val="auto"/>
                      <w:sz w:val="21"/>
                      <w:szCs w:val="21"/>
                      <w:highlight w:val="none"/>
                    </w:rPr>
                    <w:t>防渗混凝土+</w:t>
                  </w:r>
                  <w:r>
                    <w:rPr>
                      <w:rFonts w:hint="eastAsia" w:ascii="Times New Roman"/>
                      <w:b w:val="0"/>
                      <w:bCs/>
                      <w:color w:val="auto"/>
                      <w:sz w:val="21"/>
                      <w:szCs w:val="21"/>
                      <w:highlight w:val="none"/>
                      <w:lang w:eastAsia="zh-CN"/>
                    </w:rPr>
                    <w:t>环氧树脂漆</w:t>
                  </w:r>
                  <w:r>
                    <w:rPr>
                      <w:rFonts w:hint="eastAsia" w:ascii="Times New Roman"/>
                      <w:b w:val="0"/>
                      <w:bCs/>
                      <w:color w:val="auto"/>
                      <w:sz w:val="21"/>
                      <w:szCs w:val="21"/>
                      <w:highlight w:val="none"/>
                    </w:rPr>
                    <w:t>+不锈钢托盘</w:t>
                  </w:r>
                  <w:r>
                    <w:rPr>
                      <w:rFonts w:hint="eastAsia" w:ascii="Times New Roman"/>
                      <w:b w:val="0"/>
                      <w:bCs/>
                      <w:color w:val="auto"/>
                      <w:sz w:val="21"/>
                      <w:szCs w:val="21"/>
                      <w:highlight w:val="none"/>
                      <w:lang w:eastAsia="zh-CN"/>
                    </w:rPr>
                    <w:t>，周围修建围堰</w:t>
                  </w:r>
                </w:p>
              </w:tc>
              <w:tc>
                <w:tcPr>
                  <w:tcW w:w="1131"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ascii="Times New Roman"/>
                      <w:b w:val="0"/>
                      <w:bCs/>
                      <w:color w:val="auto"/>
                      <w:sz w:val="21"/>
                      <w:szCs w:val="21"/>
                      <w:highlight w:val="none"/>
                    </w:rPr>
                  </w:pPr>
                  <w:r>
                    <w:rPr>
                      <w:rFonts w:ascii="Times New Roman"/>
                      <w:b w:val="0"/>
                      <w:bCs/>
                      <w:color w:val="auto"/>
                      <w:kern w:val="2"/>
                      <w:sz w:val="21"/>
                      <w:szCs w:val="21"/>
                      <w:highlight w:val="none"/>
                    </w:rPr>
                    <w:t>Mb≥</w:t>
                  </w:r>
                  <w:r>
                    <w:rPr>
                      <w:rFonts w:hint="eastAsia"/>
                      <w:b w:val="0"/>
                      <w:bCs/>
                      <w:color w:val="auto"/>
                      <w:kern w:val="2"/>
                      <w:sz w:val="21"/>
                      <w:szCs w:val="21"/>
                      <w:highlight w:val="none"/>
                      <w:lang w:val="en-US" w:eastAsia="zh-CN"/>
                    </w:rPr>
                    <w:t>2m</w:t>
                  </w:r>
                  <w:r>
                    <w:rPr>
                      <w:rFonts w:ascii="Times New Roman"/>
                      <w:b w:val="0"/>
                      <w:bCs/>
                      <w:color w:val="auto"/>
                      <w:kern w:val="2"/>
                      <w:sz w:val="21"/>
                      <w:szCs w:val="21"/>
                      <w:highlight w:val="none"/>
                    </w:rPr>
                    <w:t>m，</w:t>
                  </w:r>
                  <w:r>
                    <w:rPr>
                      <w:rFonts w:ascii="Times New Roman" w:hAnsi="Times New Roman" w:eastAsia="宋体"/>
                      <w:b w:val="0"/>
                      <w:bCs/>
                      <w:color w:val="auto"/>
                      <w:szCs w:val="21"/>
                      <w:highlight w:val="none"/>
                    </w:rPr>
                    <w:t>渗透系数</w:t>
                  </w:r>
                  <w:r>
                    <w:rPr>
                      <w:rFonts w:ascii="Times New Roman"/>
                      <w:b w:val="0"/>
                      <w:bCs/>
                      <w:color w:val="auto"/>
                      <w:kern w:val="2"/>
                      <w:sz w:val="21"/>
                      <w:szCs w:val="21"/>
                      <w:highlight w:val="none"/>
                    </w:rPr>
                    <w:t>K≤1×10</w:t>
                  </w:r>
                  <w:r>
                    <w:rPr>
                      <w:rFonts w:ascii="Times New Roman"/>
                      <w:b w:val="0"/>
                      <w:bCs/>
                      <w:color w:val="auto"/>
                      <w:kern w:val="2"/>
                      <w:sz w:val="21"/>
                      <w:szCs w:val="21"/>
                      <w:highlight w:val="none"/>
                      <w:vertAlign w:val="superscript"/>
                    </w:rPr>
                    <w:t>-10</w:t>
                  </w:r>
                  <w:r>
                    <w:rPr>
                      <w:rFonts w:ascii="Times New Roman"/>
                      <w:b w:val="0"/>
                      <w:bCs/>
                      <w:color w:val="auto"/>
                      <w:kern w:val="2"/>
                      <w:sz w:val="21"/>
                      <w:szCs w:val="21"/>
                      <w:highlight w:val="none"/>
                    </w:rPr>
                    <w:t>cm/s</w:t>
                  </w:r>
                </w:p>
              </w:tc>
              <w:tc>
                <w:tcPr>
                  <w:tcW w:w="694"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hint="eastAsia" w:ascii="Times New Roman" w:eastAsia="宋体"/>
                      <w:b w:val="0"/>
                      <w:bCs/>
                      <w:color w:val="auto"/>
                      <w:sz w:val="21"/>
                      <w:szCs w:val="21"/>
                      <w:highlight w:val="none"/>
                      <w:lang w:eastAsia="zh-CN"/>
                    </w:rPr>
                  </w:pPr>
                  <w:r>
                    <w:rPr>
                      <w:rFonts w:hint="eastAsia" w:ascii="Times New Roman"/>
                      <w:b w:val="0"/>
                      <w:bCs/>
                      <w:color w:val="auto"/>
                      <w:sz w:val="21"/>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ascii="Times New Roman"/>
                      <w:b w:val="0"/>
                      <w:bCs/>
                      <w:color w:val="auto"/>
                      <w:sz w:val="21"/>
                      <w:szCs w:val="21"/>
                      <w:highlight w:val="none"/>
                    </w:rPr>
                  </w:pPr>
                </w:p>
              </w:tc>
              <w:tc>
                <w:tcPr>
                  <w:tcW w:w="1118"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ascii="Times New Roman"/>
                      <w:b w:val="0"/>
                      <w:bCs/>
                      <w:color w:val="auto"/>
                      <w:sz w:val="21"/>
                      <w:szCs w:val="21"/>
                      <w:highlight w:val="none"/>
                    </w:rPr>
                  </w:pPr>
                  <w:r>
                    <w:rPr>
                      <w:rFonts w:hint="eastAsia" w:ascii="Times New Roman"/>
                      <w:b w:val="0"/>
                      <w:bCs/>
                      <w:color w:val="auto"/>
                      <w:sz w:val="21"/>
                      <w:szCs w:val="21"/>
                      <w:highlight w:val="none"/>
                    </w:rPr>
                    <w:t>污水处理站加药间</w:t>
                  </w:r>
                </w:p>
              </w:tc>
              <w:tc>
                <w:tcPr>
                  <w:tcW w:w="1360"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hint="eastAsia" w:ascii="Times New Roman"/>
                      <w:b w:val="0"/>
                      <w:bCs/>
                      <w:color w:val="auto"/>
                      <w:sz w:val="21"/>
                      <w:szCs w:val="21"/>
                      <w:highlight w:val="none"/>
                    </w:rPr>
                  </w:pPr>
                  <w:r>
                    <w:rPr>
                      <w:rFonts w:hint="eastAsia" w:ascii="Times New Roman"/>
                      <w:b w:val="0"/>
                      <w:bCs/>
                      <w:color w:val="auto"/>
                      <w:sz w:val="21"/>
                      <w:szCs w:val="21"/>
                      <w:highlight w:val="none"/>
                    </w:rPr>
                    <w:t>防渗混凝土+</w:t>
                  </w:r>
                  <w:r>
                    <w:rPr>
                      <w:rFonts w:hint="eastAsia" w:ascii="Times New Roman"/>
                      <w:b w:val="0"/>
                      <w:bCs/>
                      <w:color w:val="auto"/>
                      <w:sz w:val="21"/>
                      <w:szCs w:val="21"/>
                      <w:highlight w:val="none"/>
                      <w:lang w:eastAsia="zh-CN"/>
                    </w:rPr>
                    <w:t>环氧树脂漆</w:t>
                  </w:r>
                  <w:r>
                    <w:rPr>
                      <w:rFonts w:hint="eastAsia" w:ascii="Times New Roman"/>
                      <w:b w:val="0"/>
                      <w:bCs/>
                      <w:color w:val="auto"/>
                      <w:sz w:val="21"/>
                      <w:szCs w:val="21"/>
                      <w:highlight w:val="none"/>
                    </w:rPr>
                    <w:t>+不锈钢托盘</w:t>
                  </w:r>
                  <w:r>
                    <w:rPr>
                      <w:rFonts w:hint="eastAsia" w:ascii="Times New Roman"/>
                      <w:b w:val="0"/>
                      <w:bCs/>
                      <w:color w:val="auto"/>
                      <w:sz w:val="21"/>
                      <w:szCs w:val="21"/>
                      <w:highlight w:val="none"/>
                      <w:lang w:eastAsia="zh-CN"/>
                    </w:rPr>
                    <w:t>，周围修建围堰</w:t>
                  </w:r>
                </w:p>
              </w:tc>
              <w:tc>
                <w:tcPr>
                  <w:tcW w:w="1131"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ascii="Times New Roman"/>
                      <w:b w:val="0"/>
                      <w:bCs/>
                      <w:color w:val="auto"/>
                      <w:sz w:val="21"/>
                      <w:szCs w:val="21"/>
                      <w:highlight w:val="none"/>
                    </w:rPr>
                  </w:pPr>
                  <w:r>
                    <w:rPr>
                      <w:rFonts w:ascii="Times New Roman"/>
                      <w:b w:val="0"/>
                      <w:bCs/>
                      <w:color w:val="auto"/>
                      <w:kern w:val="2"/>
                      <w:sz w:val="21"/>
                      <w:szCs w:val="21"/>
                      <w:highlight w:val="none"/>
                    </w:rPr>
                    <w:t>Mb≥6.0m，</w:t>
                  </w:r>
                  <w:r>
                    <w:rPr>
                      <w:rFonts w:ascii="Times New Roman" w:hAnsi="Times New Roman" w:eastAsia="宋体"/>
                      <w:b w:val="0"/>
                      <w:bCs/>
                      <w:color w:val="auto"/>
                      <w:szCs w:val="21"/>
                      <w:highlight w:val="none"/>
                    </w:rPr>
                    <w:t>渗透系数</w:t>
                  </w:r>
                  <w:r>
                    <w:rPr>
                      <w:rFonts w:ascii="Times New Roman"/>
                      <w:b w:val="0"/>
                      <w:bCs/>
                      <w:color w:val="auto"/>
                      <w:kern w:val="2"/>
                      <w:sz w:val="21"/>
                      <w:szCs w:val="21"/>
                      <w:highlight w:val="none"/>
                    </w:rPr>
                    <w:t>K≤1×10</w:t>
                  </w:r>
                  <w:r>
                    <w:rPr>
                      <w:rFonts w:ascii="Times New Roman"/>
                      <w:b w:val="0"/>
                      <w:bCs/>
                      <w:color w:val="auto"/>
                      <w:kern w:val="2"/>
                      <w:sz w:val="21"/>
                      <w:szCs w:val="21"/>
                      <w:highlight w:val="none"/>
                      <w:vertAlign w:val="superscript"/>
                    </w:rPr>
                    <w:t>-</w:t>
                  </w:r>
                  <w:r>
                    <w:rPr>
                      <w:rFonts w:hint="eastAsia" w:ascii="Times New Roman"/>
                      <w:b w:val="0"/>
                      <w:bCs/>
                      <w:color w:val="auto"/>
                      <w:kern w:val="2"/>
                      <w:sz w:val="21"/>
                      <w:szCs w:val="21"/>
                      <w:highlight w:val="none"/>
                      <w:vertAlign w:val="superscript"/>
                      <w:lang w:val="en-US" w:eastAsia="zh-CN"/>
                    </w:rPr>
                    <w:t>7</w:t>
                  </w:r>
                  <w:r>
                    <w:rPr>
                      <w:rFonts w:ascii="Times New Roman"/>
                      <w:b w:val="0"/>
                      <w:bCs/>
                      <w:color w:val="auto"/>
                      <w:kern w:val="2"/>
                      <w:sz w:val="21"/>
                      <w:szCs w:val="21"/>
                      <w:highlight w:val="none"/>
                    </w:rPr>
                    <w:t>cm/s</w:t>
                  </w:r>
                </w:p>
              </w:tc>
              <w:tc>
                <w:tcPr>
                  <w:tcW w:w="694"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hint="default" w:ascii="Times New Roman" w:eastAsia="宋体"/>
                      <w:b w:val="0"/>
                      <w:bCs/>
                      <w:color w:val="auto"/>
                      <w:sz w:val="21"/>
                      <w:szCs w:val="21"/>
                      <w:highlight w:val="none"/>
                      <w:lang w:val="en-US" w:eastAsia="zh-CN"/>
                    </w:rPr>
                  </w:pPr>
                  <w:r>
                    <w:rPr>
                      <w:rFonts w:hint="eastAsia"/>
                      <w:b w:val="0"/>
                      <w:bCs/>
                      <w:color w:val="auto"/>
                      <w:sz w:val="21"/>
                      <w:szCs w:val="21"/>
                      <w:highlight w:val="none"/>
                      <w:lang w:val="en-US" w:eastAsia="zh-CN"/>
                    </w:rPr>
                    <w:t>整改新增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695" w:type="pct"/>
                  <w:vMerge w:val="restar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ascii="Times New Roman"/>
                      <w:b w:val="0"/>
                      <w:bCs/>
                      <w:color w:val="auto"/>
                      <w:sz w:val="21"/>
                      <w:szCs w:val="21"/>
                      <w:highlight w:val="none"/>
                    </w:rPr>
                  </w:pPr>
                  <w:r>
                    <w:rPr>
                      <w:rFonts w:ascii="Times New Roman"/>
                      <w:b w:val="0"/>
                      <w:bCs/>
                      <w:color w:val="auto"/>
                      <w:sz w:val="21"/>
                      <w:szCs w:val="21"/>
                      <w:highlight w:val="none"/>
                    </w:rPr>
                    <w:t>一般防渗区</w:t>
                  </w:r>
                </w:p>
              </w:tc>
              <w:tc>
                <w:tcPr>
                  <w:tcW w:w="1118"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hint="eastAsia" w:ascii="Times New Roman"/>
                      <w:b w:val="0"/>
                      <w:bCs/>
                      <w:color w:val="auto"/>
                      <w:sz w:val="21"/>
                      <w:szCs w:val="21"/>
                      <w:highlight w:val="none"/>
                    </w:rPr>
                  </w:pPr>
                  <w:r>
                    <w:rPr>
                      <w:rFonts w:ascii="Times New Roman"/>
                      <w:b w:val="0"/>
                      <w:bCs/>
                      <w:color w:val="auto"/>
                      <w:sz w:val="21"/>
                      <w:szCs w:val="21"/>
                      <w:highlight w:val="none"/>
                    </w:rPr>
                    <w:t>生产车间</w:t>
                  </w:r>
                </w:p>
              </w:tc>
              <w:tc>
                <w:tcPr>
                  <w:tcW w:w="1360"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ascii="Times New Roman"/>
                      <w:b w:val="0"/>
                      <w:bCs/>
                      <w:color w:val="auto"/>
                      <w:sz w:val="21"/>
                      <w:szCs w:val="21"/>
                      <w:highlight w:val="none"/>
                    </w:rPr>
                  </w:pPr>
                  <w:r>
                    <w:rPr>
                      <w:rFonts w:hint="eastAsia" w:ascii="Times New Roman"/>
                      <w:b w:val="0"/>
                      <w:bCs/>
                      <w:color w:val="auto"/>
                      <w:sz w:val="21"/>
                      <w:szCs w:val="21"/>
                      <w:highlight w:val="none"/>
                    </w:rPr>
                    <w:t>防渗混凝土</w:t>
                  </w:r>
                </w:p>
              </w:tc>
              <w:tc>
                <w:tcPr>
                  <w:tcW w:w="1131" w:type="pct"/>
                  <w:vMerge w:val="restart"/>
                  <w:noWrap w:val="0"/>
                  <w:vAlign w:val="center"/>
                </w:tcPr>
                <w:p>
                  <w:pPr>
                    <w:pStyle w:val="60"/>
                    <w:keepNext w:val="0"/>
                    <w:keepLines w:val="0"/>
                    <w:pageBreakBefore w:val="0"/>
                    <w:widowControl w:val="0"/>
                    <w:kinsoku/>
                    <w:wordWrap/>
                    <w:overflowPunct/>
                    <w:topLinePunct w:val="0"/>
                    <w:autoSpaceDE/>
                    <w:autoSpaceDN/>
                    <w:bidi w:val="0"/>
                    <w:adjustRightInd w:val="0"/>
                    <w:spacing w:before="0"/>
                    <w:ind w:left="0"/>
                    <w:rPr>
                      <w:rFonts w:ascii="Times New Roman" w:hAnsi="Times New Roman" w:eastAsia="宋体"/>
                      <w:b w:val="0"/>
                      <w:bCs/>
                      <w:color w:val="auto"/>
                      <w:szCs w:val="21"/>
                      <w:highlight w:val="none"/>
                    </w:rPr>
                  </w:pPr>
                  <w:r>
                    <w:rPr>
                      <w:rFonts w:ascii="Times New Roman" w:hAnsi="Times New Roman" w:eastAsia="宋体"/>
                      <w:b w:val="0"/>
                      <w:bCs/>
                      <w:color w:val="auto"/>
                      <w:szCs w:val="21"/>
                      <w:highlight w:val="none"/>
                    </w:rPr>
                    <w:t>Mb≥1.5m，渗透系数K≤1×10</w:t>
                  </w:r>
                  <w:r>
                    <w:rPr>
                      <w:rFonts w:ascii="Times New Roman" w:hAnsi="Times New Roman" w:eastAsia="宋体"/>
                      <w:b w:val="0"/>
                      <w:bCs/>
                      <w:color w:val="auto"/>
                      <w:szCs w:val="21"/>
                      <w:highlight w:val="none"/>
                      <w:vertAlign w:val="superscript"/>
                    </w:rPr>
                    <w:t>-7</w:t>
                  </w:r>
                  <w:r>
                    <w:rPr>
                      <w:rFonts w:ascii="Times New Roman" w:hAnsi="Times New Roman" w:eastAsia="宋体"/>
                      <w:b w:val="0"/>
                      <w:bCs/>
                      <w:color w:val="auto"/>
                      <w:szCs w:val="21"/>
                      <w:highlight w:val="none"/>
                    </w:rPr>
                    <w:t>cm/s</w:t>
                  </w:r>
                </w:p>
              </w:tc>
              <w:tc>
                <w:tcPr>
                  <w:tcW w:w="694" w:type="pct"/>
                  <w:noWrap w:val="0"/>
                  <w:vAlign w:val="center"/>
                </w:tcPr>
                <w:p>
                  <w:pPr>
                    <w:pStyle w:val="60"/>
                    <w:keepNext w:val="0"/>
                    <w:keepLines w:val="0"/>
                    <w:pageBreakBefore w:val="0"/>
                    <w:widowControl w:val="0"/>
                    <w:kinsoku/>
                    <w:wordWrap/>
                    <w:overflowPunct/>
                    <w:topLinePunct w:val="0"/>
                    <w:autoSpaceDE/>
                    <w:autoSpaceDN/>
                    <w:bidi w:val="0"/>
                    <w:adjustRightInd w:val="0"/>
                    <w:spacing w:before="0"/>
                    <w:ind w:left="0"/>
                    <w:rPr>
                      <w:rFonts w:hint="eastAsia" w:ascii="Times New Roman" w:hAnsi="Times New Roman" w:eastAsia="宋体"/>
                      <w:b w:val="0"/>
                      <w:bCs/>
                      <w:color w:val="auto"/>
                      <w:szCs w:val="21"/>
                      <w:highlight w:val="none"/>
                      <w:lang w:eastAsia="zh-CN"/>
                    </w:rPr>
                  </w:pPr>
                  <w:r>
                    <w:rPr>
                      <w:rFonts w:hint="eastAsia" w:ascii="Times New Roman" w:hAnsi="Times New Roman" w:eastAsia="宋体"/>
                      <w:b w:val="0"/>
                      <w:bCs/>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ascii="Times New Roman"/>
                      <w:b w:val="0"/>
                      <w:bCs/>
                      <w:color w:val="auto"/>
                      <w:sz w:val="21"/>
                      <w:szCs w:val="21"/>
                      <w:highlight w:val="none"/>
                    </w:rPr>
                  </w:pPr>
                </w:p>
              </w:tc>
              <w:tc>
                <w:tcPr>
                  <w:tcW w:w="1118"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ascii="Times New Roman"/>
                      <w:b w:val="0"/>
                      <w:bCs/>
                      <w:color w:val="auto"/>
                      <w:sz w:val="21"/>
                      <w:szCs w:val="21"/>
                      <w:highlight w:val="none"/>
                    </w:rPr>
                  </w:pPr>
                  <w:r>
                    <w:rPr>
                      <w:rFonts w:hint="eastAsia" w:ascii="Times New Roman"/>
                      <w:b w:val="0"/>
                      <w:bCs/>
                      <w:color w:val="auto"/>
                      <w:sz w:val="21"/>
                      <w:szCs w:val="21"/>
                      <w:highlight w:val="none"/>
                    </w:rPr>
                    <w:t>一般固废暂存间</w:t>
                  </w:r>
                </w:p>
              </w:tc>
              <w:tc>
                <w:tcPr>
                  <w:tcW w:w="1360"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hint="eastAsia" w:ascii="Times New Roman"/>
                      <w:b w:val="0"/>
                      <w:bCs/>
                      <w:color w:val="auto"/>
                      <w:sz w:val="21"/>
                      <w:szCs w:val="21"/>
                      <w:highlight w:val="none"/>
                    </w:rPr>
                  </w:pPr>
                  <w:r>
                    <w:rPr>
                      <w:rFonts w:hint="eastAsia" w:ascii="Times New Roman"/>
                      <w:b w:val="0"/>
                      <w:bCs/>
                      <w:color w:val="auto"/>
                      <w:sz w:val="21"/>
                      <w:szCs w:val="21"/>
                      <w:highlight w:val="none"/>
                    </w:rPr>
                    <w:t>防渗混凝土</w:t>
                  </w:r>
                </w:p>
              </w:tc>
              <w:tc>
                <w:tcPr>
                  <w:tcW w:w="1131" w:type="pct"/>
                  <w:vMerge w:val="continue"/>
                  <w:noWrap w:val="0"/>
                  <w:vAlign w:val="center"/>
                </w:tcPr>
                <w:p>
                  <w:pPr>
                    <w:pStyle w:val="60"/>
                    <w:keepNext w:val="0"/>
                    <w:keepLines w:val="0"/>
                    <w:pageBreakBefore w:val="0"/>
                    <w:widowControl w:val="0"/>
                    <w:kinsoku/>
                    <w:wordWrap/>
                    <w:overflowPunct/>
                    <w:topLinePunct w:val="0"/>
                    <w:autoSpaceDE/>
                    <w:autoSpaceDN/>
                    <w:bidi w:val="0"/>
                    <w:adjustRightInd w:val="0"/>
                    <w:spacing w:before="0"/>
                    <w:ind w:left="0"/>
                    <w:rPr>
                      <w:rFonts w:ascii="Times New Roman" w:hAnsi="Times New Roman" w:eastAsia="宋体"/>
                      <w:b w:val="0"/>
                      <w:bCs/>
                      <w:color w:val="auto"/>
                      <w:szCs w:val="21"/>
                      <w:highlight w:val="none"/>
                    </w:rPr>
                  </w:pPr>
                </w:p>
              </w:tc>
              <w:tc>
                <w:tcPr>
                  <w:tcW w:w="694" w:type="pct"/>
                  <w:noWrap w:val="0"/>
                  <w:vAlign w:val="center"/>
                </w:tcPr>
                <w:p>
                  <w:pPr>
                    <w:pStyle w:val="60"/>
                    <w:keepNext w:val="0"/>
                    <w:keepLines w:val="0"/>
                    <w:pageBreakBefore w:val="0"/>
                    <w:widowControl w:val="0"/>
                    <w:kinsoku/>
                    <w:wordWrap/>
                    <w:overflowPunct/>
                    <w:topLinePunct w:val="0"/>
                    <w:autoSpaceDE/>
                    <w:autoSpaceDN/>
                    <w:bidi w:val="0"/>
                    <w:adjustRightInd w:val="0"/>
                    <w:spacing w:before="0"/>
                    <w:ind w:left="0"/>
                    <w:rPr>
                      <w:rFonts w:hint="eastAsia" w:ascii="Times New Roman" w:hAnsi="Times New Roman" w:eastAsia="宋体"/>
                      <w:b w:val="0"/>
                      <w:bCs/>
                      <w:color w:val="auto"/>
                      <w:szCs w:val="21"/>
                      <w:highlight w:val="none"/>
                      <w:lang w:eastAsia="zh-CN"/>
                    </w:rPr>
                  </w:pPr>
                  <w:r>
                    <w:rPr>
                      <w:rFonts w:hint="eastAsia" w:ascii="Times New Roman" w:hAnsi="Times New Roman" w:eastAsia="宋体"/>
                      <w:b w:val="0"/>
                      <w:bCs/>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ascii="Times New Roman"/>
                      <w:b w:val="0"/>
                      <w:bCs/>
                      <w:color w:val="auto"/>
                      <w:sz w:val="21"/>
                      <w:szCs w:val="21"/>
                      <w:highlight w:val="none"/>
                    </w:rPr>
                  </w:pPr>
                </w:p>
              </w:tc>
              <w:tc>
                <w:tcPr>
                  <w:tcW w:w="1118"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hint="eastAsia" w:ascii="Times New Roman" w:eastAsia="宋体"/>
                      <w:b w:val="0"/>
                      <w:bCs/>
                      <w:color w:val="auto"/>
                      <w:sz w:val="21"/>
                      <w:szCs w:val="21"/>
                      <w:highlight w:val="none"/>
                      <w:lang w:eastAsia="zh-CN"/>
                    </w:rPr>
                  </w:pPr>
                  <w:r>
                    <w:rPr>
                      <w:rFonts w:hint="eastAsia" w:ascii="Times New Roman"/>
                      <w:b w:val="0"/>
                      <w:bCs/>
                      <w:color w:val="auto"/>
                      <w:sz w:val="21"/>
                      <w:szCs w:val="21"/>
                      <w:highlight w:val="none"/>
                      <w:lang w:val="en-US" w:eastAsia="zh-CN"/>
                    </w:rPr>
                    <w:t>预处理房</w:t>
                  </w:r>
                </w:p>
              </w:tc>
              <w:tc>
                <w:tcPr>
                  <w:tcW w:w="1360"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hint="eastAsia" w:ascii="Times New Roman"/>
                      <w:b w:val="0"/>
                      <w:bCs/>
                      <w:color w:val="auto"/>
                      <w:sz w:val="21"/>
                      <w:szCs w:val="21"/>
                      <w:highlight w:val="none"/>
                    </w:rPr>
                  </w:pPr>
                  <w:r>
                    <w:rPr>
                      <w:rFonts w:hint="eastAsia" w:ascii="Times New Roman"/>
                      <w:b w:val="0"/>
                      <w:bCs/>
                      <w:color w:val="auto"/>
                      <w:sz w:val="21"/>
                      <w:szCs w:val="21"/>
                      <w:highlight w:val="none"/>
                    </w:rPr>
                    <w:t>防渗混凝土</w:t>
                  </w:r>
                </w:p>
              </w:tc>
              <w:tc>
                <w:tcPr>
                  <w:tcW w:w="1131" w:type="pct"/>
                  <w:vMerge w:val="continue"/>
                  <w:noWrap w:val="0"/>
                  <w:vAlign w:val="center"/>
                </w:tcPr>
                <w:p>
                  <w:pPr>
                    <w:pStyle w:val="60"/>
                    <w:keepNext w:val="0"/>
                    <w:keepLines w:val="0"/>
                    <w:pageBreakBefore w:val="0"/>
                    <w:widowControl w:val="0"/>
                    <w:kinsoku/>
                    <w:wordWrap/>
                    <w:overflowPunct/>
                    <w:topLinePunct w:val="0"/>
                    <w:autoSpaceDE/>
                    <w:autoSpaceDN/>
                    <w:bidi w:val="0"/>
                    <w:adjustRightInd w:val="0"/>
                    <w:spacing w:before="0"/>
                    <w:ind w:left="0"/>
                    <w:rPr>
                      <w:rFonts w:ascii="Times New Roman" w:hAnsi="Times New Roman" w:eastAsia="宋体"/>
                      <w:b w:val="0"/>
                      <w:bCs/>
                      <w:color w:val="auto"/>
                      <w:szCs w:val="21"/>
                      <w:highlight w:val="none"/>
                    </w:rPr>
                  </w:pPr>
                </w:p>
              </w:tc>
              <w:tc>
                <w:tcPr>
                  <w:tcW w:w="694" w:type="pct"/>
                  <w:noWrap w:val="0"/>
                  <w:vAlign w:val="center"/>
                </w:tcPr>
                <w:p>
                  <w:pPr>
                    <w:pStyle w:val="60"/>
                    <w:keepNext w:val="0"/>
                    <w:keepLines w:val="0"/>
                    <w:pageBreakBefore w:val="0"/>
                    <w:widowControl w:val="0"/>
                    <w:kinsoku/>
                    <w:wordWrap/>
                    <w:overflowPunct/>
                    <w:topLinePunct w:val="0"/>
                    <w:autoSpaceDE/>
                    <w:autoSpaceDN/>
                    <w:bidi w:val="0"/>
                    <w:adjustRightInd w:val="0"/>
                    <w:spacing w:before="0"/>
                    <w:ind w:left="0"/>
                    <w:rPr>
                      <w:rFonts w:hint="eastAsia" w:ascii="Times New Roman" w:hAnsi="Times New Roman" w:eastAsia="宋体"/>
                      <w:b w:val="0"/>
                      <w:bCs/>
                      <w:color w:val="auto"/>
                      <w:szCs w:val="21"/>
                      <w:highlight w:val="none"/>
                      <w:lang w:eastAsia="zh-CN"/>
                    </w:rPr>
                  </w:pPr>
                  <w:r>
                    <w:rPr>
                      <w:rFonts w:hint="eastAsia" w:ascii="Times New Roman" w:hAnsi="Times New Roman" w:eastAsia="宋体"/>
                      <w:b w:val="0"/>
                      <w:bCs/>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ascii="Times New Roman"/>
                      <w:b w:val="0"/>
                      <w:bCs/>
                      <w:color w:val="auto"/>
                      <w:sz w:val="21"/>
                      <w:szCs w:val="21"/>
                      <w:highlight w:val="none"/>
                    </w:rPr>
                  </w:pPr>
                </w:p>
              </w:tc>
              <w:tc>
                <w:tcPr>
                  <w:tcW w:w="1118"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hint="eastAsia" w:ascii="Times New Roman"/>
                      <w:b w:val="0"/>
                      <w:bCs/>
                      <w:color w:val="auto"/>
                      <w:sz w:val="21"/>
                      <w:szCs w:val="21"/>
                      <w:highlight w:val="none"/>
                      <w:lang w:val="en-US" w:eastAsia="zh-CN"/>
                    </w:rPr>
                  </w:pPr>
                  <w:r>
                    <w:rPr>
                      <w:rFonts w:hint="eastAsia" w:ascii="Times New Roman"/>
                      <w:b w:val="0"/>
                      <w:bCs/>
                      <w:color w:val="auto"/>
                      <w:sz w:val="21"/>
                      <w:szCs w:val="21"/>
                      <w:highlight w:val="none"/>
                      <w:lang w:val="en-US" w:eastAsia="zh-CN"/>
                    </w:rPr>
                    <w:t>污水处理站</w:t>
                  </w:r>
                </w:p>
              </w:tc>
              <w:tc>
                <w:tcPr>
                  <w:tcW w:w="1360"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hint="eastAsia" w:ascii="Times New Roman"/>
                      <w:b w:val="0"/>
                      <w:bCs/>
                      <w:color w:val="auto"/>
                      <w:sz w:val="21"/>
                      <w:szCs w:val="21"/>
                      <w:highlight w:val="none"/>
                    </w:rPr>
                  </w:pPr>
                  <w:r>
                    <w:rPr>
                      <w:rFonts w:hint="eastAsia" w:ascii="Times New Roman"/>
                      <w:b w:val="0"/>
                      <w:bCs/>
                      <w:color w:val="auto"/>
                      <w:sz w:val="21"/>
                      <w:szCs w:val="21"/>
                      <w:highlight w:val="none"/>
                    </w:rPr>
                    <w:t>防渗混凝土</w:t>
                  </w:r>
                </w:p>
              </w:tc>
              <w:tc>
                <w:tcPr>
                  <w:tcW w:w="1131" w:type="pct"/>
                  <w:vMerge w:val="continue"/>
                  <w:noWrap w:val="0"/>
                  <w:vAlign w:val="center"/>
                </w:tcPr>
                <w:p>
                  <w:pPr>
                    <w:pStyle w:val="60"/>
                    <w:keepNext w:val="0"/>
                    <w:keepLines w:val="0"/>
                    <w:pageBreakBefore w:val="0"/>
                    <w:widowControl w:val="0"/>
                    <w:kinsoku/>
                    <w:wordWrap/>
                    <w:overflowPunct/>
                    <w:topLinePunct w:val="0"/>
                    <w:autoSpaceDE/>
                    <w:autoSpaceDN/>
                    <w:bidi w:val="0"/>
                    <w:adjustRightInd w:val="0"/>
                    <w:spacing w:before="0"/>
                    <w:ind w:left="0"/>
                    <w:rPr>
                      <w:rFonts w:ascii="Times New Roman" w:hAnsi="Times New Roman" w:eastAsia="宋体"/>
                      <w:b w:val="0"/>
                      <w:bCs/>
                      <w:color w:val="auto"/>
                      <w:szCs w:val="21"/>
                      <w:highlight w:val="none"/>
                    </w:rPr>
                  </w:pPr>
                </w:p>
              </w:tc>
              <w:tc>
                <w:tcPr>
                  <w:tcW w:w="694" w:type="pct"/>
                  <w:noWrap w:val="0"/>
                  <w:vAlign w:val="center"/>
                </w:tcPr>
                <w:p>
                  <w:pPr>
                    <w:pStyle w:val="60"/>
                    <w:keepNext w:val="0"/>
                    <w:keepLines w:val="0"/>
                    <w:pageBreakBefore w:val="0"/>
                    <w:widowControl w:val="0"/>
                    <w:kinsoku/>
                    <w:wordWrap/>
                    <w:overflowPunct/>
                    <w:topLinePunct w:val="0"/>
                    <w:autoSpaceDE/>
                    <w:autoSpaceDN/>
                    <w:bidi w:val="0"/>
                    <w:adjustRightInd w:val="0"/>
                    <w:spacing w:before="0"/>
                    <w:ind w:left="0"/>
                    <w:rPr>
                      <w:rFonts w:hint="eastAsia" w:ascii="Times New Roman" w:hAnsi="Times New Roman" w:eastAsia="宋体"/>
                      <w:b w:val="0"/>
                      <w:bCs/>
                      <w:color w:val="auto"/>
                      <w:szCs w:val="21"/>
                      <w:highlight w:val="none"/>
                      <w:lang w:eastAsia="zh-CN"/>
                    </w:rPr>
                  </w:pPr>
                  <w:r>
                    <w:rPr>
                      <w:rFonts w:hint="eastAsia" w:ascii="Times New Roman" w:hAnsi="Times New Roman" w:eastAsia="宋体"/>
                      <w:b w:val="0"/>
                      <w:bCs/>
                      <w:color w:val="auto"/>
                      <w:szCs w:val="21"/>
                      <w:highlight w:val="none"/>
                      <w:lang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ascii="Times New Roman"/>
                      <w:b w:val="0"/>
                      <w:bCs/>
                      <w:color w:val="auto"/>
                      <w:sz w:val="21"/>
                      <w:szCs w:val="21"/>
                      <w:highlight w:val="none"/>
                    </w:rPr>
                  </w:pPr>
                </w:p>
              </w:tc>
              <w:tc>
                <w:tcPr>
                  <w:tcW w:w="1118"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hint="default" w:ascii="Times New Roman"/>
                      <w:b w:val="0"/>
                      <w:bCs/>
                      <w:color w:val="auto"/>
                      <w:sz w:val="21"/>
                      <w:szCs w:val="21"/>
                      <w:highlight w:val="none"/>
                      <w:lang w:val="en-US" w:eastAsia="zh-CN"/>
                    </w:rPr>
                  </w:pPr>
                  <w:r>
                    <w:rPr>
                      <w:rFonts w:hint="eastAsia"/>
                      <w:b w:val="0"/>
                      <w:bCs/>
                      <w:color w:val="auto"/>
                      <w:sz w:val="21"/>
                      <w:szCs w:val="21"/>
                      <w:highlight w:val="none"/>
                      <w:lang w:val="en-US" w:eastAsia="zh-CN"/>
                    </w:rPr>
                    <w:t>隔油池</w:t>
                  </w:r>
                </w:p>
              </w:tc>
              <w:tc>
                <w:tcPr>
                  <w:tcW w:w="2241" w:type="dxa"/>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leftChars="0" w:firstLine="0" w:firstLineChars="0"/>
                    <w:rPr>
                      <w:rFonts w:hint="eastAsia" w:ascii="Times New Roman"/>
                      <w:b w:val="0"/>
                      <w:bCs/>
                      <w:color w:val="auto"/>
                      <w:sz w:val="21"/>
                      <w:szCs w:val="21"/>
                      <w:highlight w:val="none"/>
                    </w:rPr>
                  </w:pPr>
                  <w:r>
                    <w:rPr>
                      <w:rFonts w:hint="eastAsia" w:ascii="Times New Roman"/>
                      <w:b w:val="0"/>
                      <w:bCs/>
                      <w:color w:val="auto"/>
                      <w:sz w:val="21"/>
                      <w:szCs w:val="21"/>
                      <w:highlight w:val="none"/>
                    </w:rPr>
                    <w:t>防渗混凝土</w:t>
                  </w:r>
                </w:p>
              </w:tc>
              <w:tc>
                <w:tcPr>
                  <w:tcW w:w="1131" w:type="pct"/>
                  <w:vMerge w:val="continue"/>
                  <w:noWrap w:val="0"/>
                  <w:vAlign w:val="center"/>
                </w:tcPr>
                <w:p>
                  <w:pPr>
                    <w:pStyle w:val="60"/>
                    <w:keepNext w:val="0"/>
                    <w:keepLines w:val="0"/>
                    <w:pageBreakBefore w:val="0"/>
                    <w:widowControl w:val="0"/>
                    <w:kinsoku/>
                    <w:wordWrap/>
                    <w:overflowPunct/>
                    <w:topLinePunct w:val="0"/>
                    <w:autoSpaceDE/>
                    <w:autoSpaceDN/>
                    <w:bidi w:val="0"/>
                    <w:adjustRightInd w:val="0"/>
                    <w:spacing w:before="0"/>
                    <w:ind w:left="0"/>
                    <w:rPr>
                      <w:rFonts w:ascii="Times New Roman" w:hAnsi="Times New Roman" w:eastAsia="宋体"/>
                      <w:b w:val="0"/>
                      <w:bCs/>
                      <w:color w:val="auto"/>
                      <w:szCs w:val="21"/>
                      <w:highlight w:val="none"/>
                    </w:rPr>
                  </w:pPr>
                </w:p>
              </w:tc>
              <w:tc>
                <w:tcPr>
                  <w:tcW w:w="694" w:type="pct"/>
                  <w:noWrap w:val="0"/>
                  <w:vAlign w:val="center"/>
                </w:tcPr>
                <w:p>
                  <w:pPr>
                    <w:pStyle w:val="60"/>
                    <w:keepNext w:val="0"/>
                    <w:keepLines w:val="0"/>
                    <w:pageBreakBefore w:val="0"/>
                    <w:widowControl w:val="0"/>
                    <w:kinsoku/>
                    <w:wordWrap/>
                    <w:overflowPunct/>
                    <w:topLinePunct w:val="0"/>
                    <w:autoSpaceDE/>
                    <w:autoSpaceDN/>
                    <w:bidi w:val="0"/>
                    <w:adjustRightInd w:val="0"/>
                    <w:spacing w:before="0"/>
                    <w:ind w:left="0"/>
                    <w:rPr>
                      <w:rFonts w:hint="eastAsia" w:ascii="Times New Roman" w:hAnsi="Times New Roman" w:eastAsia="宋体"/>
                      <w:b w:val="0"/>
                      <w:bCs/>
                      <w:color w:val="auto"/>
                      <w:szCs w:val="21"/>
                      <w:highlight w:val="none"/>
                      <w:lang w:eastAsia="zh-CN"/>
                    </w:rPr>
                  </w:pPr>
                  <w:r>
                    <w:rPr>
                      <w:rFonts w:hint="eastAsia" w:ascii="Times New Roman" w:hAnsi="Times New Roman" w:eastAsia="宋体"/>
                      <w:b w:val="0"/>
                      <w:bCs/>
                      <w:color w:val="auto"/>
                      <w:szCs w:val="21"/>
                      <w:highlight w:val="none"/>
                      <w:lang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ascii="Times New Roman"/>
                      <w:b w:val="0"/>
                      <w:bCs/>
                      <w:color w:val="auto"/>
                      <w:sz w:val="21"/>
                      <w:szCs w:val="21"/>
                      <w:highlight w:val="none"/>
                    </w:rPr>
                  </w:pPr>
                </w:p>
              </w:tc>
              <w:tc>
                <w:tcPr>
                  <w:tcW w:w="1118"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hint="default" w:ascii="Times New Roman"/>
                      <w:b w:val="0"/>
                      <w:bCs/>
                      <w:color w:val="auto"/>
                      <w:sz w:val="21"/>
                      <w:szCs w:val="21"/>
                      <w:highlight w:val="none"/>
                      <w:lang w:val="en-US" w:eastAsia="zh-CN"/>
                    </w:rPr>
                  </w:pPr>
                  <w:r>
                    <w:rPr>
                      <w:rFonts w:hint="eastAsia"/>
                      <w:b w:val="0"/>
                      <w:bCs/>
                      <w:color w:val="auto"/>
                      <w:sz w:val="21"/>
                      <w:szCs w:val="21"/>
                      <w:highlight w:val="none"/>
                      <w:lang w:val="en-US" w:eastAsia="zh-CN"/>
                    </w:rPr>
                    <w:t>预处理池</w:t>
                  </w:r>
                </w:p>
              </w:tc>
              <w:tc>
                <w:tcPr>
                  <w:tcW w:w="2241" w:type="dxa"/>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leftChars="0" w:firstLine="0" w:firstLineChars="0"/>
                    <w:rPr>
                      <w:rFonts w:hint="eastAsia" w:ascii="Times New Roman"/>
                      <w:b w:val="0"/>
                      <w:bCs/>
                      <w:color w:val="auto"/>
                      <w:sz w:val="21"/>
                      <w:szCs w:val="21"/>
                      <w:highlight w:val="none"/>
                    </w:rPr>
                  </w:pPr>
                  <w:r>
                    <w:rPr>
                      <w:rFonts w:hint="eastAsia" w:ascii="Times New Roman"/>
                      <w:b w:val="0"/>
                      <w:bCs/>
                      <w:color w:val="auto"/>
                      <w:sz w:val="21"/>
                      <w:szCs w:val="21"/>
                      <w:highlight w:val="none"/>
                    </w:rPr>
                    <w:t>防渗混凝土</w:t>
                  </w:r>
                </w:p>
              </w:tc>
              <w:tc>
                <w:tcPr>
                  <w:tcW w:w="1131" w:type="pct"/>
                  <w:vMerge w:val="continue"/>
                  <w:noWrap w:val="0"/>
                  <w:vAlign w:val="center"/>
                </w:tcPr>
                <w:p>
                  <w:pPr>
                    <w:pStyle w:val="60"/>
                    <w:keepNext w:val="0"/>
                    <w:keepLines w:val="0"/>
                    <w:pageBreakBefore w:val="0"/>
                    <w:widowControl w:val="0"/>
                    <w:kinsoku/>
                    <w:wordWrap/>
                    <w:overflowPunct/>
                    <w:topLinePunct w:val="0"/>
                    <w:autoSpaceDE/>
                    <w:autoSpaceDN/>
                    <w:bidi w:val="0"/>
                    <w:adjustRightInd w:val="0"/>
                    <w:spacing w:before="0"/>
                    <w:ind w:left="0"/>
                    <w:rPr>
                      <w:rFonts w:ascii="Times New Roman" w:hAnsi="Times New Roman" w:eastAsia="宋体"/>
                      <w:b w:val="0"/>
                      <w:bCs/>
                      <w:color w:val="auto"/>
                      <w:szCs w:val="21"/>
                      <w:highlight w:val="none"/>
                    </w:rPr>
                  </w:pPr>
                </w:p>
              </w:tc>
              <w:tc>
                <w:tcPr>
                  <w:tcW w:w="694" w:type="pct"/>
                  <w:noWrap w:val="0"/>
                  <w:vAlign w:val="center"/>
                </w:tcPr>
                <w:p>
                  <w:pPr>
                    <w:pStyle w:val="60"/>
                    <w:keepNext w:val="0"/>
                    <w:keepLines w:val="0"/>
                    <w:pageBreakBefore w:val="0"/>
                    <w:widowControl w:val="0"/>
                    <w:kinsoku/>
                    <w:wordWrap/>
                    <w:overflowPunct/>
                    <w:topLinePunct w:val="0"/>
                    <w:autoSpaceDE/>
                    <w:autoSpaceDN/>
                    <w:bidi w:val="0"/>
                    <w:adjustRightInd w:val="0"/>
                    <w:spacing w:before="0"/>
                    <w:ind w:left="0"/>
                    <w:rPr>
                      <w:rFonts w:hint="eastAsia" w:ascii="Times New Roman" w:hAnsi="Times New Roman" w:eastAsia="宋体"/>
                      <w:b w:val="0"/>
                      <w:bCs/>
                      <w:color w:val="auto"/>
                      <w:szCs w:val="21"/>
                      <w:highlight w:val="none"/>
                      <w:lang w:eastAsia="zh-CN"/>
                    </w:rPr>
                  </w:pPr>
                  <w:r>
                    <w:rPr>
                      <w:rFonts w:hint="eastAsia" w:ascii="Times New Roman" w:hAnsi="Times New Roman" w:eastAsia="宋体"/>
                      <w:b w:val="0"/>
                      <w:bCs/>
                      <w:color w:val="auto"/>
                      <w:szCs w:val="21"/>
                      <w:highlight w:val="none"/>
                      <w:lang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Merge w:val="continue"/>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ascii="Times New Roman"/>
                      <w:b w:val="0"/>
                      <w:bCs/>
                      <w:color w:val="auto"/>
                      <w:sz w:val="21"/>
                      <w:szCs w:val="21"/>
                      <w:highlight w:val="none"/>
                    </w:rPr>
                  </w:pPr>
                </w:p>
              </w:tc>
              <w:tc>
                <w:tcPr>
                  <w:tcW w:w="1118"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hint="default" w:ascii="Times New Roman"/>
                      <w:b w:val="0"/>
                      <w:bCs/>
                      <w:color w:val="auto"/>
                      <w:sz w:val="21"/>
                      <w:szCs w:val="21"/>
                      <w:highlight w:val="none"/>
                      <w:lang w:val="en-US" w:eastAsia="zh-CN"/>
                    </w:rPr>
                  </w:pPr>
                  <w:r>
                    <w:rPr>
                      <w:rFonts w:hint="eastAsia" w:ascii="Times New Roman"/>
                      <w:b w:val="0"/>
                      <w:bCs/>
                      <w:color w:val="auto"/>
                      <w:sz w:val="21"/>
                      <w:szCs w:val="21"/>
                      <w:highlight w:val="none"/>
                      <w:lang w:val="en-US" w:eastAsia="zh-CN"/>
                    </w:rPr>
                    <w:t>废水管道</w:t>
                  </w:r>
                </w:p>
              </w:tc>
              <w:tc>
                <w:tcPr>
                  <w:tcW w:w="1360"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hint="eastAsia" w:ascii="Times New Roman"/>
                      <w:b w:val="0"/>
                      <w:bCs/>
                      <w:color w:val="auto"/>
                      <w:sz w:val="21"/>
                      <w:szCs w:val="21"/>
                      <w:highlight w:val="none"/>
                    </w:rPr>
                  </w:pPr>
                  <w:r>
                    <w:rPr>
                      <w:rFonts w:hint="eastAsia" w:ascii="Times New Roman"/>
                      <w:b w:val="0"/>
                      <w:bCs/>
                      <w:color w:val="auto"/>
                      <w:sz w:val="21"/>
                      <w:szCs w:val="21"/>
                      <w:highlight w:val="none"/>
                    </w:rPr>
                    <w:t>采取高强度防腐防渗材质</w:t>
                  </w:r>
                </w:p>
              </w:tc>
              <w:tc>
                <w:tcPr>
                  <w:tcW w:w="1131" w:type="pct"/>
                  <w:vMerge w:val="continue"/>
                  <w:noWrap w:val="0"/>
                  <w:vAlign w:val="center"/>
                </w:tcPr>
                <w:p>
                  <w:pPr>
                    <w:pStyle w:val="60"/>
                    <w:keepNext w:val="0"/>
                    <w:keepLines w:val="0"/>
                    <w:pageBreakBefore w:val="0"/>
                    <w:widowControl w:val="0"/>
                    <w:kinsoku/>
                    <w:wordWrap/>
                    <w:overflowPunct/>
                    <w:topLinePunct w:val="0"/>
                    <w:autoSpaceDE/>
                    <w:autoSpaceDN/>
                    <w:bidi w:val="0"/>
                    <w:adjustRightInd w:val="0"/>
                    <w:spacing w:before="0"/>
                    <w:ind w:left="0"/>
                    <w:rPr>
                      <w:rFonts w:ascii="Times New Roman" w:hAnsi="Times New Roman" w:eastAsia="宋体"/>
                      <w:b w:val="0"/>
                      <w:bCs/>
                      <w:color w:val="auto"/>
                      <w:szCs w:val="21"/>
                      <w:highlight w:val="none"/>
                    </w:rPr>
                  </w:pPr>
                </w:p>
              </w:tc>
              <w:tc>
                <w:tcPr>
                  <w:tcW w:w="694" w:type="pct"/>
                  <w:noWrap w:val="0"/>
                  <w:vAlign w:val="center"/>
                </w:tcPr>
                <w:p>
                  <w:pPr>
                    <w:pStyle w:val="60"/>
                    <w:keepNext w:val="0"/>
                    <w:keepLines w:val="0"/>
                    <w:pageBreakBefore w:val="0"/>
                    <w:widowControl w:val="0"/>
                    <w:kinsoku/>
                    <w:wordWrap/>
                    <w:overflowPunct/>
                    <w:topLinePunct w:val="0"/>
                    <w:autoSpaceDE/>
                    <w:autoSpaceDN/>
                    <w:bidi w:val="0"/>
                    <w:adjustRightInd w:val="0"/>
                    <w:spacing w:before="0"/>
                    <w:ind w:left="0"/>
                    <w:rPr>
                      <w:rFonts w:hint="eastAsia" w:ascii="Times New Roman" w:hAnsi="Times New Roman" w:eastAsia="宋体"/>
                      <w:b w:val="0"/>
                      <w:bCs/>
                      <w:color w:val="auto"/>
                      <w:szCs w:val="21"/>
                      <w:highlight w:val="none"/>
                      <w:lang w:eastAsia="zh-CN"/>
                    </w:rPr>
                  </w:pPr>
                  <w:r>
                    <w:rPr>
                      <w:rFonts w:hint="eastAsia" w:ascii="Times New Roman" w:hAnsi="Times New Roman" w:eastAsia="宋体"/>
                      <w:b w:val="0"/>
                      <w:bCs/>
                      <w:color w:val="auto"/>
                      <w:szCs w:val="21"/>
                      <w:highlight w:val="none"/>
                      <w:lang w:val="en-US" w:eastAsia="zh-CN"/>
                    </w:rPr>
                    <w:t>新建+</w:t>
                  </w:r>
                  <w:r>
                    <w:rPr>
                      <w:rFonts w:hint="eastAsia" w:ascii="Times New Roman" w:hAnsi="Times New Roman" w:eastAsia="宋体"/>
                      <w:b w:val="0"/>
                      <w:bCs/>
                      <w:color w:val="auto"/>
                      <w:szCs w:val="21"/>
                      <w:highlight w:val="none"/>
                      <w:lang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ascii="Times New Roman"/>
                      <w:b w:val="0"/>
                      <w:bCs/>
                      <w:color w:val="auto"/>
                      <w:sz w:val="21"/>
                      <w:szCs w:val="21"/>
                      <w:highlight w:val="none"/>
                    </w:rPr>
                  </w:pPr>
                  <w:r>
                    <w:rPr>
                      <w:rFonts w:hint="eastAsia" w:ascii="Times New Roman"/>
                      <w:b w:val="0"/>
                      <w:bCs/>
                      <w:color w:val="auto"/>
                      <w:sz w:val="21"/>
                      <w:szCs w:val="21"/>
                      <w:highlight w:val="none"/>
                    </w:rPr>
                    <w:t>简单防渗区</w:t>
                  </w:r>
                </w:p>
              </w:tc>
              <w:tc>
                <w:tcPr>
                  <w:tcW w:w="1118"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ascii="Times New Roman"/>
                      <w:b w:val="0"/>
                      <w:bCs/>
                      <w:color w:val="auto"/>
                      <w:sz w:val="21"/>
                      <w:szCs w:val="21"/>
                      <w:highlight w:val="none"/>
                    </w:rPr>
                  </w:pPr>
                  <w:r>
                    <w:rPr>
                      <w:rFonts w:hint="eastAsia" w:ascii="Times New Roman"/>
                      <w:b w:val="0"/>
                      <w:bCs/>
                      <w:color w:val="auto"/>
                      <w:sz w:val="21"/>
                      <w:szCs w:val="21"/>
                      <w:highlight w:val="none"/>
                    </w:rPr>
                    <w:t>除重点防渗区和一般防渗区以外的其他区域</w:t>
                  </w:r>
                </w:p>
              </w:tc>
              <w:tc>
                <w:tcPr>
                  <w:tcW w:w="1360" w:type="pct"/>
                  <w:noWrap w:val="0"/>
                  <w:vAlign w:val="center"/>
                </w:tcPr>
                <w:p>
                  <w:pPr>
                    <w:pStyle w:val="41"/>
                    <w:keepNext w:val="0"/>
                    <w:keepLines w:val="0"/>
                    <w:pageBreakBefore w:val="0"/>
                    <w:widowControl w:val="0"/>
                    <w:kinsoku/>
                    <w:wordWrap/>
                    <w:overflowPunct/>
                    <w:topLinePunct w:val="0"/>
                    <w:autoSpaceDE/>
                    <w:autoSpaceDN/>
                    <w:bidi w:val="0"/>
                    <w:adjustRightInd w:val="0"/>
                    <w:spacing w:before="0" w:beforeLines="0" w:after="0" w:afterLines="0" w:line="240" w:lineRule="auto"/>
                    <w:ind w:left="0" w:firstLine="0" w:firstLineChars="0"/>
                    <w:rPr>
                      <w:rFonts w:hint="default" w:ascii="Times New Roman" w:eastAsia="宋体"/>
                      <w:b w:val="0"/>
                      <w:bCs/>
                      <w:color w:val="auto"/>
                      <w:sz w:val="21"/>
                      <w:szCs w:val="21"/>
                      <w:highlight w:val="none"/>
                      <w:lang w:val="en-US" w:eastAsia="zh-CN"/>
                    </w:rPr>
                  </w:pPr>
                  <w:r>
                    <w:rPr>
                      <w:rFonts w:hint="eastAsia" w:ascii="Times New Roman"/>
                      <w:b w:val="0"/>
                      <w:bCs/>
                      <w:color w:val="auto"/>
                      <w:sz w:val="21"/>
                      <w:szCs w:val="21"/>
                      <w:highlight w:val="none"/>
                      <w:lang w:val="en-US" w:eastAsia="zh-CN"/>
                    </w:rPr>
                    <w:t>地面硬化</w:t>
                  </w:r>
                </w:p>
              </w:tc>
              <w:tc>
                <w:tcPr>
                  <w:tcW w:w="1131" w:type="pct"/>
                  <w:noWrap w:val="0"/>
                  <w:vAlign w:val="center"/>
                </w:tcPr>
                <w:p>
                  <w:pPr>
                    <w:pStyle w:val="60"/>
                    <w:keepNext w:val="0"/>
                    <w:keepLines w:val="0"/>
                    <w:pageBreakBefore w:val="0"/>
                    <w:widowControl w:val="0"/>
                    <w:kinsoku/>
                    <w:wordWrap/>
                    <w:overflowPunct/>
                    <w:topLinePunct w:val="0"/>
                    <w:autoSpaceDE/>
                    <w:autoSpaceDN/>
                    <w:bidi w:val="0"/>
                    <w:adjustRightInd w:val="0"/>
                    <w:spacing w:before="0"/>
                    <w:ind w:left="0"/>
                    <w:rPr>
                      <w:rFonts w:hint="eastAsia" w:ascii="Times New Roman" w:hAnsi="Times New Roman" w:eastAsia="宋体"/>
                      <w:b w:val="0"/>
                      <w:bCs/>
                      <w:color w:val="auto"/>
                      <w:szCs w:val="21"/>
                      <w:highlight w:val="none"/>
                    </w:rPr>
                  </w:pPr>
                  <w:r>
                    <w:rPr>
                      <w:rFonts w:hint="eastAsia" w:ascii="Times New Roman" w:hAnsi="Times New Roman" w:eastAsia="宋体"/>
                      <w:b w:val="0"/>
                      <w:bCs/>
                      <w:color w:val="auto"/>
                      <w:szCs w:val="21"/>
                      <w:highlight w:val="none"/>
                    </w:rPr>
                    <w:t>/</w:t>
                  </w:r>
                </w:p>
              </w:tc>
              <w:tc>
                <w:tcPr>
                  <w:tcW w:w="694" w:type="pct"/>
                  <w:noWrap w:val="0"/>
                  <w:vAlign w:val="center"/>
                </w:tcPr>
                <w:p>
                  <w:pPr>
                    <w:pStyle w:val="60"/>
                    <w:keepNext w:val="0"/>
                    <w:keepLines w:val="0"/>
                    <w:pageBreakBefore w:val="0"/>
                    <w:widowControl w:val="0"/>
                    <w:kinsoku/>
                    <w:wordWrap/>
                    <w:overflowPunct/>
                    <w:topLinePunct w:val="0"/>
                    <w:autoSpaceDE/>
                    <w:autoSpaceDN/>
                    <w:bidi w:val="0"/>
                    <w:adjustRightInd w:val="0"/>
                    <w:spacing w:before="0"/>
                    <w:ind w:left="0"/>
                    <w:rPr>
                      <w:rFonts w:hint="eastAsia" w:ascii="Times New Roman" w:hAnsi="Times New Roman" w:eastAsia="宋体"/>
                      <w:b w:val="0"/>
                      <w:bCs/>
                      <w:color w:val="auto"/>
                      <w:szCs w:val="21"/>
                      <w:highlight w:val="none"/>
                      <w:lang w:eastAsia="zh-CN"/>
                    </w:rPr>
                  </w:pPr>
                  <w:r>
                    <w:rPr>
                      <w:rFonts w:hint="eastAsia" w:ascii="Times New Roman" w:hAnsi="Times New Roman" w:eastAsia="宋体"/>
                      <w:b w:val="0"/>
                      <w:bCs/>
                      <w:color w:val="auto"/>
                      <w:szCs w:val="21"/>
                      <w:highlight w:val="none"/>
                      <w:lang w:eastAsia="zh-CN"/>
                    </w:rPr>
                    <w:t>新建</w:t>
                  </w:r>
                </w:p>
              </w:tc>
            </w:tr>
          </w:tbl>
          <w:p>
            <w:pPr>
              <w:pStyle w:val="5"/>
              <w:spacing w:line="360" w:lineRule="auto"/>
              <w:ind w:firstLine="480" w:firstLineChars="200"/>
              <w:rPr>
                <w:rFonts w:hint="eastAsia"/>
                <w:color w:val="auto"/>
                <w:sz w:val="24"/>
                <w:highlight w:val="none"/>
              </w:rPr>
            </w:pPr>
            <w:r>
              <w:rPr>
                <w:color w:val="auto"/>
                <w:sz w:val="24"/>
                <w:highlight w:val="none"/>
              </w:rPr>
              <w:t>综上，在确保各项防渗措施得以落实，并加强维护和项目环境管理的前提下，可有效控制项目的污染物下渗现象，避免污染土壤、地下水，因此项目不会对区域土壤、地下水环境产生影响</w:t>
            </w:r>
            <w:r>
              <w:rPr>
                <w:rFonts w:hint="eastAsia"/>
                <w:color w:val="auto"/>
                <w:sz w:val="24"/>
                <w:highlight w:val="none"/>
              </w:rPr>
              <w:t>。</w:t>
            </w:r>
          </w:p>
          <w:p>
            <w:pPr>
              <w:tabs>
                <w:tab w:val="left" w:pos="1134"/>
              </w:tabs>
              <w:adjustRightInd w:val="0"/>
              <w:snapToGrid w:val="0"/>
              <w:spacing w:line="360" w:lineRule="auto"/>
              <w:rPr>
                <w:b/>
                <w:bCs/>
                <w:color w:val="auto"/>
                <w:sz w:val="24"/>
                <w:highlight w:val="none"/>
              </w:rPr>
            </w:pPr>
            <w:r>
              <w:rPr>
                <w:rFonts w:hint="eastAsia"/>
                <w:b/>
                <w:bCs/>
                <w:color w:val="auto"/>
                <w:sz w:val="24"/>
                <w:highlight w:val="none"/>
              </w:rPr>
              <w:t>六</w:t>
            </w:r>
            <w:r>
              <w:rPr>
                <w:b/>
                <w:bCs/>
                <w:color w:val="auto"/>
                <w:sz w:val="24"/>
                <w:highlight w:val="none"/>
              </w:rPr>
              <w:t>、环境风险分析</w:t>
            </w:r>
          </w:p>
          <w:p>
            <w:pPr>
              <w:pStyle w:val="8"/>
              <w:spacing w:before="0" w:after="0" w:line="360" w:lineRule="auto"/>
              <w:ind w:right="0" w:firstLine="482" w:firstLineChars="200"/>
              <w:jc w:val="left"/>
              <w:rPr>
                <w:b/>
                <w:bCs/>
                <w:color w:val="auto"/>
                <w:sz w:val="24"/>
                <w:szCs w:val="24"/>
                <w:highlight w:val="none"/>
              </w:rPr>
            </w:pPr>
            <w:r>
              <w:rPr>
                <w:rFonts w:hint="eastAsia"/>
                <w:b/>
                <w:bCs/>
                <w:color w:val="auto"/>
                <w:sz w:val="24"/>
                <w:szCs w:val="24"/>
                <w:highlight w:val="none"/>
              </w:rPr>
              <w:t>1、风</w:t>
            </w:r>
            <w:r>
              <w:rPr>
                <w:b/>
                <w:bCs/>
                <w:color w:val="auto"/>
                <w:sz w:val="24"/>
                <w:szCs w:val="24"/>
                <w:highlight w:val="none"/>
              </w:rPr>
              <w:t>险物质</w:t>
            </w:r>
          </w:p>
          <w:p>
            <w:pPr>
              <w:widowControl/>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根据《建设项目环境风险评价技术导则》（HJ 169-2018）附录B可知，本项目涉及的风险物质为机油、</w:t>
            </w:r>
            <w:r>
              <w:rPr>
                <w:rFonts w:hint="eastAsia"/>
                <w:color w:val="auto"/>
                <w:kern w:val="0"/>
                <w:sz w:val="24"/>
                <w:highlight w:val="none"/>
                <w:lang w:val="en-US" w:eastAsia="zh-CN"/>
              </w:rPr>
              <w:t>硫酸、铬酸钾、盐酸、</w:t>
            </w:r>
            <w:r>
              <w:rPr>
                <w:rFonts w:hint="eastAsia"/>
                <w:color w:val="auto"/>
                <w:kern w:val="0"/>
                <w:sz w:val="24"/>
                <w:highlight w:val="none"/>
              </w:rPr>
              <w:t>天然气、危险废物等。根据对同类项目类比调查，项目事故风险类型确定为火灾</w:t>
            </w:r>
            <w:r>
              <w:rPr>
                <w:rFonts w:hint="eastAsia"/>
                <w:color w:val="auto"/>
                <w:kern w:val="0"/>
                <w:sz w:val="24"/>
                <w:highlight w:val="none"/>
                <w:lang w:eastAsia="zh-CN"/>
              </w:rPr>
              <w:t>、</w:t>
            </w:r>
            <w:r>
              <w:rPr>
                <w:rFonts w:hint="eastAsia"/>
                <w:color w:val="auto"/>
                <w:kern w:val="0"/>
                <w:sz w:val="24"/>
                <w:highlight w:val="none"/>
                <w:lang w:val="en-US" w:eastAsia="zh-CN"/>
              </w:rPr>
              <w:t>爆炸及泄露</w:t>
            </w:r>
            <w:r>
              <w:rPr>
                <w:rFonts w:hint="eastAsia"/>
                <w:color w:val="auto"/>
                <w:kern w:val="0"/>
                <w:sz w:val="24"/>
                <w:highlight w:val="none"/>
              </w:rPr>
              <w:t>事故。</w:t>
            </w:r>
          </w:p>
          <w:p>
            <w:pPr>
              <w:spacing w:line="360" w:lineRule="auto"/>
              <w:ind w:firstLine="482" w:firstLineChars="200"/>
              <w:rPr>
                <w:b/>
                <w:color w:val="auto"/>
                <w:sz w:val="24"/>
                <w:highlight w:val="none"/>
              </w:rPr>
            </w:pPr>
            <w:r>
              <w:rPr>
                <w:b/>
                <w:color w:val="auto"/>
                <w:sz w:val="24"/>
                <w:highlight w:val="none"/>
              </w:rPr>
              <w:t>2、环境风险潜势初判</w:t>
            </w:r>
          </w:p>
          <w:p>
            <w:pPr>
              <w:spacing w:line="360" w:lineRule="auto"/>
              <w:ind w:firstLine="480" w:firstLineChars="200"/>
              <w:rPr>
                <w:bCs/>
                <w:color w:val="auto"/>
                <w:sz w:val="24"/>
                <w:highlight w:val="none"/>
              </w:rPr>
            </w:pPr>
            <w:bookmarkStart w:id="4" w:name="_Toc14038"/>
            <w:r>
              <w:rPr>
                <w:rFonts w:hint="eastAsia"/>
                <w:color w:val="auto"/>
                <w:sz w:val="24"/>
                <w:szCs w:val="24"/>
                <w:highlight w:val="none"/>
              </w:rPr>
              <w:t>根据《建设项目环境风险评价技术导则》（HJ 169-2018），</w:t>
            </w:r>
            <w:r>
              <w:rPr>
                <w:bCs/>
                <w:color w:val="auto"/>
                <w:sz w:val="24"/>
                <w:highlight w:val="none"/>
              </w:rPr>
              <w:t>当只涉及一种危险物质时，计算该物质的总量与其临界量比值，即为Q；当存在多种危险物质时，则按下式计算物质总量与其临界量比值（Q）</w:t>
            </w:r>
            <w:r>
              <w:rPr>
                <w:rFonts w:hint="eastAsia"/>
                <w:bCs/>
                <w:color w:val="auto"/>
                <w:sz w:val="24"/>
                <w:highlight w:val="none"/>
                <w:lang w:eastAsia="zh-CN"/>
              </w:rPr>
              <w:t>：</w:t>
            </w:r>
          </w:p>
          <w:bookmarkEnd w:id="4"/>
          <w:p>
            <w:pPr>
              <w:pStyle w:val="63"/>
              <w:keepNext w:val="0"/>
              <w:widowControl/>
              <w:adjustRightInd w:val="0"/>
              <w:snapToGrid w:val="0"/>
              <w:spacing w:line="360" w:lineRule="auto"/>
              <w:jc w:val="center"/>
              <w:rPr>
                <w:rFonts w:ascii="Times New Roman" w:hAnsi="Times New Roman"/>
                <w:color w:val="auto"/>
                <w:szCs w:val="21"/>
                <w:highlight w:val="none"/>
              </w:rPr>
            </w:pPr>
            <w:r>
              <w:rPr>
                <w:rFonts w:ascii="Times New Roman" w:hAnsi="Times New Roman"/>
                <w:color w:val="auto"/>
                <w:szCs w:val="21"/>
                <w:highlight w:val="none"/>
              </w:rPr>
              <w:drawing>
                <wp:inline distT="0" distB="0" distL="114300" distR="114300">
                  <wp:extent cx="1957070" cy="605790"/>
                  <wp:effectExtent l="0" t="0" r="5080" b="3810"/>
                  <wp:docPr id="1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4"/>
                          <pic:cNvPicPr>
                            <a:picLocks noChangeAspect="1"/>
                          </pic:cNvPicPr>
                        </pic:nvPicPr>
                        <pic:blipFill>
                          <a:blip r:embed="rId46"/>
                          <a:stretch>
                            <a:fillRect/>
                          </a:stretch>
                        </pic:blipFill>
                        <pic:spPr>
                          <a:xfrm>
                            <a:off x="0" y="0"/>
                            <a:ext cx="1957070" cy="605790"/>
                          </a:xfrm>
                          <a:prstGeom prst="rect">
                            <a:avLst/>
                          </a:prstGeom>
                          <a:noFill/>
                          <a:ln>
                            <a:noFill/>
                          </a:ln>
                        </pic:spPr>
                      </pic:pic>
                    </a:graphicData>
                  </a:graphic>
                </wp:inline>
              </w:drawing>
            </w:r>
          </w:p>
          <w:p>
            <w:pPr>
              <w:spacing w:line="360" w:lineRule="auto"/>
              <w:ind w:firstLine="480" w:firstLineChars="200"/>
              <w:rPr>
                <w:bCs/>
                <w:color w:val="auto"/>
                <w:sz w:val="24"/>
                <w:highlight w:val="none"/>
              </w:rPr>
            </w:pPr>
            <w:bookmarkStart w:id="5" w:name="_Toc12077"/>
            <w:r>
              <w:rPr>
                <w:bCs/>
                <w:color w:val="auto"/>
                <w:sz w:val="24"/>
                <w:highlight w:val="none"/>
              </w:rPr>
              <w:t>式中：q1、q2、...，qn——每种危险物质的最大存在总量，t；</w:t>
            </w:r>
            <w:bookmarkEnd w:id="5"/>
          </w:p>
          <w:p>
            <w:pPr>
              <w:spacing w:line="360" w:lineRule="auto"/>
              <w:ind w:firstLine="1200" w:firstLineChars="500"/>
              <w:rPr>
                <w:bCs/>
                <w:color w:val="auto"/>
                <w:sz w:val="24"/>
                <w:highlight w:val="none"/>
              </w:rPr>
            </w:pPr>
            <w:bookmarkStart w:id="6" w:name="_Toc31857"/>
            <w:r>
              <w:rPr>
                <w:bCs/>
                <w:color w:val="auto"/>
                <w:sz w:val="24"/>
                <w:highlight w:val="none"/>
              </w:rPr>
              <w:t>Q1、Q2、...，Qn——每种危险风险物质的临界量，t。</w:t>
            </w:r>
            <w:bookmarkEnd w:id="6"/>
          </w:p>
          <w:p>
            <w:pPr>
              <w:spacing w:line="360" w:lineRule="auto"/>
              <w:ind w:firstLine="480" w:firstLineChars="200"/>
              <w:rPr>
                <w:bCs/>
                <w:color w:val="auto"/>
                <w:sz w:val="24"/>
                <w:highlight w:val="none"/>
              </w:rPr>
            </w:pPr>
            <w:r>
              <w:rPr>
                <w:bCs/>
                <w:color w:val="auto"/>
                <w:sz w:val="24"/>
                <w:highlight w:val="none"/>
              </w:rPr>
              <w:t>当Q＜1时，该项目环境风险潜势为Ⅰ。</w:t>
            </w:r>
          </w:p>
          <w:p>
            <w:pPr>
              <w:spacing w:line="360" w:lineRule="auto"/>
              <w:ind w:firstLine="480" w:firstLineChars="200"/>
              <w:rPr>
                <w:bCs/>
                <w:color w:val="auto"/>
                <w:sz w:val="24"/>
                <w:highlight w:val="none"/>
              </w:rPr>
            </w:pPr>
            <w:r>
              <w:rPr>
                <w:bCs/>
                <w:color w:val="auto"/>
                <w:sz w:val="24"/>
                <w:highlight w:val="none"/>
              </w:rPr>
              <w:t>当Q≥1时，将Q值划分为：（1）1≤Q≤10；（2）10≤Q≤100；（3）Q≥100。</w:t>
            </w:r>
          </w:p>
          <w:p>
            <w:pPr>
              <w:pStyle w:val="41"/>
              <w:bidi w:val="0"/>
              <w:rPr>
                <w:color w:val="auto"/>
                <w:highlight w:val="none"/>
              </w:rPr>
            </w:pPr>
            <w:r>
              <w:rPr>
                <w:color w:val="auto"/>
                <w:highlight w:val="none"/>
              </w:rPr>
              <w:t>表4-</w:t>
            </w:r>
            <w:r>
              <w:rPr>
                <w:rFonts w:hint="eastAsia"/>
                <w:color w:val="auto"/>
                <w:highlight w:val="none"/>
              </w:rPr>
              <w:t>1</w:t>
            </w:r>
            <w:r>
              <w:rPr>
                <w:rFonts w:hint="eastAsia"/>
                <w:color w:val="auto"/>
                <w:highlight w:val="none"/>
                <w:lang w:val="en-US" w:eastAsia="zh-CN"/>
              </w:rPr>
              <w:t>9</w:t>
            </w:r>
            <w:r>
              <w:rPr>
                <w:color w:val="auto"/>
                <w:highlight w:val="none"/>
              </w:rPr>
              <w:t xml:space="preserve">  危险物质数量与临界量比值表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613"/>
              <w:gridCol w:w="2061"/>
              <w:gridCol w:w="1664"/>
              <w:gridCol w:w="2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pct"/>
                  <w:tcBorders>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序号</w:t>
                  </w:r>
                </w:p>
              </w:tc>
              <w:tc>
                <w:tcPr>
                  <w:tcW w:w="979" w:type="pct"/>
                  <w:tcBorders>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危险物质</w:t>
                  </w:r>
                </w:p>
              </w:tc>
              <w:tc>
                <w:tcPr>
                  <w:tcW w:w="1251" w:type="pct"/>
                  <w:tcBorders>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最大</w:t>
                  </w:r>
                  <w:r>
                    <w:rPr>
                      <w:rFonts w:hint="eastAsia"/>
                      <w:b/>
                      <w:bCs/>
                      <w:color w:val="auto"/>
                      <w:szCs w:val="21"/>
                      <w:highlight w:val="none"/>
                    </w:rPr>
                    <w:t>存在</w:t>
                  </w:r>
                  <w:r>
                    <w:rPr>
                      <w:b/>
                      <w:bCs/>
                      <w:color w:val="auto"/>
                      <w:szCs w:val="21"/>
                      <w:highlight w:val="none"/>
                    </w:rPr>
                    <w:t>量（t）</w:t>
                  </w:r>
                </w:p>
              </w:tc>
              <w:tc>
                <w:tcPr>
                  <w:tcW w:w="1010" w:type="pct"/>
                  <w:tcBorders>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临界量（t）</w:t>
                  </w:r>
                </w:p>
              </w:tc>
              <w:tc>
                <w:tcPr>
                  <w:tcW w:w="1243" w:type="pct"/>
                  <w:tcBorders>
                    <w:left w:val="single" w:color="auto" w:sz="4" w:space="0"/>
                    <w:bottom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比值（Q）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tcBorders>
                    <w:top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1</w:t>
                  </w:r>
                </w:p>
              </w:tc>
              <w:tc>
                <w:tcPr>
                  <w:tcW w:w="9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机油</w:t>
                  </w:r>
                </w:p>
              </w:tc>
              <w:tc>
                <w:tcPr>
                  <w:tcW w:w="125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0.05</w:t>
                  </w:r>
                </w:p>
              </w:tc>
              <w:tc>
                <w:tcPr>
                  <w:tcW w:w="101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2500</w:t>
                  </w:r>
                </w:p>
              </w:tc>
              <w:tc>
                <w:tcPr>
                  <w:tcW w:w="1243" w:type="pct"/>
                  <w:tcBorders>
                    <w:top w:val="single" w:color="auto" w:sz="4" w:space="0"/>
                    <w:left w:val="single" w:color="auto" w:sz="4" w:space="0"/>
                    <w:bottom w:val="single" w:color="auto" w:sz="4"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tcBorders>
                    <w:top w:val="single" w:color="auto" w:sz="4" w:space="0"/>
                    <w:bottom w:val="single" w:color="auto" w:sz="4" w:space="0"/>
                    <w:right w:val="single" w:color="auto" w:sz="4" w:space="0"/>
                  </w:tcBorders>
                  <w:noWrap w:val="0"/>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9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硫酸</w:t>
                  </w:r>
                </w:p>
              </w:tc>
              <w:tc>
                <w:tcPr>
                  <w:tcW w:w="125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0.0018</w:t>
                  </w:r>
                </w:p>
              </w:tc>
              <w:tc>
                <w:tcPr>
                  <w:tcW w:w="101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10</w:t>
                  </w:r>
                </w:p>
              </w:tc>
              <w:tc>
                <w:tcPr>
                  <w:tcW w:w="1243" w:type="pct"/>
                  <w:tcBorders>
                    <w:top w:val="single" w:color="auto" w:sz="4" w:space="0"/>
                    <w:left w:val="single" w:color="auto" w:sz="4" w:space="0"/>
                    <w:bottom w:val="single" w:color="auto" w:sz="4"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tcBorders>
                    <w:top w:val="single" w:color="auto" w:sz="4" w:space="0"/>
                    <w:bottom w:val="single" w:color="auto" w:sz="4" w:space="0"/>
                    <w:right w:val="single" w:color="auto" w:sz="4" w:space="0"/>
                  </w:tcBorders>
                  <w:noWrap w:val="0"/>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3</w:t>
                  </w:r>
                </w:p>
              </w:tc>
              <w:tc>
                <w:tcPr>
                  <w:tcW w:w="9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铬酸钾</w:t>
                  </w:r>
                </w:p>
              </w:tc>
              <w:tc>
                <w:tcPr>
                  <w:tcW w:w="125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0.0003</w:t>
                  </w:r>
                </w:p>
              </w:tc>
              <w:tc>
                <w:tcPr>
                  <w:tcW w:w="101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0.25</w:t>
                  </w:r>
                </w:p>
              </w:tc>
              <w:tc>
                <w:tcPr>
                  <w:tcW w:w="1243" w:type="pct"/>
                  <w:tcBorders>
                    <w:top w:val="single" w:color="auto" w:sz="4" w:space="0"/>
                    <w:left w:val="single" w:color="auto" w:sz="4" w:space="0"/>
                    <w:bottom w:val="single" w:color="auto" w:sz="4"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tcBorders>
                    <w:top w:val="single" w:color="auto" w:sz="4" w:space="0"/>
                    <w:bottom w:val="single" w:color="auto" w:sz="4" w:space="0"/>
                    <w:right w:val="single" w:color="auto" w:sz="4" w:space="0"/>
                  </w:tcBorders>
                  <w:noWrap w:val="0"/>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4</w:t>
                  </w:r>
                </w:p>
              </w:tc>
              <w:tc>
                <w:tcPr>
                  <w:tcW w:w="9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盐酸</w:t>
                  </w:r>
                </w:p>
              </w:tc>
              <w:tc>
                <w:tcPr>
                  <w:tcW w:w="125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0.00087</w:t>
                  </w:r>
                </w:p>
              </w:tc>
              <w:tc>
                <w:tcPr>
                  <w:tcW w:w="101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7.5</w:t>
                  </w:r>
                </w:p>
              </w:tc>
              <w:tc>
                <w:tcPr>
                  <w:tcW w:w="1243" w:type="pct"/>
                  <w:tcBorders>
                    <w:top w:val="single" w:color="auto" w:sz="4" w:space="0"/>
                    <w:left w:val="single" w:color="auto" w:sz="4" w:space="0"/>
                    <w:bottom w:val="single" w:color="auto" w:sz="4" w:space="0"/>
                  </w:tcBorders>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tcBorders>
                    <w:top w:val="single" w:color="auto" w:sz="4" w:space="0"/>
                    <w:bottom w:val="single" w:color="auto" w:sz="4" w:space="0"/>
                    <w:right w:val="single" w:color="auto" w:sz="4" w:space="0"/>
                  </w:tcBorders>
                  <w:noWrap w:val="0"/>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5</w:t>
                  </w:r>
                </w:p>
              </w:tc>
              <w:tc>
                <w:tcPr>
                  <w:tcW w:w="97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color w:val="auto"/>
                      <w:kern w:val="2"/>
                      <w:sz w:val="21"/>
                      <w:szCs w:val="21"/>
                      <w:highlight w:val="none"/>
                      <w:lang w:val="en-US" w:eastAsia="zh-CN" w:bidi="ar-SA"/>
                    </w:rPr>
                  </w:pPr>
                  <w:r>
                    <w:rPr>
                      <w:rFonts w:hint="eastAsia"/>
                      <w:color w:val="auto"/>
                      <w:szCs w:val="21"/>
                      <w:highlight w:val="none"/>
                    </w:rPr>
                    <w:t>天然气</w:t>
                  </w:r>
                </w:p>
              </w:tc>
              <w:tc>
                <w:tcPr>
                  <w:tcW w:w="125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eastAsia="宋体"/>
                      <w:color w:val="auto"/>
                      <w:kern w:val="2"/>
                      <w:sz w:val="21"/>
                      <w:szCs w:val="21"/>
                      <w:highlight w:val="none"/>
                      <w:lang w:val="en-US" w:eastAsia="zh-CN" w:bidi="ar-SA"/>
                    </w:rPr>
                  </w:pPr>
                  <w:r>
                    <w:rPr>
                      <w:rFonts w:hint="eastAsia"/>
                      <w:color w:val="auto"/>
                      <w:szCs w:val="21"/>
                      <w:highlight w:val="none"/>
                      <w:lang w:val="en-US" w:eastAsia="zh-CN"/>
                    </w:rPr>
                    <w:t>0.2</w:t>
                  </w:r>
                </w:p>
              </w:tc>
              <w:tc>
                <w:tcPr>
                  <w:tcW w:w="101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kern w:val="2"/>
                      <w:sz w:val="21"/>
                      <w:szCs w:val="21"/>
                      <w:highlight w:val="none"/>
                      <w:lang w:val="en-US" w:eastAsia="zh-CN" w:bidi="ar-SA"/>
                    </w:rPr>
                  </w:pPr>
                  <w:r>
                    <w:rPr>
                      <w:rFonts w:hint="eastAsia"/>
                      <w:color w:val="auto"/>
                      <w:szCs w:val="21"/>
                      <w:highlight w:val="none"/>
                    </w:rPr>
                    <w:t>10</w:t>
                  </w:r>
                </w:p>
              </w:tc>
              <w:tc>
                <w:tcPr>
                  <w:tcW w:w="1243" w:type="pct"/>
                  <w:tcBorders>
                    <w:top w:val="single" w:color="auto" w:sz="4" w:space="0"/>
                    <w:left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6" w:type="pct"/>
                  <w:gridSpan w:val="4"/>
                  <w:tcBorders>
                    <w:top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合计</w:t>
                  </w:r>
                </w:p>
              </w:tc>
              <w:tc>
                <w:tcPr>
                  <w:tcW w:w="1243" w:type="pct"/>
                  <w:tcBorders>
                    <w:top w:val="single" w:color="auto" w:sz="4" w:space="0"/>
                    <w:left w:val="single" w:color="auto" w:sz="4" w:space="0"/>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0.021516</w:t>
                  </w:r>
                </w:p>
              </w:tc>
            </w:tr>
          </w:tbl>
          <w:p>
            <w:pPr>
              <w:spacing w:line="360" w:lineRule="auto"/>
              <w:ind w:firstLine="480" w:firstLineChars="200"/>
              <w:rPr>
                <w:bCs/>
                <w:color w:val="auto"/>
                <w:sz w:val="24"/>
                <w:highlight w:val="none"/>
              </w:rPr>
            </w:pPr>
            <w:r>
              <w:rPr>
                <w:bCs/>
                <w:color w:val="auto"/>
                <w:sz w:val="24"/>
                <w:highlight w:val="none"/>
              </w:rPr>
              <w:t>由上表可知，本项目危险物质数量与临界量比值（Q）小于1，环境风险潜势为I。</w:t>
            </w:r>
          </w:p>
          <w:p>
            <w:pPr>
              <w:pStyle w:val="8"/>
              <w:spacing w:before="0" w:after="0" w:line="360" w:lineRule="auto"/>
              <w:ind w:right="0" w:firstLine="482" w:firstLineChars="200"/>
              <w:rPr>
                <w:rFonts w:hint="eastAsia"/>
                <w:b/>
                <w:bCs/>
                <w:color w:val="auto"/>
                <w:sz w:val="24"/>
                <w:szCs w:val="24"/>
                <w:highlight w:val="none"/>
              </w:rPr>
            </w:pPr>
            <w:r>
              <w:rPr>
                <w:rFonts w:hint="eastAsia"/>
                <w:b/>
                <w:bCs/>
                <w:color w:val="auto"/>
                <w:sz w:val="24"/>
                <w:szCs w:val="24"/>
                <w:highlight w:val="none"/>
              </w:rPr>
              <w:t>3、环境风险分析</w:t>
            </w:r>
          </w:p>
          <w:p>
            <w:pPr>
              <w:pStyle w:val="8"/>
              <w:spacing w:before="0" w:after="0" w:line="360" w:lineRule="auto"/>
              <w:ind w:right="0" w:firstLine="480" w:firstLineChars="200"/>
              <w:rPr>
                <w:color w:val="auto"/>
                <w:sz w:val="24"/>
                <w:szCs w:val="24"/>
                <w:highlight w:val="none"/>
              </w:rPr>
            </w:pPr>
            <w:r>
              <w:rPr>
                <w:rFonts w:hint="eastAsia"/>
                <w:color w:val="auto"/>
                <w:sz w:val="24"/>
                <w:szCs w:val="24"/>
                <w:highlight w:val="none"/>
              </w:rPr>
              <w:t>（1）</w:t>
            </w:r>
            <w:r>
              <w:rPr>
                <w:color w:val="auto"/>
                <w:sz w:val="24"/>
                <w:szCs w:val="24"/>
                <w:highlight w:val="none"/>
              </w:rPr>
              <w:t>风险类型</w:t>
            </w:r>
          </w:p>
          <w:p>
            <w:pPr>
              <w:pStyle w:val="8"/>
              <w:spacing w:before="0" w:after="0" w:line="360" w:lineRule="auto"/>
              <w:ind w:right="0" w:firstLine="480" w:firstLineChars="200"/>
              <w:rPr>
                <w:rFonts w:hint="eastAsia"/>
                <w:color w:val="auto"/>
                <w:sz w:val="24"/>
                <w:szCs w:val="24"/>
                <w:highlight w:val="none"/>
              </w:rPr>
            </w:pPr>
            <w:r>
              <w:rPr>
                <w:rFonts w:hint="eastAsia"/>
                <w:color w:val="auto"/>
                <w:sz w:val="24"/>
                <w:szCs w:val="24"/>
                <w:highlight w:val="none"/>
              </w:rPr>
              <w:t>本项目风险类型</w:t>
            </w:r>
            <w:r>
              <w:rPr>
                <w:color w:val="auto"/>
                <w:sz w:val="24"/>
                <w:szCs w:val="24"/>
                <w:highlight w:val="none"/>
              </w:rPr>
              <w:t>分为化学品</w:t>
            </w:r>
            <w:r>
              <w:rPr>
                <w:rFonts w:hint="eastAsia"/>
                <w:color w:val="auto"/>
                <w:sz w:val="24"/>
                <w:szCs w:val="24"/>
                <w:highlight w:val="none"/>
                <w:lang w:eastAsia="zh-CN"/>
              </w:rPr>
              <w:t>、</w:t>
            </w:r>
            <w:r>
              <w:rPr>
                <w:rFonts w:hint="eastAsia"/>
                <w:color w:val="auto"/>
                <w:sz w:val="24"/>
                <w:szCs w:val="24"/>
                <w:highlight w:val="none"/>
              </w:rPr>
              <w:t>包装物、危险废物</w:t>
            </w:r>
            <w:r>
              <w:rPr>
                <w:rFonts w:hint="eastAsia"/>
                <w:color w:val="auto"/>
                <w:sz w:val="24"/>
                <w:szCs w:val="24"/>
                <w:highlight w:val="none"/>
                <w:lang w:val="en-US" w:eastAsia="zh-CN"/>
              </w:rPr>
              <w:t>的储运、使用</w:t>
            </w:r>
            <w:r>
              <w:rPr>
                <w:rFonts w:hint="eastAsia"/>
                <w:color w:val="auto"/>
                <w:sz w:val="24"/>
                <w:szCs w:val="24"/>
                <w:highlight w:val="none"/>
                <w:lang w:eastAsia="zh-CN"/>
              </w:rPr>
              <w:t>，</w:t>
            </w:r>
            <w:r>
              <w:rPr>
                <w:rFonts w:hint="eastAsia"/>
                <w:color w:val="auto"/>
                <w:sz w:val="24"/>
                <w:szCs w:val="24"/>
                <w:highlight w:val="none"/>
              </w:rPr>
              <w:t>天然气</w:t>
            </w:r>
            <w:r>
              <w:rPr>
                <w:rFonts w:hint="eastAsia"/>
                <w:color w:val="auto"/>
                <w:sz w:val="24"/>
                <w:szCs w:val="24"/>
                <w:highlight w:val="none"/>
                <w:lang w:val="en-US" w:eastAsia="zh-CN"/>
              </w:rPr>
              <w:t>运输</w:t>
            </w:r>
            <w:r>
              <w:rPr>
                <w:color w:val="auto"/>
                <w:sz w:val="24"/>
                <w:szCs w:val="24"/>
                <w:highlight w:val="none"/>
              </w:rPr>
              <w:t>、使用过程中泄漏</w:t>
            </w:r>
            <w:r>
              <w:rPr>
                <w:rFonts w:hint="eastAsia"/>
                <w:color w:val="auto"/>
                <w:sz w:val="24"/>
                <w:szCs w:val="24"/>
                <w:highlight w:val="none"/>
              </w:rPr>
              <w:t>；</w:t>
            </w:r>
            <w:r>
              <w:rPr>
                <w:color w:val="auto"/>
                <w:sz w:val="24"/>
                <w:szCs w:val="24"/>
                <w:highlight w:val="none"/>
              </w:rPr>
              <w:t>废水</w:t>
            </w:r>
            <w:r>
              <w:rPr>
                <w:rFonts w:hint="eastAsia"/>
                <w:color w:val="auto"/>
                <w:sz w:val="24"/>
                <w:szCs w:val="24"/>
                <w:highlight w:val="none"/>
              </w:rPr>
              <w:t>、</w:t>
            </w:r>
            <w:r>
              <w:rPr>
                <w:color w:val="auto"/>
                <w:sz w:val="24"/>
                <w:szCs w:val="24"/>
                <w:highlight w:val="none"/>
              </w:rPr>
              <w:t>废气</w:t>
            </w:r>
            <w:r>
              <w:rPr>
                <w:rFonts w:hint="eastAsia"/>
                <w:color w:val="auto"/>
                <w:sz w:val="24"/>
                <w:szCs w:val="24"/>
                <w:highlight w:val="none"/>
              </w:rPr>
              <w:t>、固废</w:t>
            </w:r>
            <w:r>
              <w:rPr>
                <w:color w:val="auto"/>
                <w:sz w:val="24"/>
                <w:szCs w:val="24"/>
                <w:highlight w:val="none"/>
              </w:rPr>
              <w:t>事故性排放</w:t>
            </w:r>
            <w:r>
              <w:rPr>
                <w:rFonts w:hint="eastAsia"/>
                <w:color w:val="auto"/>
                <w:sz w:val="24"/>
                <w:szCs w:val="24"/>
                <w:highlight w:val="none"/>
              </w:rPr>
              <w:t>；</w:t>
            </w:r>
            <w:r>
              <w:rPr>
                <w:color w:val="auto"/>
                <w:sz w:val="24"/>
                <w:szCs w:val="24"/>
                <w:highlight w:val="none"/>
              </w:rPr>
              <w:t>火灾和爆炸</w:t>
            </w:r>
            <w:r>
              <w:rPr>
                <w:rFonts w:hint="eastAsia"/>
                <w:color w:val="auto"/>
                <w:sz w:val="24"/>
                <w:szCs w:val="24"/>
                <w:highlight w:val="none"/>
              </w:rPr>
              <w:t>，以及</w:t>
            </w:r>
            <w:r>
              <w:rPr>
                <w:color w:val="auto"/>
                <w:sz w:val="24"/>
                <w:szCs w:val="24"/>
                <w:highlight w:val="none"/>
              </w:rPr>
              <w:t>引发的次生事故。</w:t>
            </w:r>
          </w:p>
          <w:p>
            <w:pPr>
              <w:pStyle w:val="8"/>
              <w:spacing w:before="0" w:after="0" w:line="360" w:lineRule="auto"/>
              <w:ind w:right="0" w:firstLine="480" w:firstLineChars="200"/>
              <w:rPr>
                <w:rFonts w:hint="eastAsia"/>
                <w:color w:val="auto"/>
                <w:sz w:val="24"/>
                <w:szCs w:val="24"/>
                <w:highlight w:val="none"/>
              </w:rPr>
            </w:pPr>
            <w:r>
              <w:rPr>
                <w:rFonts w:hint="eastAsia"/>
                <w:color w:val="auto"/>
                <w:sz w:val="24"/>
                <w:szCs w:val="24"/>
                <w:highlight w:val="none"/>
              </w:rPr>
              <w:t>（2）风险识别</w:t>
            </w:r>
          </w:p>
          <w:p>
            <w:pPr>
              <w:pStyle w:val="8"/>
              <w:spacing w:before="0" w:after="0" w:line="360" w:lineRule="auto"/>
              <w:ind w:right="0" w:firstLine="480" w:firstLineChars="200"/>
              <w:rPr>
                <w:rFonts w:hint="eastAsia"/>
                <w:color w:val="auto"/>
                <w:sz w:val="24"/>
                <w:szCs w:val="24"/>
                <w:highlight w:val="none"/>
              </w:rPr>
            </w:pPr>
            <w:r>
              <w:rPr>
                <w:rFonts w:hint="eastAsia"/>
                <w:color w:val="auto"/>
                <w:sz w:val="24"/>
                <w:szCs w:val="24"/>
                <w:highlight w:val="none"/>
              </w:rPr>
              <w:t>①物质风险识别：本项目在生产过程中涉及的有毒有害、易燃易爆的物质主要有机油、</w:t>
            </w:r>
            <w:r>
              <w:rPr>
                <w:rFonts w:hint="eastAsia"/>
                <w:color w:val="auto"/>
                <w:sz w:val="24"/>
                <w:szCs w:val="24"/>
                <w:highlight w:val="none"/>
                <w:lang w:val="en-US" w:eastAsia="zh-CN"/>
              </w:rPr>
              <w:t>硫酸、铬酸钾、盐酸、</w:t>
            </w:r>
            <w:r>
              <w:rPr>
                <w:rFonts w:hint="eastAsia"/>
                <w:color w:val="auto"/>
                <w:sz w:val="24"/>
                <w:szCs w:val="24"/>
                <w:highlight w:val="none"/>
              </w:rPr>
              <w:t>天然气、</w:t>
            </w:r>
            <w:r>
              <w:rPr>
                <w:rFonts w:hint="eastAsia"/>
                <w:color w:val="auto"/>
                <w:sz w:val="24"/>
                <w:szCs w:val="24"/>
                <w:highlight w:val="none"/>
                <w:lang w:val="en-US" w:eastAsia="zh-CN"/>
              </w:rPr>
              <w:t>植物油</w:t>
            </w:r>
            <w:r>
              <w:rPr>
                <w:rFonts w:hint="eastAsia"/>
                <w:color w:val="auto"/>
                <w:sz w:val="24"/>
                <w:szCs w:val="24"/>
                <w:highlight w:val="none"/>
              </w:rPr>
              <w:t>包装物、危险废物等，储存及使用不当会造成泄漏、火灾等环境风险，</w:t>
            </w:r>
            <w:r>
              <w:rPr>
                <w:color w:val="auto"/>
                <w:sz w:val="24"/>
                <w:szCs w:val="24"/>
                <w:highlight w:val="none"/>
              </w:rPr>
              <w:t>污染</w:t>
            </w:r>
            <w:r>
              <w:rPr>
                <w:rFonts w:hint="eastAsia"/>
                <w:color w:val="auto"/>
                <w:sz w:val="24"/>
                <w:szCs w:val="24"/>
                <w:highlight w:val="none"/>
              </w:rPr>
              <w:t>大气、</w:t>
            </w:r>
            <w:r>
              <w:rPr>
                <w:color w:val="auto"/>
                <w:sz w:val="24"/>
                <w:szCs w:val="24"/>
                <w:highlight w:val="none"/>
              </w:rPr>
              <w:t>地下水和土壤</w:t>
            </w:r>
            <w:r>
              <w:rPr>
                <w:rFonts w:hint="eastAsia"/>
                <w:color w:val="auto"/>
                <w:sz w:val="24"/>
                <w:szCs w:val="24"/>
                <w:highlight w:val="none"/>
              </w:rPr>
              <w:t>。</w:t>
            </w:r>
          </w:p>
          <w:p>
            <w:pPr>
              <w:pStyle w:val="8"/>
              <w:spacing w:before="0" w:after="0" w:line="360" w:lineRule="auto"/>
              <w:ind w:right="0" w:firstLine="480" w:firstLineChars="200"/>
              <w:rPr>
                <w:rFonts w:hint="eastAsia"/>
                <w:color w:val="auto"/>
                <w:sz w:val="24"/>
                <w:szCs w:val="24"/>
                <w:highlight w:val="none"/>
              </w:rPr>
            </w:pPr>
            <w:r>
              <w:rPr>
                <w:rFonts w:hint="eastAsia"/>
                <w:color w:val="auto"/>
                <w:sz w:val="24"/>
                <w:szCs w:val="24"/>
                <w:highlight w:val="none"/>
              </w:rPr>
              <w:t>②生产设施风险识别：本项目生产设施风险识别范围主要有</w:t>
            </w:r>
            <w:r>
              <w:rPr>
                <w:color w:val="auto"/>
                <w:sz w:val="24"/>
                <w:highlight w:val="none"/>
              </w:rPr>
              <w:t>原料库房</w:t>
            </w:r>
            <w:r>
              <w:rPr>
                <w:rFonts w:hint="eastAsia"/>
                <w:color w:val="auto"/>
                <w:sz w:val="24"/>
                <w:szCs w:val="24"/>
                <w:highlight w:val="none"/>
              </w:rPr>
              <w:t>、生产装置、环保设施。</w:t>
            </w:r>
            <w:r>
              <w:rPr>
                <w:rFonts w:hint="eastAsia"/>
                <w:color w:val="auto"/>
                <w:sz w:val="24"/>
                <w:highlight w:val="none"/>
              </w:rPr>
              <w:t>可能由于操作不当造成包装材料、机油</w:t>
            </w:r>
            <w:r>
              <w:rPr>
                <w:rFonts w:hint="eastAsia"/>
                <w:color w:val="auto"/>
                <w:sz w:val="24"/>
                <w:highlight w:val="none"/>
                <w:lang w:eastAsia="zh-CN"/>
              </w:rPr>
              <w:t>、</w:t>
            </w:r>
            <w:r>
              <w:rPr>
                <w:rFonts w:hint="eastAsia"/>
                <w:color w:val="auto"/>
                <w:sz w:val="24"/>
                <w:highlight w:val="none"/>
                <w:lang w:val="en-US" w:eastAsia="zh-CN"/>
              </w:rPr>
              <w:t>盐酸、硫酸、天然气、植物油</w:t>
            </w:r>
            <w:r>
              <w:rPr>
                <w:rFonts w:hint="eastAsia"/>
                <w:color w:val="auto"/>
                <w:sz w:val="24"/>
                <w:highlight w:val="none"/>
              </w:rPr>
              <w:t>等遇火或泄露</w:t>
            </w:r>
            <w:r>
              <w:rPr>
                <w:rFonts w:hint="eastAsia"/>
                <w:color w:val="auto"/>
                <w:sz w:val="24"/>
                <w:szCs w:val="24"/>
                <w:highlight w:val="none"/>
              </w:rPr>
              <w:t>，从而可能引发火灾、爆炸风险；生产装置突发停电等事故，可能引起火灾、爆炸、污染物超标排放；项目粉尘</w:t>
            </w:r>
            <w:r>
              <w:rPr>
                <w:rFonts w:hint="eastAsia"/>
                <w:color w:val="auto"/>
                <w:sz w:val="24"/>
                <w:szCs w:val="24"/>
                <w:highlight w:val="none"/>
                <w:lang w:val="en-US" w:eastAsia="zh-CN"/>
              </w:rPr>
              <w:t>浓度过大引起爆炸；</w:t>
            </w:r>
            <w:r>
              <w:rPr>
                <w:rFonts w:hint="eastAsia"/>
                <w:color w:val="auto"/>
                <w:sz w:val="24"/>
                <w:szCs w:val="24"/>
                <w:highlight w:val="none"/>
              </w:rPr>
              <w:t>因设备故障可能造成废气超标排放；污水</w:t>
            </w:r>
            <w:r>
              <w:rPr>
                <w:rFonts w:hint="eastAsia"/>
                <w:color w:val="auto"/>
                <w:sz w:val="24"/>
                <w:szCs w:val="24"/>
                <w:highlight w:val="none"/>
                <w:lang w:val="en-US" w:eastAsia="zh-CN"/>
              </w:rPr>
              <w:t>处理站</w:t>
            </w:r>
            <w:r>
              <w:rPr>
                <w:rFonts w:hint="eastAsia"/>
                <w:color w:val="auto"/>
                <w:sz w:val="24"/>
                <w:szCs w:val="24"/>
                <w:highlight w:val="none"/>
              </w:rPr>
              <w:t>事故可能造成废水超标排放。</w:t>
            </w:r>
          </w:p>
          <w:p>
            <w:pPr>
              <w:pStyle w:val="8"/>
              <w:spacing w:before="0" w:after="0" w:line="360" w:lineRule="auto"/>
              <w:ind w:right="0" w:firstLine="482" w:firstLineChars="200"/>
              <w:rPr>
                <w:rFonts w:hint="eastAsia"/>
                <w:b/>
                <w:bCs/>
                <w:color w:val="auto"/>
                <w:sz w:val="24"/>
                <w:szCs w:val="24"/>
                <w:highlight w:val="none"/>
              </w:rPr>
            </w:pPr>
            <w:r>
              <w:rPr>
                <w:rFonts w:hint="eastAsia"/>
                <w:b/>
                <w:bCs/>
                <w:color w:val="auto"/>
                <w:sz w:val="24"/>
                <w:szCs w:val="24"/>
                <w:highlight w:val="none"/>
              </w:rPr>
              <w:t>4、环境风险防范措施</w:t>
            </w:r>
          </w:p>
          <w:p>
            <w:pPr>
              <w:pStyle w:val="8"/>
              <w:spacing w:before="0" w:after="0" w:line="360" w:lineRule="auto"/>
              <w:ind w:right="0" w:firstLine="482" w:firstLineChars="200"/>
              <w:rPr>
                <w:rFonts w:hint="eastAsia"/>
                <w:b/>
                <w:bCs/>
                <w:color w:val="auto"/>
                <w:sz w:val="24"/>
                <w:szCs w:val="24"/>
                <w:highlight w:val="none"/>
              </w:rPr>
            </w:pPr>
            <w:r>
              <w:rPr>
                <w:rFonts w:hint="eastAsia"/>
                <w:b/>
                <w:bCs/>
                <w:color w:val="auto"/>
                <w:sz w:val="24"/>
                <w:szCs w:val="24"/>
                <w:highlight w:val="none"/>
              </w:rPr>
              <w:t>（1）火灾、爆炸风险防范措施</w:t>
            </w:r>
          </w:p>
          <w:p>
            <w:pPr>
              <w:pStyle w:val="8"/>
              <w:spacing w:before="0" w:after="0" w:line="360" w:lineRule="auto"/>
              <w:ind w:right="0" w:firstLine="480" w:firstLineChars="200"/>
              <w:rPr>
                <w:rFonts w:hint="eastAsia"/>
                <w:color w:val="auto"/>
                <w:sz w:val="24"/>
                <w:szCs w:val="24"/>
                <w:highlight w:val="none"/>
              </w:rPr>
            </w:pPr>
            <w:r>
              <w:rPr>
                <w:rFonts w:hint="eastAsia"/>
                <w:color w:val="auto"/>
                <w:sz w:val="24"/>
                <w:szCs w:val="24"/>
                <w:highlight w:val="none"/>
              </w:rPr>
              <w:t>①严格按照《建筑设计防火规范》（GB50016-2014（2018版））、《建筑灭火器配置设计规范》（GB50140-2005）相关内容进行设计，设置消防给水和灭火系统，配置相应的灭火器类型和数量。</w:t>
            </w:r>
          </w:p>
          <w:p>
            <w:pPr>
              <w:pStyle w:val="8"/>
              <w:spacing w:before="0" w:after="0" w:line="360" w:lineRule="auto"/>
              <w:ind w:right="0" w:firstLine="480" w:firstLineChars="200"/>
              <w:rPr>
                <w:rFonts w:hint="eastAsia"/>
                <w:color w:val="auto"/>
                <w:sz w:val="24"/>
                <w:szCs w:val="24"/>
                <w:highlight w:val="none"/>
              </w:rPr>
            </w:pPr>
            <w:r>
              <w:rPr>
                <w:rFonts w:hint="eastAsia"/>
                <w:color w:val="auto"/>
                <w:sz w:val="24"/>
                <w:szCs w:val="24"/>
                <w:highlight w:val="none"/>
              </w:rPr>
              <w:t>②设置火灾报警装置、消防设施，消防用电设施和火灾报警装置采用双电源供电。</w:t>
            </w:r>
          </w:p>
          <w:p>
            <w:pPr>
              <w:pStyle w:val="8"/>
              <w:spacing w:before="0" w:after="0" w:line="360" w:lineRule="auto"/>
              <w:ind w:right="0" w:firstLine="480" w:firstLineChars="200"/>
              <w:rPr>
                <w:rFonts w:hint="eastAsia"/>
                <w:color w:val="auto"/>
                <w:sz w:val="24"/>
                <w:szCs w:val="24"/>
                <w:highlight w:val="none"/>
              </w:rPr>
            </w:pPr>
            <w:r>
              <w:rPr>
                <w:rFonts w:hint="eastAsia"/>
                <w:color w:val="auto"/>
                <w:sz w:val="24"/>
                <w:szCs w:val="24"/>
                <w:highlight w:val="none"/>
              </w:rPr>
              <w:t>③防雷、防静电接地，电气接地、弱电接地连成同一接地网。</w:t>
            </w:r>
          </w:p>
          <w:p>
            <w:pPr>
              <w:pStyle w:val="8"/>
              <w:spacing w:before="0" w:after="0" w:line="360" w:lineRule="auto"/>
              <w:ind w:right="0" w:firstLine="480" w:firstLineChars="200"/>
              <w:rPr>
                <w:rFonts w:hint="eastAsia"/>
                <w:color w:val="auto"/>
                <w:sz w:val="24"/>
                <w:szCs w:val="24"/>
                <w:highlight w:val="none"/>
              </w:rPr>
            </w:pPr>
            <w:r>
              <w:rPr>
                <w:rFonts w:hint="eastAsia"/>
                <w:color w:val="auto"/>
                <w:sz w:val="24"/>
                <w:szCs w:val="24"/>
                <w:highlight w:val="none"/>
              </w:rPr>
              <w:t>④厂区内设置严禁烟火的标示，并配置灭火器，同时要求员工不准携带火柴、打火机或其它火种进入生产区，不得随意丢弃烟头等。</w:t>
            </w:r>
          </w:p>
          <w:p>
            <w:pPr>
              <w:pStyle w:val="8"/>
              <w:spacing w:before="0" w:after="0" w:line="360" w:lineRule="auto"/>
              <w:ind w:right="0" w:firstLine="480" w:firstLineChars="200"/>
              <w:rPr>
                <w:rFonts w:hint="eastAsia" w:ascii="宋体" w:hAnsi="宋体"/>
                <w:color w:val="auto"/>
                <w:sz w:val="24"/>
                <w:szCs w:val="24"/>
                <w:highlight w:val="none"/>
              </w:rPr>
            </w:pPr>
            <w:r>
              <w:rPr>
                <w:rFonts w:hint="eastAsia"/>
                <w:color w:val="auto"/>
                <w:sz w:val="24"/>
                <w:szCs w:val="24"/>
                <w:highlight w:val="none"/>
              </w:rPr>
              <w:t>⑤</w:t>
            </w:r>
            <w:r>
              <w:rPr>
                <w:rFonts w:hint="eastAsia" w:ascii="宋体" w:hAnsi="宋体"/>
                <w:color w:val="auto"/>
                <w:sz w:val="24"/>
                <w:szCs w:val="24"/>
                <w:highlight w:val="none"/>
              </w:rPr>
              <w:t>定期检查厂区电路，防止电路老化引起火灾事故。</w:t>
            </w:r>
          </w:p>
          <w:p>
            <w:pPr>
              <w:pStyle w:val="8"/>
              <w:spacing w:before="0" w:after="0" w:line="360" w:lineRule="auto"/>
              <w:ind w:right="0" w:firstLine="480" w:firstLineChars="200"/>
              <w:rPr>
                <w:color w:val="auto"/>
                <w:sz w:val="24"/>
                <w:szCs w:val="24"/>
                <w:highlight w:val="none"/>
              </w:rPr>
            </w:pPr>
            <w:r>
              <w:rPr>
                <w:rFonts w:hint="eastAsia"/>
                <w:color w:val="auto"/>
                <w:sz w:val="24"/>
                <w:szCs w:val="24"/>
                <w:highlight w:val="none"/>
              </w:rPr>
              <w:t>⑥定期检查天然气管道，防止管道老化引起爆炸等事故。</w:t>
            </w:r>
          </w:p>
          <w:p>
            <w:pPr>
              <w:pStyle w:val="8"/>
              <w:spacing w:before="0" w:after="0" w:line="360" w:lineRule="auto"/>
              <w:ind w:right="0" w:firstLine="480" w:firstLineChars="200"/>
              <w:rPr>
                <w:rFonts w:hint="default" w:eastAsia="宋体"/>
                <w:color w:val="auto"/>
                <w:sz w:val="24"/>
                <w:szCs w:val="24"/>
                <w:highlight w:val="none"/>
                <w:lang w:val="en-US" w:eastAsia="zh-CN"/>
              </w:rPr>
            </w:pPr>
            <w:r>
              <w:rPr>
                <w:rFonts w:hint="eastAsia"/>
                <w:color w:val="auto"/>
                <w:sz w:val="24"/>
                <w:szCs w:val="24"/>
                <w:highlight w:val="none"/>
              </w:rPr>
              <w:t xml:space="preserve">⑦设置必要的事故照明，疏散指示标志及疏导灯设施。 </w:t>
            </w:r>
          </w:p>
          <w:p>
            <w:pPr>
              <w:pStyle w:val="8"/>
              <w:spacing w:before="0" w:after="0" w:line="360" w:lineRule="auto"/>
              <w:ind w:right="0" w:firstLine="482" w:firstLineChars="200"/>
              <w:rPr>
                <w:rFonts w:hint="eastAsia"/>
                <w:b/>
                <w:bCs/>
                <w:color w:val="auto"/>
                <w:sz w:val="24"/>
                <w:szCs w:val="24"/>
                <w:highlight w:val="none"/>
              </w:rPr>
            </w:pPr>
            <w:r>
              <w:rPr>
                <w:rFonts w:hint="eastAsia"/>
                <w:b/>
                <w:bCs/>
                <w:color w:val="auto"/>
                <w:sz w:val="24"/>
                <w:szCs w:val="24"/>
                <w:highlight w:val="none"/>
              </w:rPr>
              <w:t>（2）泄漏风险防范措施</w:t>
            </w:r>
          </w:p>
          <w:p>
            <w:pPr>
              <w:pStyle w:val="8"/>
              <w:spacing w:before="0" w:after="0" w:line="360" w:lineRule="auto"/>
              <w:ind w:right="0" w:firstLine="480" w:firstLineChars="200"/>
              <w:rPr>
                <w:color w:val="auto"/>
                <w:sz w:val="24"/>
                <w:szCs w:val="24"/>
                <w:highlight w:val="none"/>
              </w:rPr>
            </w:pPr>
            <w:r>
              <w:rPr>
                <w:rFonts w:hint="eastAsia"/>
                <w:color w:val="auto"/>
                <w:sz w:val="24"/>
                <w:szCs w:val="24"/>
                <w:highlight w:val="none"/>
              </w:rPr>
              <w:t>①严格按照相关设计规范和要求落实防护设施，制定安全操作规章制度，加强安全意识教育，加强监督管理，严禁烟火，消除事故隐患。</w:t>
            </w:r>
          </w:p>
          <w:p>
            <w:pPr>
              <w:pStyle w:val="8"/>
              <w:spacing w:before="0" w:after="0" w:line="360" w:lineRule="auto"/>
              <w:ind w:right="0" w:firstLine="480" w:firstLineChars="200"/>
              <w:rPr>
                <w:color w:val="auto"/>
                <w:sz w:val="24"/>
                <w:szCs w:val="24"/>
                <w:highlight w:val="none"/>
              </w:rPr>
            </w:pPr>
            <w:r>
              <w:rPr>
                <w:rFonts w:hint="eastAsia"/>
                <w:color w:val="auto"/>
                <w:sz w:val="24"/>
                <w:szCs w:val="24"/>
                <w:highlight w:val="none"/>
              </w:rPr>
              <w:t>②做好化学试剂品及危化品的管理：按照国务院令（2011年）第591号《危险化学品安全管理条例》相关要求加强安全防护；明确化学试剂管理部门、负责人，分类存放，定期检查其完好性，如发现损坏，需及时更换。</w:t>
            </w:r>
          </w:p>
          <w:p>
            <w:pPr>
              <w:pStyle w:val="8"/>
              <w:spacing w:before="0" w:after="0" w:line="360" w:lineRule="auto"/>
              <w:ind w:right="0" w:firstLine="480" w:firstLineChars="200"/>
              <w:rPr>
                <w:rFonts w:hint="eastAsia"/>
                <w:color w:val="auto"/>
                <w:sz w:val="24"/>
                <w:szCs w:val="24"/>
                <w:highlight w:val="none"/>
              </w:rPr>
            </w:pPr>
            <w:r>
              <w:rPr>
                <w:rFonts w:hint="eastAsia"/>
                <w:color w:val="auto"/>
                <w:sz w:val="24"/>
                <w:szCs w:val="24"/>
                <w:highlight w:val="none"/>
              </w:rPr>
              <w:t>③各类化学品和危险废物按要求分类存放并设置警示标识；涉及到有毒有害物质储存的房间地面（危废暂存间</w:t>
            </w:r>
            <w:r>
              <w:rPr>
                <w:rFonts w:hint="eastAsia"/>
                <w:color w:val="auto"/>
                <w:sz w:val="24"/>
                <w:szCs w:val="24"/>
                <w:highlight w:val="none"/>
                <w:lang w:eastAsia="zh-CN"/>
              </w:rPr>
              <w:t>、</w:t>
            </w:r>
            <w:r>
              <w:rPr>
                <w:rFonts w:hint="eastAsia"/>
                <w:color w:val="auto"/>
                <w:sz w:val="24"/>
                <w:highlight w:val="none"/>
                <w:lang w:val="en-US" w:eastAsia="zh-CN"/>
              </w:rPr>
              <w:t>污水处理站加药间</w:t>
            </w:r>
            <w:r>
              <w:rPr>
                <w:rFonts w:hint="eastAsia"/>
                <w:color w:val="auto"/>
                <w:sz w:val="24"/>
                <w:szCs w:val="24"/>
                <w:highlight w:val="none"/>
              </w:rPr>
              <w:t>等）按照本报告提出的分区防渗要求，采用防渗硬化处理，并设置10cm围堰；危废采用专用容器储存且下方设置防渗托盘，并设置应急事故池作应急收容设施。</w:t>
            </w:r>
          </w:p>
          <w:p>
            <w:pPr>
              <w:pStyle w:val="8"/>
              <w:spacing w:before="0" w:after="0" w:line="360" w:lineRule="auto"/>
              <w:ind w:right="0" w:firstLine="480" w:firstLineChars="200"/>
              <w:rPr>
                <w:color w:val="auto"/>
                <w:sz w:val="24"/>
                <w:szCs w:val="24"/>
                <w:highlight w:val="none"/>
              </w:rPr>
            </w:pPr>
            <w:r>
              <w:rPr>
                <w:rFonts w:hint="eastAsia"/>
                <w:color w:val="auto"/>
                <w:sz w:val="24"/>
                <w:szCs w:val="24"/>
                <w:highlight w:val="none"/>
              </w:rPr>
              <w:t>④存放危险化学品的房间必须通过消防、安全验收，配备专业技术人员负责管理，同时配备必要的个人防护用品。</w:t>
            </w:r>
          </w:p>
          <w:p>
            <w:pPr>
              <w:pStyle w:val="8"/>
              <w:spacing w:before="0" w:after="0" w:line="360" w:lineRule="auto"/>
              <w:ind w:right="0" w:firstLine="480" w:firstLineChars="200"/>
              <w:rPr>
                <w:rFonts w:hint="eastAsia"/>
                <w:color w:val="auto"/>
                <w:sz w:val="24"/>
                <w:szCs w:val="24"/>
                <w:highlight w:val="none"/>
              </w:rPr>
            </w:pPr>
            <w:r>
              <w:rPr>
                <w:rFonts w:hint="eastAsia"/>
                <w:color w:val="auto"/>
                <w:sz w:val="24"/>
                <w:szCs w:val="24"/>
                <w:highlight w:val="none"/>
              </w:rPr>
              <w:t>⑤加强各类化学品的运输、装卸、使用、贮存管理，避免跑冒滴漏。危化品运输应由专业运输资质的单位采用专用车辆进行，运输路线需按规定行驶。</w:t>
            </w:r>
          </w:p>
          <w:p>
            <w:pPr>
              <w:pStyle w:val="8"/>
              <w:spacing w:before="0" w:after="0" w:line="360" w:lineRule="auto"/>
              <w:ind w:right="0" w:firstLine="480" w:firstLineChars="200"/>
              <w:rPr>
                <w:color w:val="auto"/>
                <w:sz w:val="24"/>
                <w:szCs w:val="24"/>
                <w:highlight w:val="none"/>
              </w:rPr>
            </w:pPr>
            <w:r>
              <w:rPr>
                <w:rFonts w:hint="eastAsia"/>
                <w:color w:val="auto"/>
                <w:sz w:val="24"/>
                <w:szCs w:val="24"/>
                <w:highlight w:val="none"/>
              </w:rPr>
              <w:t>⑥</w:t>
            </w:r>
            <w:r>
              <w:rPr>
                <w:color w:val="auto"/>
                <w:sz w:val="24"/>
                <w:highlight w:val="none"/>
              </w:rPr>
              <w:t>建议天然气管道分段设置安全阀门，</w:t>
            </w:r>
            <w:r>
              <w:rPr>
                <w:rFonts w:hint="eastAsia"/>
                <w:color w:val="auto"/>
                <w:sz w:val="24"/>
                <w:szCs w:val="24"/>
                <w:highlight w:val="none"/>
              </w:rPr>
              <w:t>定期检查天然气管道，防止管道老化引起泄露等事故。</w:t>
            </w:r>
          </w:p>
          <w:p>
            <w:pPr>
              <w:pStyle w:val="8"/>
              <w:spacing w:before="0" w:after="0" w:line="360" w:lineRule="auto"/>
              <w:ind w:right="0" w:firstLine="480" w:firstLineChars="200"/>
              <w:rPr>
                <w:rFonts w:hint="eastAsia"/>
                <w:color w:val="auto"/>
                <w:sz w:val="24"/>
                <w:szCs w:val="24"/>
                <w:highlight w:val="none"/>
              </w:rPr>
            </w:pPr>
            <w:r>
              <w:rPr>
                <w:rFonts w:hint="eastAsia"/>
                <w:color w:val="auto"/>
                <w:sz w:val="24"/>
                <w:szCs w:val="24"/>
                <w:highlight w:val="none"/>
              </w:rPr>
              <w:t>⑦加强作业时巡视检查。建立系统规范的评估、审批、作业、监护、救援、应急程序、事故报告等管理制度。</w:t>
            </w:r>
          </w:p>
          <w:p>
            <w:pPr>
              <w:pStyle w:val="8"/>
              <w:spacing w:before="0" w:after="0" w:line="360" w:lineRule="auto"/>
              <w:ind w:right="0" w:firstLine="480" w:firstLineChars="200"/>
              <w:rPr>
                <w:rFonts w:hint="eastAsia" w:eastAsia="宋体"/>
                <w:color w:val="auto"/>
                <w:sz w:val="24"/>
                <w:szCs w:val="24"/>
                <w:highlight w:val="none"/>
                <w:lang w:eastAsia="zh-CN"/>
              </w:rPr>
            </w:pPr>
            <w:r>
              <w:rPr>
                <w:rFonts w:hint="eastAsia"/>
                <w:color w:val="auto"/>
                <w:sz w:val="24"/>
                <w:szCs w:val="24"/>
                <w:highlight w:val="none"/>
              </w:rPr>
              <w:t>⑧制冷剂在充装过程中，必须严格遵守气瓶充装的相关规定</w:t>
            </w:r>
            <w:r>
              <w:rPr>
                <w:rFonts w:hint="eastAsia"/>
                <w:color w:val="auto"/>
                <w:sz w:val="24"/>
                <w:szCs w:val="24"/>
                <w:highlight w:val="none"/>
                <w:lang w:eastAsia="zh-CN"/>
              </w:rPr>
              <w:t>。</w:t>
            </w:r>
          </w:p>
          <w:p>
            <w:pPr>
              <w:pStyle w:val="8"/>
              <w:spacing w:before="0" w:after="0" w:line="360" w:lineRule="auto"/>
              <w:ind w:right="0" w:firstLine="480" w:firstLineChars="200"/>
              <w:rPr>
                <w:rFonts w:hint="eastAsia"/>
                <w:color w:val="auto"/>
                <w:sz w:val="24"/>
                <w:szCs w:val="24"/>
                <w:highlight w:val="none"/>
              </w:rPr>
            </w:pPr>
            <w:r>
              <w:rPr>
                <w:rFonts w:hint="eastAsia"/>
                <w:color w:val="auto"/>
                <w:sz w:val="24"/>
                <w:szCs w:val="24"/>
                <w:highlight w:val="none"/>
                <w:lang w:val="en-US" w:eastAsia="zh-CN"/>
              </w:rPr>
              <w:t>⑨</w:t>
            </w:r>
            <w:r>
              <w:rPr>
                <w:rFonts w:hint="eastAsia"/>
                <w:color w:val="auto"/>
                <w:sz w:val="24"/>
                <w:szCs w:val="24"/>
                <w:highlight w:val="none"/>
              </w:rPr>
              <w:t>雨水管网</w:t>
            </w:r>
            <w:r>
              <w:rPr>
                <w:rFonts w:hint="eastAsia"/>
                <w:color w:val="auto"/>
                <w:sz w:val="24"/>
                <w:szCs w:val="24"/>
                <w:highlight w:val="none"/>
                <w:lang w:eastAsia="zh-CN"/>
              </w:rPr>
              <w:t>、</w:t>
            </w:r>
            <w:r>
              <w:rPr>
                <w:rFonts w:hint="eastAsia"/>
                <w:color w:val="auto"/>
                <w:sz w:val="24"/>
                <w:szCs w:val="24"/>
                <w:highlight w:val="none"/>
                <w:lang w:val="en-US" w:eastAsia="zh-CN"/>
              </w:rPr>
              <w:t>污水管网</w:t>
            </w:r>
            <w:r>
              <w:rPr>
                <w:rFonts w:hint="eastAsia"/>
                <w:color w:val="auto"/>
                <w:sz w:val="24"/>
                <w:szCs w:val="24"/>
                <w:highlight w:val="none"/>
              </w:rPr>
              <w:t>设置截断措施，发生火灾事故时立即关闭出厂雨水管道</w:t>
            </w:r>
            <w:r>
              <w:rPr>
                <w:rFonts w:hint="eastAsia"/>
                <w:color w:val="auto"/>
                <w:sz w:val="24"/>
                <w:szCs w:val="24"/>
                <w:highlight w:val="none"/>
                <w:lang w:val="en-US" w:eastAsia="zh-CN"/>
              </w:rPr>
              <w:t>和污水管道</w:t>
            </w:r>
            <w:r>
              <w:rPr>
                <w:rFonts w:hint="eastAsia"/>
                <w:color w:val="auto"/>
                <w:sz w:val="24"/>
                <w:szCs w:val="24"/>
                <w:highlight w:val="none"/>
              </w:rPr>
              <w:t>，关闭雨水</w:t>
            </w:r>
            <w:r>
              <w:rPr>
                <w:rFonts w:hint="eastAsia"/>
                <w:color w:val="auto"/>
                <w:sz w:val="24"/>
                <w:szCs w:val="24"/>
                <w:highlight w:val="none"/>
                <w:lang w:val="en-US" w:eastAsia="zh-CN"/>
              </w:rPr>
              <w:t>和污水</w:t>
            </w:r>
            <w:r>
              <w:rPr>
                <w:rFonts w:hint="eastAsia"/>
                <w:color w:val="auto"/>
                <w:sz w:val="24"/>
                <w:szCs w:val="24"/>
                <w:highlight w:val="none"/>
              </w:rPr>
              <w:t>截止阀，以杜绝事故废水外流。消防废水通过管道进入应急事故池，处理后排入市政管网，禁止直接排放消防废水。</w:t>
            </w:r>
          </w:p>
          <w:p>
            <w:pPr>
              <w:pStyle w:val="8"/>
              <w:spacing w:before="0" w:after="0" w:line="360" w:lineRule="auto"/>
              <w:ind w:right="0"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rPr>
              <w:t>）化学药品的管理</w:t>
            </w:r>
            <w:r>
              <w:rPr>
                <w:rFonts w:hint="eastAsia" w:ascii="Times New Roman" w:hAnsi="Times New Roman" w:eastAsia="宋体" w:cs="Times New Roman"/>
                <w:b/>
                <w:bCs/>
                <w:color w:val="auto"/>
                <w:sz w:val="24"/>
                <w:szCs w:val="24"/>
                <w:highlight w:val="none"/>
                <w:lang w:val="en-US" w:eastAsia="zh-CN"/>
              </w:rPr>
              <w:t>措施</w:t>
            </w:r>
          </w:p>
          <w:p>
            <w:pPr>
              <w:pStyle w:val="8"/>
              <w:spacing w:before="0" w:after="0" w:line="360" w:lineRule="auto"/>
              <w:ind w:right="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①</w:t>
            </w:r>
            <w:r>
              <w:rPr>
                <w:rFonts w:hint="eastAsia" w:ascii="Times New Roman" w:hAnsi="Times New Roman" w:eastAsia="宋体" w:cs="Times New Roman"/>
                <w:color w:val="auto"/>
                <w:sz w:val="24"/>
                <w:szCs w:val="24"/>
                <w:highlight w:val="none"/>
              </w:rPr>
              <w:t>化学药品必须根据化学性质分类存放，易燃、易爆、剧毒、强腐蚀品不得混放。</w:t>
            </w:r>
          </w:p>
          <w:p>
            <w:pPr>
              <w:pStyle w:val="8"/>
              <w:spacing w:before="0" w:after="0" w:line="360" w:lineRule="auto"/>
              <w:ind w:right="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②</w:t>
            </w:r>
            <w:r>
              <w:rPr>
                <w:rFonts w:hint="eastAsia" w:ascii="Times New Roman" w:hAnsi="Times New Roman" w:eastAsia="宋体" w:cs="Times New Roman"/>
                <w:color w:val="auto"/>
                <w:sz w:val="24"/>
                <w:szCs w:val="24"/>
                <w:highlight w:val="none"/>
              </w:rPr>
              <w:t>化学药品要存放在专用柜内，有存放专用柜的储藏室；有阴凉、通风、防潮、避光等条件；有防火防盗安全设施。</w:t>
            </w:r>
          </w:p>
          <w:p>
            <w:pPr>
              <w:pStyle w:val="8"/>
              <w:spacing w:before="0" w:after="0" w:line="360" w:lineRule="auto"/>
              <w:ind w:right="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③</w:t>
            </w:r>
            <w:r>
              <w:rPr>
                <w:rFonts w:hint="eastAsia" w:ascii="Times New Roman" w:hAnsi="Times New Roman" w:eastAsia="宋体" w:cs="Times New Roman"/>
                <w:color w:val="auto"/>
                <w:sz w:val="24"/>
                <w:szCs w:val="24"/>
                <w:highlight w:val="none"/>
              </w:rPr>
              <w:t>所有药品必须有明显的标志。对字迹不清的标签要及时更换，对过期失效和没有标签的药品不准使用，并要进行妥善处理。</w:t>
            </w:r>
          </w:p>
          <w:p>
            <w:pPr>
              <w:pStyle w:val="8"/>
              <w:spacing w:before="0" w:after="0" w:line="360" w:lineRule="auto"/>
              <w:ind w:right="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④</w:t>
            </w:r>
            <w:r>
              <w:rPr>
                <w:rFonts w:hint="eastAsia" w:ascii="Times New Roman" w:hAnsi="Times New Roman" w:eastAsia="宋体" w:cs="Times New Roman"/>
                <w:color w:val="auto"/>
                <w:sz w:val="24"/>
                <w:szCs w:val="24"/>
                <w:highlight w:val="none"/>
              </w:rPr>
              <w:t>试验药剂容器都要有标签，对分装的药品在容器标签上要注明名称、规格、浓度；无标签或标签无法辩认的试剂都要当成危险物品重新鉴别后小心处理，不可随便乱扔，以免引起严重后果。实验室中摆放的药品如长期不用，应放到库房，统一管理。各类化学品按要求分类存放并设置警示标识。</w:t>
            </w:r>
          </w:p>
          <w:p>
            <w:pPr>
              <w:pStyle w:val="8"/>
              <w:spacing w:before="0" w:after="0" w:line="360" w:lineRule="auto"/>
              <w:ind w:right="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⑤</w:t>
            </w:r>
            <w:r>
              <w:rPr>
                <w:rFonts w:hint="eastAsia" w:ascii="Times New Roman" w:hAnsi="Times New Roman" w:eastAsia="宋体" w:cs="Times New Roman"/>
                <w:color w:val="auto"/>
                <w:sz w:val="24"/>
                <w:szCs w:val="24"/>
                <w:highlight w:val="none"/>
              </w:rPr>
              <w:t>化学药品盛装容器应封闭，防止漏气、潮解。见光容易起变化的化学药品应装在深色的玻璃容器或避光的容器里，对化学药品包装和药品质量要定期检查。</w:t>
            </w:r>
          </w:p>
          <w:p>
            <w:pPr>
              <w:pStyle w:val="8"/>
              <w:spacing w:before="0" w:after="0" w:line="360" w:lineRule="auto"/>
              <w:ind w:right="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⑥</w:t>
            </w:r>
            <w:r>
              <w:rPr>
                <w:rFonts w:hint="eastAsia" w:ascii="Times New Roman" w:hAnsi="Times New Roman" w:eastAsia="宋体" w:cs="Times New Roman"/>
                <w:color w:val="auto"/>
                <w:sz w:val="24"/>
                <w:szCs w:val="24"/>
                <w:highlight w:val="none"/>
              </w:rPr>
              <w:t>要加强对火源的管理。化学药品储藏室周围及内部严禁火源；实验室的火源要远离易燃、易爆物品，有火源时，不能离人。</w:t>
            </w:r>
          </w:p>
          <w:p>
            <w:pPr>
              <w:pStyle w:val="8"/>
              <w:spacing w:before="0" w:after="0" w:line="360" w:lineRule="auto"/>
              <w:ind w:right="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⑦</w:t>
            </w:r>
            <w:r>
              <w:rPr>
                <w:rFonts w:hint="eastAsia" w:ascii="Times New Roman" w:hAnsi="Times New Roman" w:eastAsia="宋体" w:cs="Times New Roman"/>
                <w:color w:val="auto"/>
                <w:sz w:val="24"/>
                <w:szCs w:val="24"/>
                <w:highlight w:val="none"/>
              </w:rPr>
              <w:t>当试剂柜内发生少量泄漏时，采用托盘收集，实验室内发生少量泄漏时，采用砂土吸附，应急处置产生的固废/废液委托有资质的危废单位处置。</w:t>
            </w:r>
          </w:p>
          <w:p>
            <w:pPr>
              <w:pStyle w:val="8"/>
              <w:spacing w:before="0" w:after="0" w:line="360" w:lineRule="auto"/>
              <w:ind w:right="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⑧</w:t>
            </w:r>
            <w:r>
              <w:rPr>
                <w:rFonts w:hint="eastAsia" w:ascii="Times New Roman" w:hAnsi="Times New Roman" w:eastAsia="宋体" w:cs="Times New Roman"/>
                <w:color w:val="auto"/>
                <w:sz w:val="24"/>
                <w:szCs w:val="24"/>
                <w:highlight w:val="none"/>
              </w:rPr>
              <w:t>各类化学品由药品管理员专人负责，药品库需建立《危险化学品管理制度》并按制度执行；根据《危险化学品管理条例》需建立完善明晰的危险化学品台账。</w:t>
            </w:r>
          </w:p>
          <w:p>
            <w:pPr>
              <w:pStyle w:val="8"/>
              <w:spacing w:before="0" w:after="0" w:line="360" w:lineRule="auto"/>
              <w:ind w:right="0" w:firstLine="482" w:firstLineChars="200"/>
              <w:jc w:val="left"/>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污水事故防范措施</w:t>
            </w:r>
          </w:p>
          <w:p>
            <w:pPr>
              <w:pStyle w:val="8"/>
              <w:spacing w:before="0" w:after="0" w:line="360" w:lineRule="auto"/>
              <w:ind w:right="0" w:firstLine="480" w:firstLineChars="200"/>
              <w:jc w:val="left"/>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①</w:t>
            </w:r>
            <w:r>
              <w:rPr>
                <w:rFonts w:hint="eastAsia" w:ascii="Times New Roman" w:hAnsi="Times New Roman" w:eastAsia="宋体" w:cs="Times New Roman"/>
                <w:b w:val="0"/>
                <w:bCs w:val="0"/>
                <w:color w:val="auto"/>
                <w:sz w:val="24"/>
                <w:szCs w:val="24"/>
                <w:highlight w:val="none"/>
              </w:rPr>
              <w:t>落实源头消减废物产生的清洁生产措施，制定有关制度保证其良好运行，以降低水耗及各种废水污染物的发生量，确保污水达标排放。</w:t>
            </w:r>
          </w:p>
          <w:p>
            <w:pPr>
              <w:pStyle w:val="8"/>
              <w:spacing w:before="0" w:after="0" w:line="360" w:lineRule="auto"/>
              <w:ind w:right="0" w:firstLine="480" w:firstLineChars="200"/>
              <w:jc w:val="left"/>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②对污水处理站的管理和运营人员进行培训，废水处理必须严格按照规定操作。</w:t>
            </w:r>
          </w:p>
          <w:p>
            <w:pPr>
              <w:pStyle w:val="8"/>
              <w:spacing w:before="0" w:after="0" w:line="360" w:lineRule="auto"/>
              <w:ind w:right="0" w:firstLine="480" w:firstLineChars="200"/>
              <w:jc w:val="left"/>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③若污水处理站出现事故或超标排放，企业必须立即停产，待解决后再继续生产。</w:t>
            </w:r>
          </w:p>
          <w:p>
            <w:pPr>
              <w:pStyle w:val="8"/>
              <w:spacing w:before="0" w:after="0" w:line="360" w:lineRule="auto"/>
              <w:ind w:right="0" w:firstLine="482" w:firstLineChars="200"/>
              <w:jc w:val="left"/>
              <w:rPr>
                <w:b/>
                <w:bCs/>
                <w:color w:val="auto"/>
                <w:sz w:val="24"/>
                <w:szCs w:val="24"/>
                <w:highlight w:val="none"/>
              </w:rPr>
            </w:pPr>
            <w:r>
              <w:rPr>
                <w:rFonts w:hint="eastAsia"/>
                <w:b/>
                <w:bCs/>
                <w:color w:val="auto"/>
                <w:sz w:val="24"/>
                <w:szCs w:val="24"/>
                <w:highlight w:val="none"/>
              </w:rPr>
              <w:t>（</w:t>
            </w:r>
            <w:r>
              <w:rPr>
                <w:rFonts w:hint="eastAsia"/>
                <w:b/>
                <w:bCs/>
                <w:color w:val="auto"/>
                <w:sz w:val="24"/>
                <w:szCs w:val="24"/>
                <w:highlight w:val="none"/>
                <w:lang w:val="en-US" w:eastAsia="zh-CN"/>
              </w:rPr>
              <w:t>5</w:t>
            </w:r>
            <w:r>
              <w:rPr>
                <w:rFonts w:hint="eastAsia"/>
                <w:b/>
                <w:bCs/>
                <w:color w:val="auto"/>
                <w:sz w:val="24"/>
                <w:szCs w:val="24"/>
                <w:highlight w:val="none"/>
              </w:rPr>
              <w:t>）</w:t>
            </w:r>
            <w:r>
              <w:rPr>
                <w:b/>
                <w:bCs/>
                <w:color w:val="auto"/>
                <w:sz w:val="24"/>
                <w:szCs w:val="24"/>
                <w:highlight w:val="none"/>
              </w:rPr>
              <w:t>其</w:t>
            </w:r>
            <w:r>
              <w:rPr>
                <w:rFonts w:hint="eastAsia"/>
                <w:b/>
                <w:bCs/>
                <w:color w:val="auto"/>
                <w:sz w:val="24"/>
                <w:szCs w:val="24"/>
                <w:highlight w:val="none"/>
              </w:rPr>
              <w:t>他风险防范措施</w:t>
            </w:r>
          </w:p>
          <w:p>
            <w:pPr>
              <w:pStyle w:val="8"/>
              <w:spacing w:before="0" w:after="0" w:line="360" w:lineRule="auto"/>
              <w:ind w:right="0" w:firstLine="480" w:firstLineChars="200"/>
              <w:jc w:val="left"/>
              <w:rPr>
                <w:color w:val="auto"/>
                <w:sz w:val="24"/>
                <w:szCs w:val="24"/>
                <w:highlight w:val="none"/>
              </w:rPr>
            </w:pPr>
            <w:r>
              <w:rPr>
                <w:color w:val="auto"/>
                <w:sz w:val="24"/>
                <w:szCs w:val="24"/>
                <w:highlight w:val="none"/>
              </w:rPr>
              <w:t>①企业必须建立完善的安全卫生管理体系。应按职业安全卫生管理体系的需要，设置必要的安全卫生管理机构，配备相应的专（兼）职管理、检查、安全卫生教育、检测人员。企业必须建立健全各种安全管理制度和规程，建立各种安全管理台账和记录。</w:t>
            </w:r>
          </w:p>
          <w:p>
            <w:pPr>
              <w:pStyle w:val="8"/>
              <w:spacing w:before="0" w:after="0" w:line="360" w:lineRule="auto"/>
              <w:ind w:right="0" w:firstLine="480" w:firstLineChars="200"/>
              <w:jc w:val="left"/>
              <w:rPr>
                <w:color w:val="auto"/>
                <w:sz w:val="24"/>
                <w:szCs w:val="24"/>
                <w:highlight w:val="none"/>
              </w:rPr>
            </w:pPr>
            <w:r>
              <w:rPr>
                <w:color w:val="auto"/>
                <w:sz w:val="24"/>
                <w:szCs w:val="24"/>
                <w:highlight w:val="none"/>
              </w:rPr>
              <w:t>②按照有关规定配备劳动防护设施，发放劳动防护用品。劳动防护设施和用品应定期检查、更换。</w:t>
            </w:r>
          </w:p>
          <w:p>
            <w:pPr>
              <w:pStyle w:val="8"/>
              <w:spacing w:before="0" w:after="0" w:line="360" w:lineRule="auto"/>
              <w:ind w:right="0" w:firstLine="480" w:firstLineChars="200"/>
              <w:jc w:val="left"/>
              <w:rPr>
                <w:color w:val="auto"/>
                <w:sz w:val="24"/>
                <w:szCs w:val="24"/>
                <w:highlight w:val="none"/>
              </w:rPr>
            </w:pPr>
            <w:r>
              <w:rPr>
                <w:color w:val="auto"/>
                <w:sz w:val="24"/>
                <w:szCs w:val="24"/>
                <w:highlight w:val="none"/>
              </w:rPr>
              <w:t>③制定完善事故应急预案，发生灾害后按有关规定第一时间上报，如发生泄漏事故，及时处理，将灾害损失降至最低。</w:t>
            </w:r>
          </w:p>
          <w:p>
            <w:pPr>
              <w:pStyle w:val="8"/>
              <w:spacing w:before="0" w:after="0" w:line="360" w:lineRule="auto"/>
              <w:ind w:right="0" w:firstLine="480" w:firstLineChars="200"/>
              <w:jc w:val="left"/>
              <w:rPr>
                <w:color w:val="auto"/>
                <w:sz w:val="24"/>
                <w:szCs w:val="24"/>
                <w:highlight w:val="none"/>
              </w:rPr>
            </w:pPr>
            <w:r>
              <w:rPr>
                <w:color w:val="auto"/>
                <w:sz w:val="24"/>
                <w:szCs w:val="24"/>
                <w:highlight w:val="none"/>
              </w:rPr>
              <w:t>④成立应急安全领导小组，明确分工，在出现事故时，及时消除事故隐患</w:t>
            </w:r>
            <w:r>
              <w:rPr>
                <w:rFonts w:hint="eastAsia"/>
                <w:color w:val="auto"/>
                <w:sz w:val="24"/>
                <w:szCs w:val="24"/>
                <w:highlight w:val="none"/>
              </w:rPr>
              <w:t>。</w:t>
            </w:r>
          </w:p>
          <w:p>
            <w:pPr>
              <w:pStyle w:val="8"/>
              <w:spacing w:before="0" w:after="0" w:line="360" w:lineRule="auto"/>
              <w:ind w:right="0" w:firstLine="480" w:firstLineChars="200"/>
              <w:jc w:val="left"/>
              <w:rPr>
                <w:color w:val="auto"/>
                <w:sz w:val="24"/>
                <w:szCs w:val="24"/>
                <w:highlight w:val="none"/>
              </w:rPr>
            </w:pPr>
            <w:r>
              <w:rPr>
                <w:color w:val="auto"/>
                <w:sz w:val="24"/>
                <w:szCs w:val="24"/>
                <w:highlight w:val="none"/>
              </w:rPr>
              <w:t>⑤采用现代化安全管理方法，推行安全科学管理，不断提高安全管理水平和预控能力，防止各种事故的发生。</w:t>
            </w:r>
          </w:p>
          <w:p>
            <w:pPr>
              <w:pStyle w:val="8"/>
              <w:spacing w:before="0" w:after="0" w:line="360" w:lineRule="auto"/>
              <w:ind w:right="0" w:firstLine="480" w:firstLineChars="200"/>
              <w:jc w:val="left"/>
              <w:rPr>
                <w:color w:val="auto"/>
                <w:sz w:val="24"/>
                <w:szCs w:val="24"/>
                <w:highlight w:val="none"/>
              </w:rPr>
            </w:pPr>
            <w:r>
              <w:rPr>
                <w:rFonts w:hint="eastAsia"/>
                <w:color w:val="auto"/>
                <w:sz w:val="24"/>
                <w:szCs w:val="24"/>
                <w:highlight w:val="none"/>
              </w:rPr>
              <w:t>⑥加强职工管理，进行必要的安全消防教育，并做好个人防护，加强职工培训，提高应急处理能力。</w:t>
            </w:r>
          </w:p>
          <w:p>
            <w:pPr>
              <w:pStyle w:val="8"/>
              <w:spacing w:before="0" w:after="0" w:line="360" w:lineRule="auto"/>
              <w:ind w:right="0" w:firstLine="482" w:firstLineChars="200"/>
              <w:jc w:val="left"/>
              <w:rPr>
                <w:color w:val="auto"/>
                <w:sz w:val="24"/>
                <w:szCs w:val="24"/>
                <w:highlight w:val="none"/>
              </w:rPr>
            </w:pPr>
            <w:r>
              <w:rPr>
                <w:rFonts w:hint="eastAsia"/>
                <w:b/>
                <w:bCs/>
                <w:color w:val="auto"/>
                <w:sz w:val="24"/>
                <w:szCs w:val="24"/>
                <w:highlight w:val="none"/>
              </w:rPr>
              <w:t>5、应急要求</w:t>
            </w:r>
          </w:p>
          <w:p>
            <w:pPr>
              <w:pStyle w:val="8"/>
              <w:spacing w:before="0" w:after="0" w:line="360" w:lineRule="auto"/>
              <w:ind w:right="0" w:firstLine="480" w:firstLineChars="200"/>
              <w:jc w:val="left"/>
              <w:rPr>
                <w:color w:val="auto"/>
                <w:sz w:val="24"/>
                <w:szCs w:val="24"/>
                <w:highlight w:val="none"/>
              </w:rPr>
            </w:pPr>
            <w:r>
              <w:rPr>
                <w:rFonts w:hint="eastAsia"/>
                <w:color w:val="auto"/>
                <w:sz w:val="24"/>
                <w:szCs w:val="24"/>
                <w:highlight w:val="none"/>
              </w:rPr>
              <w:t>（1）</w:t>
            </w:r>
            <w:r>
              <w:rPr>
                <w:color w:val="auto"/>
                <w:sz w:val="24"/>
                <w:szCs w:val="24"/>
                <w:highlight w:val="none"/>
              </w:rPr>
              <w:t>发生事故后，应急救援小组要及时组织抢险小组进行现场抢险救护，及时控制致灾源；通过采取有效的控制措施迅速排除现场灾患，消除危害。</w:t>
            </w:r>
          </w:p>
          <w:p>
            <w:pPr>
              <w:pStyle w:val="8"/>
              <w:spacing w:before="0" w:after="0" w:line="360" w:lineRule="auto"/>
              <w:ind w:right="0" w:firstLine="480" w:firstLineChars="200"/>
              <w:jc w:val="left"/>
              <w:rPr>
                <w:color w:val="auto"/>
                <w:sz w:val="24"/>
                <w:szCs w:val="24"/>
                <w:highlight w:val="none"/>
              </w:rPr>
            </w:pPr>
            <w:r>
              <w:rPr>
                <w:rFonts w:hint="eastAsia"/>
                <w:color w:val="auto"/>
                <w:sz w:val="24"/>
                <w:szCs w:val="24"/>
                <w:highlight w:val="none"/>
              </w:rPr>
              <w:t>（2）</w:t>
            </w:r>
            <w:r>
              <w:rPr>
                <w:color w:val="auto"/>
                <w:sz w:val="24"/>
                <w:szCs w:val="24"/>
                <w:highlight w:val="none"/>
              </w:rPr>
              <w:t>消防人员可根据</w:t>
            </w:r>
            <w:r>
              <w:rPr>
                <w:rFonts w:hint="eastAsia"/>
                <w:color w:val="auto"/>
                <w:sz w:val="24"/>
                <w:szCs w:val="24"/>
                <w:highlight w:val="none"/>
              </w:rPr>
              <w:t>事故实际</w:t>
            </w:r>
            <w:r>
              <w:rPr>
                <w:color w:val="auto"/>
                <w:sz w:val="24"/>
                <w:szCs w:val="24"/>
                <w:highlight w:val="none"/>
              </w:rPr>
              <w:t>情况采取相应措施；救援指挥小组要在事故发生时及时确定上风向并通知所有在场人员，救护人员和伤者及现场无关人员按安全路线向上风向撤离。在安全距离内小组要及时设立警戒标志或警戒线，防止无关人员擅自进入危险区。</w:t>
            </w:r>
          </w:p>
          <w:p>
            <w:pPr>
              <w:pStyle w:val="8"/>
              <w:spacing w:before="0" w:after="0" w:line="360" w:lineRule="auto"/>
              <w:ind w:right="0" w:firstLine="480" w:firstLineChars="200"/>
              <w:jc w:val="left"/>
              <w:rPr>
                <w:color w:val="auto"/>
                <w:sz w:val="24"/>
                <w:szCs w:val="24"/>
                <w:highlight w:val="none"/>
              </w:rPr>
            </w:pPr>
            <w:r>
              <w:rPr>
                <w:rFonts w:hint="eastAsia"/>
                <w:color w:val="auto"/>
                <w:sz w:val="24"/>
                <w:szCs w:val="24"/>
                <w:highlight w:val="none"/>
              </w:rPr>
              <w:t>（3）事故发生后，及时通知人民政府、生态环境部门等。</w:t>
            </w:r>
          </w:p>
          <w:p>
            <w:pPr>
              <w:pStyle w:val="8"/>
              <w:spacing w:before="0" w:after="0" w:line="360" w:lineRule="auto"/>
              <w:ind w:right="0" w:firstLine="480" w:firstLineChars="200"/>
              <w:jc w:val="left"/>
              <w:rPr>
                <w:rFonts w:hint="eastAsia"/>
                <w:color w:val="auto"/>
                <w:sz w:val="24"/>
                <w:szCs w:val="24"/>
                <w:highlight w:val="none"/>
              </w:rPr>
            </w:pPr>
            <w:r>
              <w:rPr>
                <w:rFonts w:hint="eastAsia"/>
                <w:color w:val="auto"/>
                <w:sz w:val="24"/>
                <w:szCs w:val="24"/>
                <w:highlight w:val="none"/>
              </w:rPr>
              <w:t>（4）当事故得到控制，应尽快实现生产自救，同时核查事故对周围环境造成的影响以及经济损失，组织抢修队伍，确定抢修方案，尽快实施。</w:t>
            </w:r>
          </w:p>
          <w:p>
            <w:pPr>
              <w:pStyle w:val="8"/>
              <w:spacing w:before="0" w:after="0" w:line="360" w:lineRule="auto"/>
              <w:ind w:right="0" w:firstLine="480" w:firstLineChars="200"/>
              <w:jc w:val="left"/>
              <w:rPr>
                <w:rFonts w:hint="eastAsia"/>
                <w:color w:val="auto"/>
                <w:sz w:val="24"/>
                <w:szCs w:val="24"/>
                <w:highlight w:val="none"/>
              </w:rPr>
            </w:pPr>
            <w:r>
              <w:rPr>
                <w:rFonts w:hint="eastAsia"/>
                <w:color w:val="auto"/>
                <w:sz w:val="24"/>
                <w:szCs w:val="24"/>
                <w:highlight w:val="none"/>
              </w:rPr>
              <w:t>（5）事故调查组开展调查，查明原因，总结教训。</w:t>
            </w:r>
          </w:p>
          <w:p>
            <w:pPr>
              <w:pStyle w:val="8"/>
              <w:spacing w:before="0" w:after="0" w:line="360" w:lineRule="auto"/>
              <w:ind w:right="0" w:firstLine="482" w:firstLineChars="200"/>
              <w:jc w:val="left"/>
              <w:rPr>
                <w:rFonts w:hint="eastAsia"/>
                <w:b/>
                <w:bCs/>
                <w:color w:val="auto"/>
                <w:sz w:val="24"/>
                <w:szCs w:val="24"/>
                <w:highlight w:val="none"/>
              </w:rPr>
            </w:pPr>
            <w:r>
              <w:rPr>
                <w:rFonts w:hint="eastAsia"/>
                <w:b/>
                <w:bCs/>
                <w:color w:val="auto"/>
                <w:sz w:val="24"/>
                <w:szCs w:val="24"/>
                <w:highlight w:val="none"/>
              </w:rPr>
              <w:t>6、结论</w:t>
            </w:r>
          </w:p>
          <w:p>
            <w:pPr>
              <w:pStyle w:val="8"/>
              <w:spacing w:before="0" w:after="0" w:line="360" w:lineRule="auto"/>
              <w:ind w:right="0" w:firstLine="480" w:firstLineChars="200"/>
              <w:jc w:val="left"/>
              <w:rPr>
                <w:b/>
                <w:bCs/>
                <w:color w:val="auto"/>
                <w:sz w:val="24"/>
                <w:szCs w:val="24"/>
                <w:highlight w:val="none"/>
              </w:rPr>
            </w:pPr>
            <w:r>
              <w:rPr>
                <w:rFonts w:hint="eastAsia"/>
                <w:color w:val="auto"/>
                <w:sz w:val="24"/>
                <w:szCs w:val="24"/>
                <w:highlight w:val="none"/>
              </w:rPr>
              <w:t>本项目涉及的风险物质主要为机油、</w:t>
            </w:r>
            <w:r>
              <w:rPr>
                <w:rFonts w:hint="eastAsia"/>
                <w:color w:val="auto"/>
                <w:sz w:val="24"/>
                <w:szCs w:val="24"/>
                <w:highlight w:val="none"/>
                <w:lang w:val="en-US" w:eastAsia="zh-CN"/>
              </w:rPr>
              <w:t>硫酸、铬酸钾、盐酸、天然气等</w:t>
            </w:r>
            <w:r>
              <w:rPr>
                <w:rFonts w:hint="eastAsia"/>
                <w:color w:val="auto"/>
                <w:sz w:val="24"/>
                <w:szCs w:val="24"/>
                <w:highlight w:val="none"/>
              </w:rPr>
              <w:t>，危险物质存储量较小，项目风险处于可接受的水平，风险防范措施及应急预案可靠可行。在认真落实各类安全措施和对策后，可将项目的风险发生概率降到最低。</w:t>
            </w:r>
          </w:p>
          <w:p>
            <w:pPr>
              <w:pStyle w:val="8"/>
              <w:spacing w:before="0" w:after="0" w:line="360" w:lineRule="auto"/>
              <w:ind w:right="0"/>
              <w:jc w:val="left"/>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七、三本账</w:t>
            </w:r>
          </w:p>
          <w:p>
            <w:pPr>
              <w:widowControl/>
              <w:spacing w:line="360" w:lineRule="auto"/>
              <w:jc w:val="center"/>
              <w:rPr>
                <w:rFonts w:hint="default" w:eastAsia="宋体"/>
                <w:b/>
                <w:color w:val="auto"/>
                <w:kern w:val="0"/>
                <w:szCs w:val="21"/>
                <w:highlight w:val="none"/>
                <w:lang w:val="en-US" w:eastAsia="zh-CN"/>
              </w:rPr>
            </w:pPr>
            <w:r>
              <w:rPr>
                <w:rFonts w:hint="eastAsia"/>
                <w:b/>
                <w:color w:val="auto"/>
                <w:kern w:val="0"/>
                <w:szCs w:val="21"/>
                <w:highlight w:val="none"/>
              </w:rPr>
              <w:t>表</w:t>
            </w:r>
            <w:r>
              <w:rPr>
                <w:rFonts w:hint="eastAsia"/>
                <w:b/>
                <w:color w:val="auto"/>
                <w:kern w:val="0"/>
                <w:szCs w:val="21"/>
                <w:highlight w:val="none"/>
                <w:lang w:val="en-US" w:eastAsia="zh-CN"/>
              </w:rPr>
              <w:t>4</w:t>
            </w:r>
            <w:r>
              <w:rPr>
                <w:rFonts w:hint="eastAsia"/>
                <w:b/>
                <w:color w:val="auto"/>
                <w:kern w:val="0"/>
                <w:szCs w:val="21"/>
                <w:highlight w:val="none"/>
              </w:rPr>
              <w:t>-</w:t>
            </w:r>
            <w:r>
              <w:rPr>
                <w:rFonts w:hint="eastAsia"/>
                <w:b/>
                <w:color w:val="auto"/>
                <w:kern w:val="0"/>
                <w:szCs w:val="21"/>
                <w:highlight w:val="none"/>
                <w:lang w:val="en-US" w:eastAsia="zh-CN"/>
              </w:rPr>
              <w:t>20</w:t>
            </w:r>
            <w:r>
              <w:rPr>
                <w:rFonts w:hint="eastAsia"/>
                <w:b/>
                <w:color w:val="auto"/>
                <w:kern w:val="0"/>
                <w:szCs w:val="21"/>
                <w:highlight w:val="none"/>
              </w:rPr>
              <w:t xml:space="preserve">  </w:t>
            </w:r>
            <w:r>
              <w:rPr>
                <w:rFonts w:hint="eastAsia"/>
                <w:b/>
                <w:color w:val="auto"/>
                <w:kern w:val="0"/>
                <w:szCs w:val="21"/>
                <w:highlight w:val="none"/>
                <w:lang w:eastAsia="zh-CN"/>
              </w:rPr>
              <w:t>项目扩</w:t>
            </w:r>
            <w:r>
              <w:rPr>
                <w:rFonts w:hint="eastAsia"/>
                <w:b/>
                <w:color w:val="auto"/>
                <w:kern w:val="0"/>
                <w:szCs w:val="21"/>
                <w:highlight w:val="none"/>
                <w:lang w:val="zh-CN"/>
              </w:rPr>
              <w:t xml:space="preserve">建前后污染物排放“三本账” </w:t>
            </w:r>
            <w:r>
              <w:rPr>
                <w:rFonts w:hint="eastAsia"/>
                <w:b/>
                <w:color w:val="auto"/>
                <w:kern w:val="0"/>
                <w:szCs w:val="21"/>
                <w:highlight w:val="none"/>
                <w:lang w:val="en-US" w:eastAsia="zh-CN"/>
              </w:rPr>
              <w:t xml:space="preserve">   单位：t/a</w:t>
            </w:r>
          </w:p>
          <w:tbl>
            <w:tblPr>
              <w:tblStyle w:val="2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98"/>
              <w:gridCol w:w="862"/>
              <w:gridCol w:w="1161"/>
              <w:gridCol w:w="1127"/>
              <w:gridCol w:w="1091"/>
              <w:gridCol w:w="1161"/>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noWrap w:val="0"/>
                  <w:vAlign w:val="center"/>
                </w:tcPr>
                <w:p>
                  <w:pPr>
                    <w:pStyle w:val="8"/>
                    <w:overflowPunct w:val="0"/>
                    <w:autoSpaceDE w:val="0"/>
                    <w:autoSpaceDN w:val="0"/>
                    <w:snapToGrid/>
                    <w:spacing w:before="0" w:after="0" w:line="240" w:lineRule="auto"/>
                    <w:ind w:right="0"/>
                    <w:jc w:val="center"/>
                    <w:rPr>
                      <w:b/>
                      <w:color w:val="auto"/>
                      <w:sz w:val="21"/>
                      <w:szCs w:val="21"/>
                      <w:highlight w:val="none"/>
                    </w:rPr>
                  </w:pPr>
                  <w:r>
                    <w:rPr>
                      <w:rFonts w:hint="eastAsia"/>
                      <w:b/>
                      <w:color w:val="auto"/>
                      <w:sz w:val="21"/>
                      <w:szCs w:val="21"/>
                      <w:highlight w:val="none"/>
                    </w:rPr>
                    <w:t>项目</w:t>
                  </w:r>
                </w:p>
              </w:tc>
              <w:tc>
                <w:tcPr>
                  <w:tcW w:w="1129" w:type="pct"/>
                  <w:gridSpan w:val="2"/>
                  <w:noWrap w:val="0"/>
                  <w:vAlign w:val="center"/>
                </w:tcPr>
                <w:p>
                  <w:pPr>
                    <w:pStyle w:val="8"/>
                    <w:overflowPunct w:val="0"/>
                    <w:autoSpaceDE w:val="0"/>
                    <w:autoSpaceDN w:val="0"/>
                    <w:snapToGrid/>
                    <w:spacing w:before="0" w:after="0" w:line="240" w:lineRule="auto"/>
                    <w:ind w:right="0"/>
                    <w:jc w:val="center"/>
                    <w:rPr>
                      <w:b/>
                      <w:color w:val="auto"/>
                      <w:sz w:val="21"/>
                      <w:szCs w:val="21"/>
                      <w:highlight w:val="none"/>
                    </w:rPr>
                  </w:pPr>
                  <w:r>
                    <w:rPr>
                      <w:rFonts w:hint="eastAsia"/>
                      <w:b/>
                      <w:color w:val="auto"/>
                      <w:sz w:val="21"/>
                      <w:szCs w:val="21"/>
                      <w:highlight w:val="none"/>
                    </w:rPr>
                    <w:t>污染物名称</w:t>
                  </w:r>
                </w:p>
              </w:tc>
              <w:tc>
                <w:tcPr>
                  <w:tcW w:w="705" w:type="pct"/>
                  <w:noWrap w:val="0"/>
                  <w:vAlign w:val="center"/>
                </w:tcPr>
                <w:p>
                  <w:pPr>
                    <w:pStyle w:val="8"/>
                    <w:overflowPunct w:val="0"/>
                    <w:autoSpaceDE w:val="0"/>
                    <w:autoSpaceDN w:val="0"/>
                    <w:snapToGrid/>
                    <w:spacing w:before="0" w:after="0" w:line="240" w:lineRule="auto"/>
                    <w:ind w:right="0"/>
                    <w:jc w:val="center"/>
                    <w:rPr>
                      <w:rFonts w:hint="eastAsia"/>
                      <w:b/>
                      <w:color w:val="auto"/>
                      <w:sz w:val="21"/>
                      <w:szCs w:val="21"/>
                      <w:highlight w:val="none"/>
                    </w:rPr>
                  </w:pPr>
                  <w:r>
                    <w:rPr>
                      <w:rFonts w:hint="eastAsia"/>
                      <w:b/>
                      <w:color w:val="auto"/>
                      <w:sz w:val="21"/>
                      <w:szCs w:val="21"/>
                      <w:highlight w:val="none"/>
                      <w:lang w:val="en-US" w:eastAsia="zh-CN"/>
                    </w:rPr>
                    <w:t>现有项目</w:t>
                  </w:r>
                  <w:r>
                    <w:rPr>
                      <w:rFonts w:hint="eastAsia"/>
                      <w:b/>
                      <w:color w:val="auto"/>
                      <w:sz w:val="21"/>
                      <w:szCs w:val="21"/>
                      <w:highlight w:val="none"/>
                    </w:rPr>
                    <w:t>总量</w:t>
                  </w:r>
                </w:p>
              </w:tc>
              <w:tc>
                <w:tcPr>
                  <w:tcW w:w="684" w:type="pct"/>
                  <w:noWrap w:val="0"/>
                  <w:vAlign w:val="center"/>
                </w:tcPr>
                <w:p>
                  <w:pPr>
                    <w:pStyle w:val="8"/>
                    <w:overflowPunct w:val="0"/>
                    <w:autoSpaceDE w:val="0"/>
                    <w:autoSpaceDN w:val="0"/>
                    <w:snapToGrid/>
                    <w:spacing w:before="0" w:after="0" w:line="240" w:lineRule="auto"/>
                    <w:ind w:right="0"/>
                    <w:jc w:val="center"/>
                    <w:rPr>
                      <w:rFonts w:hint="eastAsia"/>
                      <w:b/>
                      <w:color w:val="auto"/>
                      <w:sz w:val="21"/>
                      <w:szCs w:val="21"/>
                      <w:highlight w:val="none"/>
                    </w:rPr>
                  </w:pPr>
                  <w:r>
                    <w:rPr>
                      <w:rFonts w:hint="eastAsia"/>
                      <w:b/>
                      <w:color w:val="auto"/>
                      <w:sz w:val="21"/>
                      <w:szCs w:val="21"/>
                      <w:highlight w:val="none"/>
                    </w:rPr>
                    <w:t>本项目总量</w:t>
                  </w:r>
                </w:p>
              </w:tc>
              <w:tc>
                <w:tcPr>
                  <w:tcW w:w="662" w:type="pct"/>
                  <w:noWrap w:val="0"/>
                  <w:vAlign w:val="center"/>
                </w:tcPr>
                <w:p>
                  <w:pPr>
                    <w:pStyle w:val="8"/>
                    <w:overflowPunct w:val="0"/>
                    <w:autoSpaceDE w:val="0"/>
                    <w:autoSpaceDN w:val="0"/>
                    <w:snapToGrid/>
                    <w:spacing w:before="0" w:after="0" w:line="240" w:lineRule="auto"/>
                    <w:ind w:right="0"/>
                    <w:jc w:val="center"/>
                    <w:rPr>
                      <w:rFonts w:hint="default" w:eastAsia="宋体"/>
                      <w:b/>
                      <w:color w:val="auto"/>
                      <w:sz w:val="21"/>
                      <w:szCs w:val="21"/>
                      <w:highlight w:val="none"/>
                      <w:lang w:val="en-US" w:eastAsia="zh-CN"/>
                    </w:rPr>
                  </w:pPr>
                  <w:r>
                    <w:rPr>
                      <w:rFonts w:hint="eastAsia"/>
                      <w:b/>
                      <w:color w:val="auto"/>
                      <w:sz w:val="21"/>
                      <w:szCs w:val="21"/>
                      <w:highlight w:val="none"/>
                      <w:lang w:val="en-US" w:eastAsia="zh-CN"/>
                    </w:rPr>
                    <w:t>以新带老削减量</w:t>
                  </w:r>
                </w:p>
              </w:tc>
              <w:tc>
                <w:tcPr>
                  <w:tcW w:w="705" w:type="pct"/>
                  <w:noWrap w:val="0"/>
                  <w:vAlign w:val="center"/>
                </w:tcPr>
                <w:p>
                  <w:pPr>
                    <w:pStyle w:val="8"/>
                    <w:overflowPunct w:val="0"/>
                    <w:autoSpaceDE w:val="0"/>
                    <w:autoSpaceDN w:val="0"/>
                    <w:snapToGrid/>
                    <w:spacing w:before="0" w:after="0" w:line="240" w:lineRule="auto"/>
                    <w:ind w:right="0"/>
                    <w:jc w:val="center"/>
                    <w:rPr>
                      <w:rFonts w:hint="eastAsia"/>
                      <w:b/>
                      <w:color w:val="auto"/>
                      <w:sz w:val="21"/>
                      <w:szCs w:val="21"/>
                      <w:highlight w:val="none"/>
                    </w:rPr>
                  </w:pPr>
                  <w:r>
                    <w:rPr>
                      <w:rFonts w:hint="eastAsia"/>
                      <w:b/>
                      <w:color w:val="auto"/>
                      <w:sz w:val="21"/>
                      <w:szCs w:val="21"/>
                      <w:highlight w:val="none"/>
                    </w:rPr>
                    <w:t>建成后全</w:t>
                  </w:r>
                  <w:r>
                    <w:rPr>
                      <w:rFonts w:hint="eastAsia"/>
                      <w:b/>
                      <w:color w:val="auto"/>
                      <w:sz w:val="21"/>
                      <w:szCs w:val="21"/>
                      <w:highlight w:val="none"/>
                      <w:lang w:eastAsia="zh-CN"/>
                    </w:rPr>
                    <w:t>厂</w:t>
                  </w:r>
                  <w:r>
                    <w:rPr>
                      <w:rFonts w:hint="eastAsia"/>
                      <w:b/>
                      <w:color w:val="auto"/>
                      <w:sz w:val="21"/>
                      <w:szCs w:val="21"/>
                      <w:highlight w:val="none"/>
                    </w:rPr>
                    <w:t>总量</w:t>
                  </w:r>
                </w:p>
              </w:tc>
              <w:tc>
                <w:tcPr>
                  <w:tcW w:w="675" w:type="pct"/>
                  <w:noWrap w:val="0"/>
                  <w:vAlign w:val="center"/>
                </w:tcPr>
                <w:p>
                  <w:pPr>
                    <w:pStyle w:val="8"/>
                    <w:overflowPunct w:val="0"/>
                    <w:autoSpaceDE w:val="0"/>
                    <w:autoSpaceDN w:val="0"/>
                    <w:snapToGrid/>
                    <w:spacing w:before="0" w:after="0" w:line="240" w:lineRule="auto"/>
                    <w:ind w:right="0"/>
                    <w:jc w:val="center"/>
                    <w:rPr>
                      <w:rFonts w:hint="eastAsia"/>
                      <w:b/>
                      <w:color w:val="auto"/>
                      <w:sz w:val="21"/>
                      <w:szCs w:val="21"/>
                      <w:highlight w:val="none"/>
                    </w:rPr>
                  </w:pPr>
                  <w:r>
                    <w:rPr>
                      <w:rFonts w:hint="eastAsia"/>
                      <w:b/>
                      <w:color w:val="auto"/>
                      <w:sz w:val="21"/>
                      <w:szCs w:val="21"/>
                      <w:highlight w:val="none"/>
                      <w:lang w:val="en-US" w:eastAsia="zh-CN"/>
                    </w:rPr>
                    <w:t>增减</w:t>
                  </w:r>
                  <w:r>
                    <w:rPr>
                      <w:rFonts w:hint="eastAsia"/>
                      <w:b/>
                      <w:color w:val="auto"/>
                      <w:sz w:val="21"/>
                      <w:szCs w:val="21"/>
                      <w:highlight w:val="none"/>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restart"/>
                  <w:noWrap w:val="0"/>
                  <w:vAlign w:val="center"/>
                </w:tcPr>
                <w:p>
                  <w:pPr>
                    <w:pStyle w:val="8"/>
                    <w:overflowPunct w:val="0"/>
                    <w:autoSpaceDE w:val="0"/>
                    <w:autoSpaceDN w:val="0"/>
                    <w:snapToGrid/>
                    <w:spacing w:before="0" w:after="0" w:line="240" w:lineRule="auto"/>
                    <w:ind w:right="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废气</w:t>
                  </w:r>
                </w:p>
              </w:tc>
              <w:tc>
                <w:tcPr>
                  <w:tcW w:w="606" w:type="pct"/>
                  <w:vMerge w:val="restart"/>
                  <w:noWrap w:val="0"/>
                  <w:vAlign w:val="center"/>
                </w:tcPr>
                <w:p>
                  <w:pPr>
                    <w:pStyle w:val="10"/>
                    <w:adjustRightInd/>
                    <w:snapToGrid/>
                    <w:spacing w:line="240" w:lineRule="auto"/>
                    <w:ind w:left="0" w:leftChars="0" w:right="0" w:rightChars="0" w:firstLine="0" w:firstLineChars="0"/>
                    <w:jc w:val="center"/>
                    <w:rPr>
                      <w:rFonts w:hint="default" w:ascii="Times New Roman"/>
                      <w:color w:val="auto"/>
                      <w:kern w:val="2"/>
                      <w:sz w:val="21"/>
                      <w:szCs w:val="21"/>
                      <w:highlight w:val="none"/>
                      <w:lang w:val="en-US" w:eastAsia="zh-CN" w:bidi="ar-SA"/>
                    </w:rPr>
                  </w:pPr>
                  <w:r>
                    <w:rPr>
                      <w:rFonts w:hint="default" w:ascii="Times New Roman"/>
                      <w:color w:val="auto"/>
                      <w:kern w:val="2"/>
                      <w:sz w:val="21"/>
                      <w:szCs w:val="21"/>
                      <w:highlight w:val="none"/>
                      <w:lang w:val="en-US" w:eastAsia="zh-CN" w:bidi="ar-SA"/>
                    </w:rPr>
                    <w:t>天然气燃烧废气</w:t>
                  </w:r>
                </w:p>
              </w:tc>
              <w:tc>
                <w:tcPr>
                  <w:tcW w:w="523" w:type="pct"/>
                  <w:noWrap w:val="0"/>
                  <w:vAlign w:val="center"/>
                </w:tcPr>
                <w:p>
                  <w:pPr>
                    <w:adjustRightInd w:val="0"/>
                    <w:snapToGrid w:val="0"/>
                    <w:jc w:val="center"/>
                    <w:rPr>
                      <w:rFonts w:hint="eastAsia" w:ascii="Times New Roman"/>
                      <w:color w:val="auto"/>
                      <w:kern w:val="2"/>
                      <w:sz w:val="21"/>
                      <w:szCs w:val="21"/>
                      <w:highlight w:val="none"/>
                      <w:lang w:val="en-US" w:eastAsia="zh-CN" w:bidi="ar-SA"/>
                    </w:rPr>
                  </w:pPr>
                  <w:r>
                    <w:rPr>
                      <w:rFonts w:hint="eastAsia"/>
                      <w:color w:val="auto"/>
                      <w:highlight w:val="none"/>
                    </w:rPr>
                    <w:t>颗粒物</w:t>
                  </w:r>
                </w:p>
              </w:tc>
              <w:tc>
                <w:tcPr>
                  <w:tcW w:w="705" w:type="pct"/>
                  <w:noWrap w:val="0"/>
                  <w:vAlign w:val="center"/>
                </w:tcPr>
                <w:p>
                  <w:pPr>
                    <w:adjustRightInd w:val="0"/>
                    <w:snapToGrid w:val="0"/>
                    <w:jc w:val="center"/>
                    <w:rPr>
                      <w:bCs/>
                      <w:color w:val="auto"/>
                      <w:sz w:val="21"/>
                      <w:szCs w:val="21"/>
                      <w:highlight w:val="none"/>
                    </w:rPr>
                  </w:pPr>
                  <w:r>
                    <w:rPr>
                      <w:rFonts w:hint="eastAsia"/>
                      <w:bCs/>
                      <w:color w:val="auto"/>
                      <w:sz w:val="21"/>
                      <w:szCs w:val="21"/>
                      <w:highlight w:val="none"/>
                      <w:lang w:val="en-US" w:eastAsia="zh-CN"/>
                    </w:rPr>
                    <w:t>0.0828</w:t>
                  </w:r>
                </w:p>
              </w:tc>
              <w:tc>
                <w:tcPr>
                  <w:tcW w:w="684" w:type="pct"/>
                  <w:noWrap w:val="0"/>
                  <w:vAlign w:val="center"/>
                </w:tcPr>
                <w:p>
                  <w:pPr>
                    <w:adjustRightInd w:val="0"/>
                    <w:snapToGrid w:val="0"/>
                    <w:jc w:val="center"/>
                    <w:rPr>
                      <w:rFonts w:hint="default"/>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0.0414</w:t>
                  </w:r>
                </w:p>
              </w:tc>
              <w:tc>
                <w:tcPr>
                  <w:tcW w:w="662"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p>
              </w:tc>
              <w:tc>
                <w:tcPr>
                  <w:tcW w:w="705" w:type="pct"/>
                  <w:noWrap w:val="0"/>
                  <w:vAlign w:val="center"/>
                </w:tcPr>
                <w:p>
                  <w:pPr>
                    <w:keepNext w:val="0"/>
                    <w:keepLines w:val="0"/>
                    <w:widowControl/>
                    <w:suppressLineNumbers w:val="0"/>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0.1242</w:t>
                  </w:r>
                </w:p>
              </w:tc>
              <w:tc>
                <w:tcPr>
                  <w:tcW w:w="675" w:type="pct"/>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+0.0414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rFonts w:hint="eastAsia"/>
                      <w:bCs/>
                      <w:color w:val="auto"/>
                      <w:sz w:val="21"/>
                      <w:szCs w:val="21"/>
                      <w:highlight w:val="none"/>
                      <w:lang w:val="en-US" w:eastAsia="zh-CN"/>
                    </w:rPr>
                  </w:pPr>
                </w:p>
              </w:tc>
              <w:tc>
                <w:tcPr>
                  <w:tcW w:w="606" w:type="pct"/>
                  <w:vMerge w:val="continue"/>
                  <w:noWrap w:val="0"/>
                  <w:vAlign w:val="center"/>
                </w:tcPr>
                <w:p>
                  <w:pPr>
                    <w:pStyle w:val="10"/>
                    <w:adjustRightInd/>
                    <w:snapToGrid/>
                    <w:spacing w:line="240" w:lineRule="auto"/>
                    <w:ind w:left="0" w:leftChars="0" w:right="0" w:rightChars="0" w:firstLine="0" w:firstLineChars="0"/>
                    <w:jc w:val="center"/>
                    <w:rPr>
                      <w:rFonts w:hint="eastAsia" w:ascii="Times New Roman"/>
                      <w:color w:val="auto"/>
                      <w:kern w:val="2"/>
                      <w:sz w:val="21"/>
                      <w:szCs w:val="21"/>
                      <w:highlight w:val="none"/>
                      <w:lang w:val="en-US" w:eastAsia="zh-CN" w:bidi="ar-SA"/>
                    </w:rPr>
                  </w:pPr>
                </w:p>
              </w:tc>
              <w:tc>
                <w:tcPr>
                  <w:tcW w:w="523" w:type="pct"/>
                  <w:noWrap w:val="0"/>
                  <w:vAlign w:val="center"/>
                </w:tcPr>
                <w:p>
                  <w:pPr>
                    <w:adjustRightInd w:val="0"/>
                    <w:snapToGrid w:val="0"/>
                    <w:jc w:val="center"/>
                    <w:rPr>
                      <w:rFonts w:hint="eastAsia" w:ascii="Times New Roman"/>
                      <w:color w:val="auto"/>
                      <w:kern w:val="2"/>
                      <w:sz w:val="21"/>
                      <w:szCs w:val="21"/>
                      <w:highlight w:val="none"/>
                      <w:lang w:val="en-US" w:eastAsia="zh-CN" w:bidi="ar-SA"/>
                    </w:rPr>
                  </w:pPr>
                  <w:r>
                    <w:rPr>
                      <w:color w:val="auto"/>
                      <w:highlight w:val="none"/>
                    </w:rPr>
                    <w:t>SO</w:t>
                  </w:r>
                  <w:r>
                    <w:rPr>
                      <w:color w:val="auto"/>
                      <w:highlight w:val="none"/>
                      <w:vertAlign w:val="subscript"/>
                    </w:rPr>
                    <w:t>2</w:t>
                  </w:r>
                </w:p>
              </w:tc>
              <w:tc>
                <w:tcPr>
                  <w:tcW w:w="705" w:type="pct"/>
                  <w:noWrap w:val="0"/>
                  <w:vAlign w:val="center"/>
                </w:tcPr>
                <w:p>
                  <w:pPr>
                    <w:adjustRightInd w:val="0"/>
                    <w:snapToGrid w:val="0"/>
                    <w:jc w:val="center"/>
                    <w:rPr>
                      <w:bCs/>
                      <w:color w:val="auto"/>
                      <w:sz w:val="21"/>
                      <w:szCs w:val="21"/>
                      <w:highlight w:val="none"/>
                    </w:rPr>
                  </w:pPr>
                  <w:r>
                    <w:rPr>
                      <w:rFonts w:hint="eastAsia"/>
                      <w:bCs/>
                      <w:color w:val="auto"/>
                      <w:sz w:val="21"/>
                      <w:szCs w:val="21"/>
                      <w:highlight w:val="none"/>
                      <w:lang w:val="en-US" w:eastAsia="zh-CN"/>
                    </w:rPr>
                    <w:t>0.09</w:t>
                  </w:r>
                </w:p>
              </w:tc>
              <w:tc>
                <w:tcPr>
                  <w:tcW w:w="684" w:type="pct"/>
                  <w:noWrap w:val="0"/>
                  <w:vAlign w:val="center"/>
                </w:tcPr>
                <w:p>
                  <w:pPr>
                    <w:adjustRightInd w:val="0"/>
                    <w:snapToGrid w:val="0"/>
                    <w:jc w:val="center"/>
                    <w:rPr>
                      <w:rFonts w:hint="default"/>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0.2</w:t>
                  </w:r>
                </w:p>
              </w:tc>
              <w:tc>
                <w:tcPr>
                  <w:tcW w:w="662"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p>
              </w:tc>
              <w:tc>
                <w:tcPr>
                  <w:tcW w:w="705" w:type="pct"/>
                  <w:noWrap w:val="0"/>
                  <w:vAlign w:val="center"/>
                </w:tcPr>
                <w:p>
                  <w:pPr>
                    <w:keepNext w:val="0"/>
                    <w:keepLines w:val="0"/>
                    <w:widowControl/>
                    <w:suppressLineNumbers w:val="0"/>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0.29</w:t>
                  </w:r>
                </w:p>
              </w:tc>
              <w:tc>
                <w:tcPr>
                  <w:tcW w:w="675" w:type="pct"/>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rFonts w:hint="eastAsia"/>
                      <w:bCs/>
                      <w:color w:val="auto"/>
                      <w:sz w:val="21"/>
                      <w:szCs w:val="21"/>
                      <w:highlight w:val="none"/>
                      <w:lang w:val="en-US" w:eastAsia="zh-CN"/>
                    </w:rPr>
                  </w:pPr>
                </w:p>
              </w:tc>
              <w:tc>
                <w:tcPr>
                  <w:tcW w:w="606" w:type="pct"/>
                  <w:vMerge w:val="continue"/>
                  <w:noWrap w:val="0"/>
                  <w:vAlign w:val="center"/>
                </w:tcPr>
                <w:p>
                  <w:pPr>
                    <w:pStyle w:val="10"/>
                    <w:adjustRightInd/>
                    <w:snapToGrid/>
                    <w:spacing w:line="240" w:lineRule="auto"/>
                    <w:ind w:left="0" w:leftChars="0" w:right="0" w:rightChars="0" w:firstLine="0" w:firstLineChars="0"/>
                    <w:jc w:val="center"/>
                    <w:rPr>
                      <w:rFonts w:hint="eastAsia" w:ascii="Times New Roman"/>
                      <w:color w:val="auto"/>
                      <w:kern w:val="2"/>
                      <w:sz w:val="21"/>
                      <w:szCs w:val="21"/>
                      <w:highlight w:val="none"/>
                      <w:lang w:val="en-US" w:eastAsia="zh-CN" w:bidi="ar-SA"/>
                    </w:rPr>
                  </w:pPr>
                </w:p>
              </w:tc>
              <w:tc>
                <w:tcPr>
                  <w:tcW w:w="523" w:type="pct"/>
                  <w:noWrap w:val="0"/>
                  <w:vAlign w:val="center"/>
                </w:tcPr>
                <w:p>
                  <w:pPr>
                    <w:adjustRightInd w:val="0"/>
                    <w:snapToGrid w:val="0"/>
                    <w:jc w:val="center"/>
                    <w:rPr>
                      <w:rFonts w:hint="eastAsia" w:ascii="Times New Roman"/>
                      <w:color w:val="auto"/>
                      <w:kern w:val="2"/>
                      <w:sz w:val="21"/>
                      <w:szCs w:val="21"/>
                      <w:highlight w:val="none"/>
                      <w:lang w:val="en-US" w:eastAsia="zh-CN" w:bidi="ar-SA"/>
                    </w:rPr>
                  </w:pPr>
                  <w:r>
                    <w:rPr>
                      <w:color w:val="auto"/>
                      <w:highlight w:val="none"/>
                    </w:rPr>
                    <w:t>NO</w:t>
                  </w:r>
                  <w:r>
                    <w:rPr>
                      <w:rFonts w:hint="eastAsia"/>
                      <w:color w:val="auto"/>
                      <w:highlight w:val="none"/>
                    </w:rPr>
                    <w:t>x</w:t>
                  </w:r>
                </w:p>
              </w:tc>
              <w:tc>
                <w:tcPr>
                  <w:tcW w:w="705" w:type="pct"/>
                  <w:noWrap w:val="0"/>
                  <w:vAlign w:val="center"/>
                </w:tcPr>
                <w:p>
                  <w:pPr>
                    <w:adjustRightInd w:val="0"/>
                    <w:snapToGrid w:val="0"/>
                    <w:jc w:val="center"/>
                    <w:rPr>
                      <w:bCs/>
                      <w:color w:val="auto"/>
                      <w:sz w:val="21"/>
                      <w:szCs w:val="21"/>
                      <w:highlight w:val="none"/>
                    </w:rPr>
                  </w:pPr>
                  <w:r>
                    <w:rPr>
                      <w:rFonts w:hint="eastAsia"/>
                      <w:bCs/>
                      <w:color w:val="auto"/>
                      <w:sz w:val="21"/>
                      <w:szCs w:val="21"/>
                      <w:highlight w:val="none"/>
                      <w:lang w:val="en-US" w:eastAsia="zh-CN"/>
                    </w:rPr>
                    <w:t>0.576</w:t>
                  </w:r>
                </w:p>
              </w:tc>
              <w:tc>
                <w:tcPr>
                  <w:tcW w:w="684" w:type="pct"/>
                  <w:noWrap w:val="0"/>
                  <w:vAlign w:val="center"/>
                </w:tcPr>
                <w:p>
                  <w:pPr>
                    <w:adjustRightInd w:val="0"/>
                    <w:snapToGrid w:val="0"/>
                    <w:jc w:val="center"/>
                    <w:rPr>
                      <w:rFonts w:hint="default"/>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0.7949</w:t>
                  </w:r>
                </w:p>
              </w:tc>
              <w:tc>
                <w:tcPr>
                  <w:tcW w:w="662"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p>
              </w:tc>
              <w:tc>
                <w:tcPr>
                  <w:tcW w:w="705" w:type="pct"/>
                  <w:noWrap w:val="0"/>
                  <w:vAlign w:val="center"/>
                </w:tcPr>
                <w:p>
                  <w:pPr>
                    <w:keepNext w:val="0"/>
                    <w:keepLines w:val="0"/>
                    <w:widowControl/>
                    <w:suppressLineNumbers w:val="0"/>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1.3709</w:t>
                  </w:r>
                </w:p>
              </w:tc>
              <w:tc>
                <w:tcPr>
                  <w:tcW w:w="675" w:type="pct"/>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+0.7949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rFonts w:hint="eastAsia"/>
                      <w:bCs/>
                      <w:color w:val="auto"/>
                      <w:sz w:val="21"/>
                      <w:szCs w:val="21"/>
                      <w:highlight w:val="none"/>
                      <w:lang w:val="en-US" w:eastAsia="zh-CN"/>
                    </w:rPr>
                  </w:pPr>
                </w:p>
              </w:tc>
              <w:tc>
                <w:tcPr>
                  <w:tcW w:w="1129" w:type="pct"/>
                  <w:gridSpan w:val="2"/>
                  <w:noWrap w:val="0"/>
                  <w:vAlign w:val="center"/>
                </w:tcPr>
                <w:p>
                  <w:pPr>
                    <w:pStyle w:val="10"/>
                    <w:adjustRightInd/>
                    <w:snapToGrid/>
                    <w:spacing w:line="240" w:lineRule="auto"/>
                    <w:ind w:left="0" w:leftChars="0" w:right="0" w:rightChars="0" w:firstLine="0" w:firstLineChars="0"/>
                    <w:jc w:val="center"/>
                    <w:rPr>
                      <w:rFonts w:hint="eastAsia" w:ascii="Times New Roman"/>
                      <w:color w:val="auto"/>
                      <w:kern w:val="2"/>
                      <w:sz w:val="21"/>
                      <w:szCs w:val="21"/>
                      <w:highlight w:val="none"/>
                      <w:lang w:val="en-US" w:eastAsia="zh-CN" w:bidi="ar-SA"/>
                    </w:rPr>
                  </w:pPr>
                  <w:r>
                    <w:rPr>
                      <w:rFonts w:hint="eastAsia" w:ascii="Times New Roman"/>
                      <w:color w:val="auto"/>
                      <w:kern w:val="2"/>
                      <w:sz w:val="21"/>
                      <w:szCs w:val="21"/>
                      <w:highlight w:val="none"/>
                      <w:lang w:val="en-US" w:eastAsia="zh-CN" w:bidi="ar-SA"/>
                    </w:rPr>
                    <w:t>油炸油烟</w:t>
                  </w:r>
                </w:p>
              </w:tc>
              <w:tc>
                <w:tcPr>
                  <w:tcW w:w="705" w:type="pct"/>
                  <w:noWrap w:val="0"/>
                  <w:vAlign w:val="center"/>
                </w:tcPr>
                <w:p>
                  <w:pPr>
                    <w:keepNext w:val="0"/>
                    <w:keepLines w:val="0"/>
                    <w:widowControl/>
                    <w:suppressLineNumbers w:val="0"/>
                    <w:jc w:val="center"/>
                    <w:textAlignment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0.0117</w:t>
                  </w:r>
                </w:p>
              </w:tc>
              <w:tc>
                <w:tcPr>
                  <w:tcW w:w="684" w:type="pct"/>
                  <w:noWrap w:val="0"/>
                  <w:vAlign w:val="center"/>
                </w:tcPr>
                <w:p>
                  <w:pPr>
                    <w:keepNext w:val="0"/>
                    <w:keepLines w:val="0"/>
                    <w:widowControl/>
                    <w:suppressLineNumbers w:val="0"/>
                    <w:jc w:val="center"/>
                    <w:textAlignment w:val="center"/>
                    <w:rPr>
                      <w:rFonts w:hint="default"/>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0.0023</w:t>
                  </w:r>
                </w:p>
              </w:tc>
              <w:tc>
                <w:tcPr>
                  <w:tcW w:w="662" w:type="pct"/>
                  <w:noWrap w:val="0"/>
                  <w:vAlign w:val="center"/>
                </w:tcPr>
                <w:p>
                  <w:pPr>
                    <w:adjustRightInd w:val="0"/>
                    <w:snapToGrid w:val="0"/>
                    <w:jc w:val="center"/>
                    <w:rPr>
                      <w:rFonts w:hint="default" w:ascii="Times New Roman" w:hAnsi="Times New Roman" w:eastAsia="宋体"/>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0</w:t>
                  </w:r>
                </w:p>
              </w:tc>
              <w:tc>
                <w:tcPr>
                  <w:tcW w:w="705" w:type="pct"/>
                  <w:noWrap w:val="0"/>
                  <w:vAlign w:val="center"/>
                </w:tcPr>
                <w:p>
                  <w:pPr>
                    <w:keepNext w:val="0"/>
                    <w:keepLines w:val="0"/>
                    <w:widowControl/>
                    <w:suppressLineNumbers w:val="0"/>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0.014</w:t>
                  </w:r>
                </w:p>
              </w:tc>
              <w:tc>
                <w:tcPr>
                  <w:tcW w:w="675" w:type="pct"/>
                  <w:noWrap w:val="0"/>
                  <w:vAlign w:val="center"/>
                </w:tcPr>
                <w:p>
                  <w:pPr>
                    <w:keepNext w:val="0"/>
                    <w:keepLines w:val="0"/>
                    <w:widowControl/>
                    <w:suppressLineNumbers w:val="0"/>
                    <w:jc w:val="center"/>
                    <w:textAlignment w:val="center"/>
                    <w:rPr>
                      <w:rFonts w:hint="default"/>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+0.0023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rFonts w:hint="eastAsia"/>
                      <w:bCs/>
                      <w:color w:val="auto"/>
                      <w:sz w:val="21"/>
                      <w:szCs w:val="21"/>
                      <w:highlight w:val="none"/>
                      <w:lang w:val="en-US" w:eastAsia="zh-CN"/>
                    </w:rPr>
                  </w:pPr>
                </w:p>
              </w:tc>
              <w:tc>
                <w:tcPr>
                  <w:tcW w:w="1129" w:type="pct"/>
                  <w:gridSpan w:val="2"/>
                  <w:noWrap w:val="0"/>
                  <w:vAlign w:val="center"/>
                </w:tcPr>
                <w:p>
                  <w:pPr>
                    <w:pStyle w:val="10"/>
                    <w:adjustRightInd/>
                    <w:snapToGrid/>
                    <w:spacing w:line="240" w:lineRule="auto"/>
                    <w:ind w:left="0" w:leftChars="0" w:right="0" w:rightChars="0" w:firstLine="0" w:firstLineChars="0"/>
                    <w:jc w:val="center"/>
                    <w:rPr>
                      <w:rFonts w:hint="default" w:ascii="Times New Roman"/>
                      <w:color w:val="auto"/>
                      <w:kern w:val="2"/>
                      <w:sz w:val="21"/>
                      <w:szCs w:val="21"/>
                      <w:highlight w:val="none"/>
                      <w:lang w:val="en-US" w:eastAsia="zh-CN" w:bidi="ar-SA"/>
                    </w:rPr>
                  </w:pPr>
                  <w:r>
                    <w:rPr>
                      <w:rFonts w:hint="eastAsia" w:ascii="Times New Roman"/>
                      <w:color w:val="auto"/>
                      <w:kern w:val="2"/>
                      <w:sz w:val="21"/>
                      <w:szCs w:val="21"/>
                      <w:highlight w:val="none"/>
                      <w:lang w:val="en-US" w:eastAsia="zh-CN" w:bidi="ar-SA"/>
                    </w:rPr>
                    <w:t>配料、斩拌、拌料粉尘，水蒸气，异味，喷码废气，热封废气，</w:t>
                  </w:r>
                  <w:r>
                    <w:rPr>
                      <w:rFonts w:hint="eastAsia" w:ascii="Times New Roman" w:hAnsi="Times New Roman" w:eastAsia="宋体" w:cs="Times New Roman"/>
                      <w:color w:val="auto"/>
                      <w:kern w:val="2"/>
                      <w:sz w:val="21"/>
                      <w:szCs w:val="21"/>
                      <w:highlight w:val="none"/>
                      <w:lang w:val="en-US" w:eastAsia="zh-CN" w:bidi="ar-SA"/>
                    </w:rPr>
                    <w:t>酒精擦拭废气</w:t>
                  </w:r>
                  <w:r>
                    <w:rPr>
                      <w:rFonts w:hint="eastAsia" w:ascii="Times New Roman"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臭氧消毒废气</w:t>
                  </w:r>
                  <w:r>
                    <w:rPr>
                      <w:rFonts w:hint="eastAsia" w:ascii="Times New Roman" w:cs="Times New Roman"/>
                      <w:color w:val="auto"/>
                      <w:kern w:val="2"/>
                      <w:sz w:val="21"/>
                      <w:szCs w:val="21"/>
                      <w:highlight w:val="none"/>
                      <w:lang w:val="en-US" w:eastAsia="zh-CN" w:bidi="ar-SA"/>
                    </w:rPr>
                    <w:t>，污水处理站恶臭，化验室废气</w:t>
                  </w:r>
                </w:p>
              </w:tc>
              <w:tc>
                <w:tcPr>
                  <w:tcW w:w="705" w:type="pct"/>
                  <w:noWrap w:val="0"/>
                  <w:vAlign w:val="center"/>
                </w:tcPr>
                <w:p>
                  <w:pPr>
                    <w:keepNext w:val="0"/>
                    <w:keepLines w:val="0"/>
                    <w:widowControl/>
                    <w:suppressLineNumbers w:val="0"/>
                    <w:jc w:val="center"/>
                    <w:textAlignment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w:t>
                  </w:r>
                </w:p>
              </w:tc>
              <w:tc>
                <w:tcPr>
                  <w:tcW w:w="684" w:type="pct"/>
                  <w:noWrap w:val="0"/>
                  <w:vAlign w:val="center"/>
                </w:tcPr>
                <w:p>
                  <w:pPr>
                    <w:keepNext w:val="0"/>
                    <w:keepLines w:val="0"/>
                    <w:widowControl/>
                    <w:suppressLineNumbers w:val="0"/>
                    <w:jc w:val="center"/>
                    <w:textAlignment w:val="center"/>
                    <w:rPr>
                      <w:rFonts w:hint="default"/>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w:t>
                  </w:r>
                </w:p>
              </w:tc>
              <w:tc>
                <w:tcPr>
                  <w:tcW w:w="662" w:type="pct"/>
                  <w:noWrap w:val="0"/>
                  <w:vAlign w:val="center"/>
                </w:tcPr>
                <w:p>
                  <w:pPr>
                    <w:keepNext w:val="0"/>
                    <w:keepLines w:val="0"/>
                    <w:widowControl/>
                    <w:suppressLineNumbers w:val="0"/>
                    <w:jc w:val="center"/>
                    <w:textAlignment w:val="center"/>
                    <w:rPr>
                      <w:rFonts w:hint="default"/>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0</w:t>
                  </w:r>
                </w:p>
              </w:tc>
              <w:tc>
                <w:tcPr>
                  <w:tcW w:w="705" w:type="pct"/>
                  <w:noWrap w:val="0"/>
                  <w:vAlign w:val="center"/>
                </w:tcPr>
                <w:p>
                  <w:pPr>
                    <w:keepNext w:val="0"/>
                    <w:keepLines w:val="0"/>
                    <w:widowControl/>
                    <w:suppressLineNumbers w:val="0"/>
                    <w:jc w:val="center"/>
                    <w:textAlignment w:val="center"/>
                    <w:rPr>
                      <w:rFonts w:hint="default"/>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w:t>
                  </w:r>
                </w:p>
              </w:tc>
              <w:tc>
                <w:tcPr>
                  <w:tcW w:w="675" w:type="pct"/>
                  <w:noWrap w:val="0"/>
                  <w:vAlign w:val="center"/>
                </w:tcPr>
                <w:p>
                  <w:pPr>
                    <w:keepNext w:val="0"/>
                    <w:keepLines w:val="0"/>
                    <w:widowControl/>
                    <w:suppressLineNumbers w:val="0"/>
                    <w:jc w:val="center"/>
                    <w:textAlignment w:val="center"/>
                    <w:rPr>
                      <w:rFonts w:hint="default"/>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bCs/>
                      <w:color w:val="auto"/>
                      <w:sz w:val="21"/>
                      <w:szCs w:val="21"/>
                      <w:highlight w:val="none"/>
                    </w:rPr>
                  </w:pPr>
                </w:p>
              </w:tc>
              <w:tc>
                <w:tcPr>
                  <w:tcW w:w="1129" w:type="pct"/>
                  <w:gridSpan w:val="2"/>
                  <w:noWrap w:val="0"/>
                  <w:vAlign w:val="center"/>
                </w:tcPr>
                <w:p>
                  <w:pPr>
                    <w:pStyle w:val="10"/>
                    <w:adjustRightInd/>
                    <w:snapToGrid/>
                    <w:spacing w:line="240" w:lineRule="auto"/>
                    <w:ind w:left="0" w:leftChars="0" w:right="0" w:rightChars="0" w:firstLine="0" w:firstLineChars="0"/>
                    <w:jc w:val="center"/>
                    <w:rPr>
                      <w:rFonts w:hint="eastAsia" w:ascii="Times New Roman"/>
                      <w:color w:val="auto"/>
                      <w:kern w:val="2"/>
                      <w:sz w:val="21"/>
                      <w:szCs w:val="21"/>
                      <w:highlight w:val="none"/>
                      <w:lang w:val="en-US" w:eastAsia="zh-CN" w:bidi="ar-SA"/>
                    </w:rPr>
                  </w:pPr>
                  <w:r>
                    <w:rPr>
                      <w:rFonts w:ascii="Times New Roman"/>
                      <w:color w:val="auto"/>
                      <w:kern w:val="0"/>
                      <w:sz w:val="21"/>
                      <w:szCs w:val="21"/>
                      <w:highlight w:val="none"/>
                    </w:rPr>
                    <w:t>食堂</w:t>
                  </w:r>
                  <w:r>
                    <w:rPr>
                      <w:rFonts w:hint="eastAsia" w:ascii="Times New Roman"/>
                      <w:color w:val="auto"/>
                      <w:kern w:val="0"/>
                      <w:sz w:val="21"/>
                      <w:szCs w:val="21"/>
                      <w:highlight w:val="none"/>
                    </w:rPr>
                    <w:t>油烟</w:t>
                  </w:r>
                </w:p>
              </w:tc>
              <w:tc>
                <w:tcPr>
                  <w:tcW w:w="705" w:type="pct"/>
                  <w:noWrap w:val="0"/>
                  <w:vAlign w:val="center"/>
                </w:tcPr>
                <w:p>
                  <w:pPr>
                    <w:jc w:val="center"/>
                    <w:rPr>
                      <w:rFonts w:hint="default"/>
                      <w:bCs/>
                      <w:color w:val="auto"/>
                      <w:kern w:val="0"/>
                      <w:sz w:val="21"/>
                      <w:szCs w:val="21"/>
                      <w:highlight w:val="none"/>
                      <w:lang w:val="en-US" w:eastAsia="zh-CN" w:bidi="ar-SA"/>
                    </w:rPr>
                  </w:pPr>
                  <w:r>
                    <w:rPr>
                      <w:rFonts w:hint="eastAsia"/>
                      <w:bCs/>
                      <w:color w:val="auto"/>
                      <w:kern w:val="0"/>
                      <w:sz w:val="21"/>
                      <w:szCs w:val="21"/>
                      <w:highlight w:val="none"/>
                      <w:lang w:val="en-US" w:eastAsia="zh-CN" w:bidi="ar-SA"/>
                    </w:rPr>
                    <w:t>0.006</w:t>
                  </w:r>
                </w:p>
              </w:tc>
              <w:tc>
                <w:tcPr>
                  <w:tcW w:w="684" w:type="pct"/>
                  <w:noWrap w:val="0"/>
                  <w:vAlign w:val="center"/>
                </w:tcPr>
                <w:p>
                  <w:pPr>
                    <w:jc w:val="center"/>
                    <w:rPr>
                      <w:rFonts w:hint="default"/>
                      <w:bCs/>
                      <w:color w:val="auto"/>
                      <w:kern w:val="0"/>
                      <w:sz w:val="21"/>
                      <w:szCs w:val="21"/>
                      <w:highlight w:val="none"/>
                      <w:lang w:val="en-US" w:eastAsia="zh-CN" w:bidi="ar-SA"/>
                    </w:rPr>
                  </w:pPr>
                  <w:r>
                    <w:rPr>
                      <w:rFonts w:hint="eastAsia"/>
                      <w:bCs/>
                      <w:color w:val="auto"/>
                      <w:kern w:val="0"/>
                      <w:sz w:val="21"/>
                      <w:szCs w:val="21"/>
                      <w:highlight w:val="none"/>
                      <w:lang w:val="en-US" w:eastAsia="zh-CN" w:bidi="ar-SA"/>
                    </w:rPr>
                    <w:t>0.002</w:t>
                  </w:r>
                </w:p>
              </w:tc>
              <w:tc>
                <w:tcPr>
                  <w:tcW w:w="662" w:type="pct"/>
                  <w:noWrap w:val="0"/>
                  <w:vAlign w:val="center"/>
                </w:tcPr>
                <w:p>
                  <w:pPr>
                    <w:jc w:val="center"/>
                    <w:rPr>
                      <w:rFonts w:hint="default"/>
                      <w:bCs/>
                      <w:color w:val="auto"/>
                      <w:kern w:val="0"/>
                      <w:sz w:val="21"/>
                      <w:szCs w:val="21"/>
                      <w:highlight w:val="none"/>
                      <w:lang w:val="en-US" w:eastAsia="zh-CN" w:bidi="ar-SA"/>
                    </w:rPr>
                  </w:pPr>
                  <w:r>
                    <w:rPr>
                      <w:rFonts w:hint="eastAsia"/>
                      <w:bCs/>
                      <w:color w:val="auto"/>
                      <w:kern w:val="0"/>
                      <w:sz w:val="21"/>
                      <w:szCs w:val="21"/>
                      <w:highlight w:val="none"/>
                      <w:lang w:val="en-US" w:eastAsia="zh-CN" w:bidi="ar-SA"/>
                    </w:rPr>
                    <w:t>0</w:t>
                  </w:r>
                </w:p>
              </w:tc>
              <w:tc>
                <w:tcPr>
                  <w:tcW w:w="705" w:type="pct"/>
                  <w:noWrap w:val="0"/>
                  <w:vAlign w:val="center"/>
                </w:tcPr>
                <w:p>
                  <w:pPr>
                    <w:jc w:val="center"/>
                    <w:rPr>
                      <w:rFonts w:hint="default"/>
                      <w:bCs/>
                      <w:color w:val="auto"/>
                      <w:kern w:val="0"/>
                      <w:sz w:val="21"/>
                      <w:szCs w:val="21"/>
                      <w:highlight w:val="none"/>
                      <w:lang w:val="en-US" w:eastAsia="zh-CN" w:bidi="ar-SA"/>
                    </w:rPr>
                  </w:pPr>
                  <w:r>
                    <w:rPr>
                      <w:rFonts w:hint="eastAsia"/>
                      <w:bCs/>
                      <w:color w:val="auto"/>
                      <w:kern w:val="0"/>
                      <w:sz w:val="21"/>
                      <w:szCs w:val="21"/>
                      <w:highlight w:val="none"/>
                      <w:lang w:val="en-US" w:eastAsia="zh-CN" w:bidi="ar-SA"/>
                    </w:rPr>
                    <w:t>0.008</w:t>
                  </w:r>
                </w:p>
              </w:tc>
              <w:tc>
                <w:tcPr>
                  <w:tcW w:w="675" w:type="pct"/>
                  <w:noWrap w:val="0"/>
                  <w:vAlign w:val="center"/>
                </w:tcPr>
                <w:p>
                  <w:pPr>
                    <w:keepNext w:val="0"/>
                    <w:keepLines w:val="0"/>
                    <w:widowControl/>
                    <w:suppressLineNumbers w:val="0"/>
                    <w:jc w:val="center"/>
                    <w:textAlignment w:val="center"/>
                    <w:rPr>
                      <w:rFonts w:hint="default"/>
                      <w:bCs/>
                      <w:color w:val="auto"/>
                      <w:kern w:val="0"/>
                      <w:sz w:val="21"/>
                      <w:szCs w:val="21"/>
                      <w:highlight w:val="none"/>
                      <w:lang w:val="en-US" w:eastAsia="zh-CN" w:bidi="ar-SA"/>
                    </w:rPr>
                  </w:pPr>
                  <w:r>
                    <w:rPr>
                      <w:rFonts w:hint="eastAsia" w:eastAsia="宋体"/>
                      <w:bCs/>
                      <w:color w:val="auto"/>
                      <w:kern w:val="2"/>
                      <w:sz w:val="21"/>
                      <w:szCs w:val="21"/>
                      <w:highlight w:val="none"/>
                      <w:lang w:val="en-US" w:eastAsia="zh-CN" w:bidi="ar-SA"/>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restart"/>
                  <w:noWrap w:val="0"/>
                  <w:vAlign w:val="center"/>
                </w:tcPr>
                <w:p>
                  <w:pPr>
                    <w:pStyle w:val="8"/>
                    <w:overflowPunct w:val="0"/>
                    <w:autoSpaceDE w:val="0"/>
                    <w:autoSpaceDN w:val="0"/>
                    <w:snapToGrid/>
                    <w:spacing w:before="0" w:after="0" w:line="240" w:lineRule="auto"/>
                    <w:ind w:right="0"/>
                    <w:jc w:val="center"/>
                    <w:rPr>
                      <w:rFonts w:hint="eastAsia" w:eastAsia="宋体"/>
                      <w:bCs/>
                      <w:color w:val="auto"/>
                      <w:sz w:val="21"/>
                      <w:szCs w:val="21"/>
                      <w:highlight w:val="none"/>
                      <w:lang w:val="en-US" w:eastAsia="zh-CN"/>
                    </w:rPr>
                  </w:pPr>
                  <w:r>
                    <w:rPr>
                      <w:rFonts w:hint="eastAsia"/>
                      <w:bCs/>
                      <w:color w:val="auto"/>
                      <w:sz w:val="21"/>
                      <w:szCs w:val="21"/>
                      <w:highlight w:val="none"/>
                      <w:lang w:val="en-US" w:eastAsia="zh-CN"/>
                    </w:rPr>
                    <w:t>废水</w:t>
                  </w:r>
                </w:p>
              </w:tc>
              <w:tc>
                <w:tcPr>
                  <w:tcW w:w="1129" w:type="pct"/>
                  <w:gridSpan w:val="2"/>
                  <w:noWrap w:val="0"/>
                  <w:vAlign w:val="center"/>
                </w:tcPr>
                <w:p>
                  <w:pPr>
                    <w:pStyle w:val="10"/>
                    <w:adjustRightInd/>
                    <w:snapToGrid/>
                    <w:spacing w:line="240" w:lineRule="auto"/>
                    <w:ind w:left="0" w:leftChars="0" w:right="0" w:rightChars="0" w:firstLine="0" w:firstLineChars="0"/>
                    <w:jc w:val="center"/>
                    <w:rPr>
                      <w:rFonts w:hint="eastAsia"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废水量</w:t>
                  </w:r>
                </w:p>
              </w:tc>
              <w:tc>
                <w:tcPr>
                  <w:tcW w:w="705" w:type="pct"/>
                  <w:noWrap w:val="0"/>
                  <w:vAlign w:val="center"/>
                </w:tcPr>
                <w:p>
                  <w:pPr>
                    <w:jc w:val="center"/>
                    <w:rPr>
                      <w:rFonts w:hint="default"/>
                      <w:bCs/>
                      <w:color w:val="auto"/>
                      <w:kern w:val="0"/>
                      <w:sz w:val="21"/>
                      <w:szCs w:val="21"/>
                      <w:highlight w:val="none"/>
                      <w:lang w:val="en-US" w:eastAsia="zh-CN" w:bidi="ar-SA"/>
                    </w:rPr>
                  </w:pPr>
                  <w:r>
                    <w:rPr>
                      <w:rFonts w:hint="eastAsia"/>
                      <w:bCs/>
                      <w:color w:val="auto"/>
                      <w:kern w:val="0"/>
                      <w:sz w:val="21"/>
                      <w:szCs w:val="21"/>
                      <w:highlight w:val="none"/>
                      <w:lang w:val="en-US" w:eastAsia="zh-CN" w:bidi="ar-SA"/>
                    </w:rPr>
                    <w:t>75000</w:t>
                  </w:r>
                </w:p>
              </w:tc>
              <w:tc>
                <w:tcPr>
                  <w:tcW w:w="684" w:type="pct"/>
                  <w:noWrap w:val="0"/>
                  <w:vAlign w:val="center"/>
                </w:tcPr>
                <w:p>
                  <w:pPr>
                    <w:jc w:val="center"/>
                    <w:rPr>
                      <w:rFonts w:hint="default"/>
                      <w:bCs/>
                      <w:color w:val="auto"/>
                      <w:kern w:val="0"/>
                      <w:sz w:val="21"/>
                      <w:szCs w:val="21"/>
                      <w:highlight w:val="none"/>
                      <w:lang w:val="en-US" w:eastAsia="zh-CN" w:bidi="ar-SA"/>
                    </w:rPr>
                  </w:pPr>
                  <w:r>
                    <w:rPr>
                      <w:rFonts w:hint="default"/>
                      <w:bCs/>
                      <w:color w:val="auto"/>
                      <w:kern w:val="0"/>
                      <w:sz w:val="21"/>
                      <w:szCs w:val="21"/>
                      <w:highlight w:val="none"/>
                      <w:lang w:val="en-US" w:eastAsia="zh-CN" w:bidi="ar-SA"/>
                    </w:rPr>
                    <w:t>27722.3</w:t>
                  </w:r>
                </w:p>
              </w:tc>
              <w:tc>
                <w:tcPr>
                  <w:tcW w:w="662" w:type="pct"/>
                  <w:noWrap w:val="0"/>
                  <w:vAlign w:val="center"/>
                </w:tcPr>
                <w:p>
                  <w:pPr>
                    <w:jc w:val="center"/>
                    <w:rPr>
                      <w:rFonts w:hint="default"/>
                      <w:bCs/>
                      <w:color w:val="auto"/>
                      <w:kern w:val="0"/>
                      <w:sz w:val="21"/>
                      <w:szCs w:val="21"/>
                      <w:highlight w:val="none"/>
                      <w:lang w:val="en-US" w:eastAsia="zh-CN" w:bidi="ar-SA"/>
                    </w:rPr>
                  </w:pPr>
                  <w:r>
                    <w:rPr>
                      <w:rFonts w:hint="eastAsia"/>
                      <w:bCs/>
                      <w:color w:val="auto"/>
                      <w:kern w:val="0"/>
                      <w:sz w:val="21"/>
                      <w:szCs w:val="21"/>
                      <w:highlight w:val="none"/>
                      <w:lang w:val="en-US" w:eastAsia="zh-CN" w:bidi="ar-SA"/>
                    </w:rPr>
                    <w:t>0</w:t>
                  </w:r>
                </w:p>
              </w:tc>
              <w:tc>
                <w:tcPr>
                  <w:tcW w:w="705" w:type="pct"/>
                  <w:noWrap w:val="0"/>
                  <w:vAlign w:val="center"/>
                </w:tcPr>
                <w:p>
                  <w:pPr>
                    <w:jc w:val="center"/>
                    <w:rPr>
                      <w:rFonts w:hint="default"/>
                      <w:bCs/>
                      <w:color w:val="auto"/>
                      <w:kern w:val="0"/>
                      <w:sz w:val="21"/>
                      <w:szCs w:val="21"/>
                      <w:highlight w:val="none"/>
                      <w:lang w:val="en-US" w:eastAsia="zh-CN" w:bidi="ar-SA"/>
                    </w:rPr>
                  </w:pPr>
                  <w:r>
                    <w:rPr>
                      <w:rFonts w:hint="eastAsia"/>
                      <w:bCs/>
                      <w:color w:val="auto"/>
                      <w:kern w:val="0"/>
                      <w:sz w:val="21"/>
                      <w:szCs w:val="21"/>
                      <w:highlight w:val="none"/>
                      <w:lang w:val="en-US" w:eastAsia="zh-CN" w:bidi="ar-SA"/>
                    </w:rPr>
                    <w:t>102722.3</w:t>
                  </w:r>
                </w:p>
              </w:tc>
              <w:tc>
                <w:tcPr>
                  <w:tcW w:w="675" w:type="pct"/>
                  <w:noWrap w:val="0"/>
                  <w:vAlign w:val="center"/>
                </w:tcPr>
                <w:p>
                  <w:pPr>
                    <w:jc w:val="center"/>
                    <w:rPr>
                      <w:rFonts w:hint="default"/>
                      <w:bCs/>
                      <w:color w:val="auto"/>
                      <w:kern w:val="0"/>
                      <w:sz w:val="21"/>
                      <w:szCs w:val="21"/>
                      <w:highlight w:val="none"/>
                      <w:lang w:val="en-US" w:eastAsia="zh-CN" w:bidi="ar-SA"/>
                    </w:rPr>
                  </w:pPr>
                  <w:r>
                    <w:rPr>
                      <w:rFonts w:hint="eastAsia"/>
                      <w:bCs/>
                      <w:color w:val="auto"/>
                      <w:kern w:val="0"/>
                      <w:sz w:val="21"/>
                      <w:szCs w:val="21"/>
                      <w:highlight w:val="none"/>
                      <w:lang w:val="en-US" w:eastAsia="zh-CN" w:bidi="ar-SA"/>
                    </w:rPr>
                    <w:t>+</w:t>
                  </w:r>
                  <w:r>
                    <w:rPr>
                      <w:rFonts w:hint="default"/>
                      <w:bCs/>
                      <w:color w:val="auto"/>
                      <w:kern w:val="0"/>
                      <w:sz w:val="21"/>
                      <w:szCs w:val="21"/>
                      <w:highlight w:val="none"/>
                      <w:lang w:val="en-US" w:eastAsia="zh-CN" w:bidi="ar-SA"/>
                    </w:rPr>
                    <w:t>27722.3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bCs/>
                      <w:color w:val="auto"/>
                      <w:sz w:val="21"/>
                      <w:szCs w:val="21"/>
                      <w:highlight w:val="none"/>
                    </w:rPr>
                  </w:pPr>
                </w:p>
              </w:tc>
              <w:tc>
                <w:tcPr>
                  <w:tcW w:w="1129" w:type="pct"/>
                  <w:gridSpan w:val="2"/>
                  <w:noWrap w:val="0"/>
                  <w:vAlign w:val="center"/>
                </w:tcPr>
                <w:p>
                  <w:pPr>
                    <w:pStyle w:val="10"/>
                    <w:adjustRightInd/>
                    <w:snapToGrid/>
                    <w:spacing w:line="240" w:lineRule="auto"/>
                    <w:ind w:left="0" w:leftChars="0" w:right="0" w:rightChars="0" w:firstLine="0" w:firstLineChars="0"/>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COD</w:t>
                  </w:r>
                </w:p>
              </w:tc>
              <w:tc>
                <w:tcPr>
                  <w:tcW w:w="705"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10.275</w:t>
                  </w:r>
                </w:p>
              </w:tc>
              <w:tc>
                <w:tcPr>
                  <w:tcW w:w="1127" w:type="dxa"/>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13.8612</w:t>
                  </w:r>
                </w:p>
              </w:tc>
              <w:tc>
                <w:tcPr>
                  <w:tcW w:w="1091" w:type="dxa"/>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p>
              </w:tc>
              <w:tc>
                <w:tcPr>
                  <w:tcW w:w="1161" w:type="dxa"/>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24.1362</w:t>
                  </w:r>
                </w:p>
              </w:tc>
              <w:tc>
                <w:tcPr>
                  <w:tcW w:w="1112" w:type="dxa"/>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+13.8612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bCs/>
                      <w:color w:val="auto"/>
                      <w:sz w:val="21"/>
                      <w:szCs w:val="21"/>
                      <w:highlight w:val="none"/>
                    </w:rPr>
                  </w:pPr>
                </w:p>
              </w:tc>
              <w:tc>
                <w:tcPr>
                  <w:tcW w:w="1129" w:type="pct"/>
                  <w:gridSpan w:val="2"/>
                  <w:noWrap w:val="0"/>
                  <w:vAlign w:val="center"/>
                </w:tcPr>
                <w:p>
                  <w:pPr>
                    <w:pStyle w:val="10"/>
                    <w:adjustRightInd/>
                    <w:snapToGrid/>
                    <w:spacing w:line="240" w:lineRule="auto"/>
                    <w:ind w:left="0" w:leftChars="0" w:right="0" w:rightChars="0" w:firstLine="0" w:firstLineChars="0"/>
                    <w:jc w:val="center"/>
                    <w:rPr>
                      <w:rFonts w:hint="eastAsia" w:ascii="Times New Roman"/>
                      <w:color w:val="auto"/>
                      <w:sz w:val="21"/>
                      <w:szCs w:val="21"/>
                      <w:highlight w:val="none"/>
                    </w:rPr>
                  </w:pPr>
                  <w:r>
                    <w:rPr>
                      <w:rFonts w:hint="eastAsia" w:ascii="Times New Roman"/>
                      <w:color w:val="auto"/>
                      <w:sz w:val="21"/>
                      <w:szCs w:val="21"/>
                      <w:highlight w:val="none"/>
                    </w:rPr>
                    <w:t>NH</w:t>
                  </w:r>
                  <w:r>
                    <w:rPr>
                      <w:rFonts w:hint="eastAsia" w:ascii="Times New Roman"/>
                      <w:color w:val="auto"/>
                      <w:sz w:val="21"/>
                      <w:szCs w:val="21"/>
                      <w:highlight w:val="none"/>
                      <w:vertAlign w:val="subscript"/>
                    </w:rPr>
                    <w:t>3</w:t>
                  </w:r>
                  <w:r>
                    <w:rPr>
                      <w:rFonts w:hint="eastAsia" w:ascii="Times New Roman"/>
                      <w:color w:val="auto"/>
                      <w:sz w:val="21"/>
                      <w:szCs w:val="21"/>
                      <w:highlight w:val="none"/>
                    </w:rPr>
                    <w:t>-N</w:t>
                  </w:r>
                </w:p>
              </w:tc>
              <w:tc>
                <w:tcPr>
                  <w:tcW w:w="705"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1.29</w:t>
                  </w:r>
                </w:p>
              </w:tc>
              <w:tc>
                <w:tcPr>
                  <w:tcW w:w="1127" w:type="dxa"/>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1.2475</w:t>
                  </w:r>
                </w:p>
              </w:tc>
              <w:tc>
                <w:tcPr>
                  <w:tcW w:w="1091" w:type="dxa"/>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p>
              </w:tc>
              <w:tc>
                <w:tcPr>
                  <w:tcW w:w="1161" w:type="dxa"/>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2.5375</w:t>
                  </w:r>
                </w:p>
              </w:tc>
              <w:tc>
                <w:tcPr>
                  <w:tcW w:w="1112" w:type="dxa"/>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+1.2475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bCs/>
                      <w:color w:val="auto"/>
                      <w:sz w:val="21"/>
                      <w:szCs w:val="21"/>
                      <w:highlight w:val="none"/>
                    </w:rPr>
                  </w:pPr>
                </w:p>
              </w:tc>
              <w:tc>
                <w:tcPr>
                  <w:tcW w:w="1129" w:type="pct"/>
                  <w:gridSpan w:val="2"/>
                  <w:noWrap w:val="0"/>
                  <w:vAlign w:val="center"/>
                </w:tcPr>
                <w:p>
                  <w:pPr>
                    <w:pStyle w:val="10"/>
                    <w:adjustRightInd/>
                    <w:snapToGrid/>
                    <w:spacing w:line="240" w:lineRule="auto"/>
                    <w:ind w:left="0" w:leftChars="0" w:right="0" w:rightChars="0" w:firstLine="0" w:firstLineChars="0"/>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TP</w:t>
                  </w:r>
                </w:p>
              </w:tc>
              <w:tc>
                <w:tcPr>
                  <w:tcW w:w="705" w:type="pct"/>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0.2408</w:t>
                  </w:r>
                </w:p>
              </w:tc>
              <w:tc>
                <w:tcPr>
                  <w:tcW w:w="1127" w:type="dxa"/>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0.2218</w:t>
                  </w:r>
                </w:p>
              </w:tc>
              <w:tc>
                <w:tcPr>
                  <w:tcW w:w="1091" w:type="dxa"/>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p>
              </w:tc>
              <w:tc>
                <w:tcPr>
                  <w:tcW w:w="1161" w:type="dxa"/>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0.4626</w:t>
                  </w:r>
                </w:p>
              </w:tc>
              <w:tc>
                <w:tcPr>
                  <w:tcW w:w="1112" w:type="dxa"/>
                  <w:noWrap w:val="0"/>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+0.2218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restart"/>
                  <w:noWrap w:val="0"/>
                  <w:vAlign w:val="center"/>
                </w:tcPr>
                <w:p>
                  <w:pPr>
                    <w:pStyle w:val="8"/>
                    <w:overflowPunct w:val="0"/>
                    <w:autoSpaceDE w:val="0"/>
                    <w:autoSpaceDN w:val="0"/>
                    <w:snapToGrid/>
                    <w:spacing w:before="0" w:after="0" w:line="240" w:lineRule="auto"/>
                    <w:ind w:right="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固废</w:t>
                  </w:r>
                </w:p>
              </w:tc>
              <w:tc>
                <w:tcPr>
                  <w:tcW w:w="1129" w:type="pct"/>
                  <w:gridSpan w:val="2"/>
                  <w:noWrap w:val="0"/>
                  <w:vAlign w:val="center"/>
                </w:tcPr>
                <w:p>
                  <w:pPr>
                    <w:pStyle w:val="57"/>
                    <w:jc w:val="center"/>
                    <w:rPr>
                      <w:rFonts w:hint="eastAsia" w:ascii="Times New Roman" w:hAnsi="Times New Roman" w:eastAsia="Times New Roman" w:cs="Times New Roman"/>
                      <w:color w:val="auto"/>
                      <w:sz w:val="21"/>
                      <w:szCs w:val="21"/>
                      <w:highlight w:val="none"/>
                      <w:lang w:val="en-US" w:eastAsia="zh-CN" w:bidi="ar-SA"/>
                    </w:rPr>
                  </w:pPr>
                  <w:r>
                    <w:rPr>
                      <w:rFonts w:hint="eastAsia"/>
                      <w:color w:val="auto"/>
                      <w:szCs w:val="21"/>
                      <w:highlight w:val="none"/>
                    </w:rPr>
                    <w:t>生活垃圾</w:t>
                  </w:r>
                </w:p>
              </w:tc>
              <w:tc>
                <w:tcPr>
                  <w:tcW w:w="705" w:type="pct"/>
                  <w:noWrap w:val="0"/>
                  <w:vAlign w:val="center"/>
                </w:tcPr>
                <w:p>
                  <w:pPr>
                    <w:pStyle w:val="10"/>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19.8</w:t>
                  </w:r>
                </w:p>
              </w:tc>
              <w:tc>
                <w:tcPr>
                  <w:tcW w:w="684"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12</w:t>
                  </w:r>
                </w:p>
              </w:tc>
              <w:tc>
                <w:tcPr>
                  <w:tcW w:w="662" w:type="pct"/>
                  <w:noWrap w:val="0"/>
                  <w:vAlign w:val="center"/>
                </w:tcPr>
                <w:p>
                  <w:pPr>
                    <w:keepNext w:val="0"/>
                    <w:keepLines w:val="0"/>
                    <w:widowControl/>
                    <w:suppressLineNumbers w:val="0"/>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0</w:t>
                  </w:r>
                </w:p>
              </w:tc>
              <w:tc>
                <w:tcPr>
                  <w:tcW w:w="7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31.8</w:t>
                  </w:r>
                </w:p>
              </w:tc>
              <w:tc>
                <w:tcPr>
                  <w:tcW w:w="675"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highlight w:val="none"/>
                      <w:lang w:val="en-US" w:eastAsia="zh-CN"/>
                    </w:rPr>
                    <w:t>+</w:t>
                  </w:r>
                  <w:r>
                    <w:rPr>
                      <w:rFonts w:hint="eastAsia" w:eastAsia="宋体"/>
                      <w:color w:val="auto"/>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rFonts w:hint="default" w:eastAsia="宋体"/>
                      <w:bCs/>
                      <w:color w:val="auto"/>
                      <w:sz w:val="21"/>
                      <w:szCs w:val="21"/>
                      <w:highlight w:val="none"/>
                      <w:lang w:val="en-US" w:eastAsia="zh-CN"/>
                    </w:rPr>
                  </w:pPr>
                </w:p>
              </w:tc>
              <w:tc>
                <w:tcPr>
                  <w:tcW w:w="1129" w:type="pct"/>
                  <w:gridSpan w:val="2"/>
                  <w:noWrap w:val="0"/>
                  <w:vAlign w:val="center"/>
                </w:tcPr>
                <w:p>
                  <w:pPr>
                    <w:pStyle w:val="57"/>
                    <w:jc w:val="center"/>
                    <w:rPr>
                      <w:rFonts w:hint="eastAsia" w:ascii="Times New Roman" w:hAnsi="Times New Roman" w:eastAsia="Times New Roman" w:cs="Times New Roman"/>
                      <w:color w:val="auto"/>
                      <w:sz w:val="21"/>
                      <w:szCs w:val="21"/>
                      <w:highlight w:val="none"/>
                      <w:lang w:val="en-US" w:eastAsia="zh-CN" w:bidi="ar-SA"/>
                    </w:rPr>
                  </w:pPr>
                  <w:r>
                    <w:rPr>
                      <w:rFonts w:hint="eastAsia"/>
                      <w:color w:val="auto"/>
                      <w:szCs w:val="21"/>
                      <w:highlight w:val="none"/>
                    </w:rPr>
                    <w:t>废包装材料</w:t>
                  </w:r>
                </w:p>
              </w:tc>
              <w:tc>
                <w:tcPr>
                  <w:tcW w:w="705" w:type="pct"/>
                  <w:noWrap w:val="0"/>
                  <w:vAlign w:val="center"/>
                </w:tcPr>
                <w:p>
                  <w:pPr>
                    <w:pStyle w:val="10"/>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10.2</w:t>
                  </w:r>
                </w:p>
              </w:tc>
              <w:tc>
                <w:tcPr>
                  <w:tcW w:w="684"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5</w:t>
                  </w:r>
                </w:p>
              </w:tc>
              <w:tc>
                <w:tcPr>
                  <w:tcW w:w="662" w:type="pct"/>
                  <w:noWrap w:val="0"/>
                  <w:vAlign w:val="center"/>
                </w:tcPr>
                <w:p>
                  <w:pPr>
                    <w:keepNext w:val="0"/>
                    <w:keepLines w:val="0"/>
                    <w:widowControl/>
                    <w:suppressLineNumbers w:val="0"/>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0</w:t>
                  </w:r>
                </w:p>
              </w:tc>
              <w:tc>
                <w:tcPr>
                  <w:tcW w:w="7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15.2</w:t>
                  </w:r>
                </w:p>
              </w:tc>
              <w:tc>
                <w:tcPr>
                  <w:tcW w:w="675" w:type="pct"/>
                  <w:noWrap w:val="0"/>
                  <w:vAlign w:val="center"/>
                </w:tcPr>
                <w:p>
                  <w:pPr>
                    <w:pStyle w:val="57"/>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highlight w:val="none"/>
                      <w:lang w:val="en-US" w:eastAsia="zh-CN"/>
                    </w:rPr>
                    <w:t>+</w:t>
                  </w:r>
                  <w:r>
                    <w:rPr>
                      <w:rFonts w:hint="eastAsia" w:eastAsia="宋体"/>
                      <w:color w:val="auto"/>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rFonts w:hint="default" w:eastAsia="宋体"/>
                      <w:bCs/>
                      <w:color w:val="auto"/>
                      <w:sz w:val="21"/>
                      <w:szCs w:val="21"/>
                      <w:highlight w:val="none"/>
                      <w:lang w:val="en-US" w:eastAsia="zh-CN"/>
                    </w:rPr>
                  </w:pPr>
                </w:p>
              </w:tc>
              <w:tc>
                <w:tcPr>
                  <w:tcW w:w="1129" w:type="pct"/>
                  <w:gridSpan w:val="2"/>
                  <w:noWrap w:val="0"/>
                  <w:vAlign w:val="center"/>
                </w:tcPr>
                <w:p>
                  <w:pPr>
                    <w:pStyle w:val="57"/>
                    <w:jc w:val="center"/>
                    <w:rPr>
                      <w:rFonts w:hint="eastAsia" w:ascii="Times New Roman" w:hAnsi="Times New Roman" w:eastAsia="Times New Roman" w:cs="Times New Roman"/>
                      <w:color w:val="auto"/>
                      <w:sz w:val="21"/>
                      <w:szCs w:val="21"/>
                      <w:highlight w:val="none"/>
                      <w:lang w:val="en-US" w:eastAsia="zh-CN" w:bidi="ar-SA"/>
                    </w:rPr>
                  </w:pPr>
                  <w:r>
                    <w:rPr>
                      <w:rFonts w:hint="eastAsia"/>
                      <w:color w:val="auto"/>
                      <w:szCs w:val="21"/>
                      <w:highlight w:val="none"/>
                    </w:rPr>
                    <w:t>不合格品</w:t>
                  </w:r>
                </w:p>
              </w:tc>
              <w:tc>
                <w:tcPr>
                  <w:tcW w:w="705" w:type="pct"/>
                  <w:noWrap w:val="0"/>
                  <w:vAlign w:val="center"/>
                </w:tcPr>
                <w:p>
                  <w:pPr>
                    <w:pStyle w:val="10"/>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4</w:t>
                  </w:r>
                </w:p>
              </w:tc>
              <w:tc>
                <w:tcPr>
                  <w:tcW w:w="684"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eastAsia="宋体" w:cs="Times New Roman"/>
                      <w:color w:val="auto"/>
                      <w:sz w:val="21"/>
                      <w:szCs w:val="21"/>
                      <w:highlight w:val="none"/>
                      <w:lang w:val="en-US" w:eastAsia="zh-CN" w:bidi="ar-SA"/>
                    </w:rPr>
                    <w:t>1.75</w:t>
                  </w:r>
                </w:p>
              </w:tc>
              <w:tc>
                <w:tcPr>
                  <w:tcW w:w="662" w:type="pct"/>
                  <w:noWrap w:val="0"/>
                  <w:vAlign w:val="center"/>
                </w:tcPr>
                <w:p>
                  <w:pPr>
                    <w:keepNext w:val="0"/>
                    <w:keepLines w:val="0"/>
                    <w:widowControl/>
                    <w:suppressLineNumbers w:val="0"/>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0</w:t>
                  </w:r>
                </w:p>
              </w:tc>
              <w:tc>
                <w:tcPr>
                  <w:tcW w:w="7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5.75</w:t>
                  </w:r>
                </w:p>
              </w:tc>
              <w:tc>
                <w:tcPr>
                  <w:tcW w:w="675"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eastAsia="宋体" w:cs="Times New Roman"/>
                      <w:color w:val="auto"/>
                      <w:sz w:val="21"/>
                      <w:szCs w:val="21"/>
                      <w:highlight w:val="none"/>
                      <w:lang w:val="en-US" w:eastAsia="zh-CN" w:bidi="ar-SA"/>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rFonts w:hint="default" w:eastAsia="宋体"/>
                      <w:bCs/>
                      <w:color w:val="auto"/>
                      <w:sz w:val="21"/>
                      <w:szCs w:val="21"/>
                      <w:highlight w:val="none"/>
                      <w:lang w:val="en-US" w:eastAsia="zh-CN"/>
                    </w:rPr>
                  </w:pPr>
                </w:p>
              </w:tc>
              <w:tc>
                <w:tcPr>
                  <w:tcW w:w="1129" w:type="pct"/>
                  <w:gridSpan w:val="2"/>
                  <w:noWrap w:val="0"/>
                  <w:vAlign w:val="center"/>
                </w:tcPr>
                <w:p>
                  <w:pPr>
                    <w:pStyle w:val="57"/>
                    <w:jc w:val="center"/>
                    <w:rPr>
                      <w:rFonts w:hint="eastAsia" w:ascii="Times New Roman" w:hAnsi="Times New Roman" w:eastAsia="Times New Roman" w:cs="Times New Roman"/>
                      <w:color w:val="auto"/>
                      <w:sz w:val="21"/>
                      <w:szCs w:val="21"/>
                      <w:highlight w:val="none"/>
                      <w:lang w:val="en-US" w:eastAsia="zh-CN" w:bidi="ar-SA"/>
                    </w:rPr>
                  </w:pPr>
                  <w:r>
                    <w:rPr>
                      <w:rFonts w:hint="eastAsia"/>
                      <w:color w:val="auto"/>
                      <w:szCs w:val="21"/>
                      <w:highlight w:val="none"/>
                    </w:rPr>
                    <w:t>餐厨垃圾及隔油池废油</w:t>
                  </w:r>
                </w:p>
              </w:tc>
              <w:tc>
                <w:tcPr>
                  <w:tcW w:w="705" w:type="pct"/>
                  <w:noWrap w:val="0"/>
                  <w:vAlign w:val="center"/>
                </w:tcPr>
                <w:p>
                  <w:pPr>
                    <w:pStyle w:val="10"/>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684"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12.8</w:t>
                  </w:r>
                </w:p>
              </w:tc>
              <w:tc>
                <w:tcPr>
                  <w:tcW w:w="662" w:type="pct"/>
                  <w:noWrap w:val="0"/>
                  <w:vAlign w:val="center"/>
                </w:tcPr>
                <w:p>
                  <w:pPr>
                    <w:keepNext w:val="0"/>
                    <w:keepLines w:val="0"/>
                    <w:widowControl/>
                    <w:suppressLineNumbers w:val="0"/>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0</w:t>
                  </w:r>
                </w:p>
              </w:tc>
              <w:tc>
                <w:tcPr>
                  <w:tcW w:w="7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32.8</w:t>
                  </w:r>
                </w:p>
              </w:tc>
              <w:tc>
                <w:tcPr>
                  <w:tcW w:w="675"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highlight w:val="none"/>
                      <w:lang w:val="en-US" w:eastAsia="zh-CN"/>
                    </w:rPr>
                    <w:t>+</w:t>
                  </w:r>
                  <w:r>
                    <w:rPr>
                      <w:rFonts w:hint="eastAsia" w:eastAsia="宋体"/>
                      <w:color w:val="auto"/>
                      <w:szCs w:val="21"/>
                      <w:highlight w:val="none"/>
                      <w:lang w:val="en-US" w:eastAsia="zh-CN"/>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rFonts w:hint="default" w:eastAsia="宋体"/>
                      <w:bCs/>
                      <w:color w:val="auto"/>
                      <w:sz w:val="21"/>
                      <w:szCs w:val="21"/>
                      <w:highlight w:val="none"/>
                      <w:lang w:val="en-US" w:eastAsia="zh-CN"/>
                    </w:rPr>
                  </w:pPr>
                </w:p>
              </w:tc>
              <w:tc>
                <w:tcPr>
                  <w:tcW w:w="1129" w:type="pct"/>
                  <w:gridSpan w:val="2"/>
                  <w:noWrap w:val="0"/>
                  <w:vAlign w:val="center"/>
                </w:tcPr>
                <w:p>
                  <w:pPr>
                    <w:pStyle w:val="57"/>
                    <w:jc w:val="center"/>
                    <w:rPr>
                      <w:rFonts w:hint="eastAsia"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废植物油</w:t>
                  </w:r>
                </w:p>
              </w:tc>
              <w:tc>
                <w:tcPr>
                  <w:tcW w:w="705" w:type="pct"/>
                  <w:noWrap w:val="0"/>
                  <w:vAlign w:val="center"/>
                </w:tcPr>
                <w:p>
                  <w:pPr>
                    <w:pStyle w:val="10"/>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c>
                <w:tcPr>
                  <w:tcW w:w="684"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15</w:t>
                  </w:r>
                </w:p>
              </w:tc>
              <w:tc>
                <w:tcPr>
                  <w:tcW w:w="662" w:type="pct"/>
                  <w:noWrap w:val="0"/>
                  <w:vAlign w:val="center"/>
                </w:tcPr>
                <w:p>
                  <w:pPr>
                    <w:keepNext w:val="0"/>
                    <w:keepLines w:val="0"/>
                    <w:widowControl/>
                    <w:suppressLineNumbers w:val="0"/>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0</w:t>
                  </w:r>
                </w:p>
              </w:tc>
              <w:tc>
                <w:tcPr>
                  <w:tcW w:w="7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675"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highlight w:val="none"/>
                      <w:lang w:val="en-US" w:eastAsia="zh-CN"/>
                    </w:rPr>
                    <w:t>+</w:t>
                  </w:r>
                  <w:r>
                    <w:rPr>
                      <w:rFonts w:hint="eastAsia" w:eastAsia="宋体"/>
                      <w:color w:val="auto"/>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rFonts w:hint="default" w:eastAsia="宋体"/>
                      <w:bCs/>
                      <w:color w:val="auto"/>
                      <w:sz w:val="21"/>
                      <w:szCs w:val="21"/>
                      <w:highlight w:val="none"/>
                      <w:lang w:val="en-US" w:eastAsia="zh-CN"/>
                    </w:rPr>
                  </w:pPr>
                </w:p>
              </w:tc>
              <w:tc>
                <w:tcPr>
                  <w:tcW w:w="1129" w:type="pct"/>
                  <w:gridSpan w:val="2"/>
                  <w:noWrap w:val="0"/>
                  <w:vAlign w:val="center"/>
                </w:tcPr>
                <w:p>
                  <w:pPr>
                    <w:pStyle w:val="57"/>
                    <w:jc w:val="center"/>
                    <w:rPr>
                      <w:rFonts w:hint="eastAsia"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废油纸</w:t>
                  </w:r>
                </w:p>
              </w:tc>
              <w:tc>
                <w:tcPr>
                  <w:tcW w:w="705" w:type="pct"/>
                  <w:noWrap w:val="0"/>
                  <w:vAlign w:val="center"/>
                </w:tcPr>
                <w:p>
                  <w:pPr>
                    <w:pStyle w:val="10"/>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684"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0.05</w:t>
                  </w:r>
                </w:p>
              </w:tc>
              <w:tc>
                <w:tcPr>
                  <w:tcW w:w="662" w:type="pct"/>
                  <w:noWrap w:val="0"/>
                  <w:vAlign w:val="center"/>
                </w:tcPr>
                <w:p>
                  <w:pPr>
                    <w:keepNext w:val="0"/>
                    <w:keepLines w:val="0"/>
                    <w:widowControl/>
                    <w:suppressLineNumbers w:val="0"/>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0</w:t>
                  </w:r>
                </w:p>
              </w:tc>
              <w:tc>
                <w:tcPr>
                  <w:tcW w:w="7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0.15</w:t>
                  </w:r>
                </w:p>
              </w:tc>
              <w:tc>
                <w:tcPr>
                  <w:tcW w:w="675"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highlight w:val="none"/>
                      <w:lang w:val="en-US" w:eastAsia="zh-CN"/>
                    </w:rPr>
                    <w:t>+</w:t>
                  </w:r>
                  <w:r>
                    <w:rPr>
                      <w:rFonts w:hint="eastAsia" w:eastAsia="宋体"/>
                      <w:color w:val="auto"/>
                      <w:szCs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rFonts w:hint="default" w:eastAsia="宋体"/>
                      <w:bCs/>
                      <w:color w:val="auto"/>
                      <w:sz w:val="21"/>
                      <w:szCs w:val="21"/>
                      <w:highlight w:val="none"/>
                      <w:lang w:val="en-US" w:eastAsia="zh-CN"/>
                    </w:rPr>
                  </w:pPr>
                </w:p>
              </w:tc>
              <w:tc>
                <w:tcPr>
                  <w:tcW w:w="1129" w:type="pct"/>
                  <w:gridSpan w:val="2"/>
                  <w:noWrap w:val="0"/>
                  <w:vAlign w:val="center"/>
                </w:tcPr>
                <w:p>
                  <w:pPr>
                    <w:pStyle w:val="57"/>
                    <w:jc w:val="center"/>
                    <w:rPr>
                      <w:rFonts w:hint="eastAsia"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栅渣</w:t>
                  </w:r>
                </w:p>
              </w:tc>
              <w:tc>
                <w:tcPr>
                  <w:tcW w:w="705" w:type="pct"/>
                  <w:noWrap w:val="0"/>
                  <w:vAlign w:val="center"/>
                </w:tcPr>
                <w:p>
                  <w:pPr>
                    <w:pStyle w:val="10"/>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684"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3</w:t>
                  </w:r>
                </w:p>
              </w:tc>
              <w:tc>
                <w:tcPr>
                  <w:tcW w:w="662" w:type="pct"/>
                  <w:noWrap w:val="0"/>
                  <w:vAlign w:val="center"/>
                </w:tcPr>
                <w:p>
                  <w:pPr>
                    <w:keepNext w:val="0"/>
                    <w:keepLines w:val="0"/>
                    <w:widowControl/>
                    <w:suppressLineNumbers w:val="0"/>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0</w:t>
                  </w:r>
                </w:p>
              </w:tc>
              <w:tc>
                <w:tcPr>
                  <w:tcW w:w="7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675"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highlight w:val="none"/>
                      <w:lang w:val="en-US" w:eastAsia="zh-CN"/>
                    </w:rPr>
                    <w:t>+</w:t>
                  </w:r>
                  <w:r>
                    <w:rPr>
                      <w:rFonts w:hint="eastAsia" w:eastAsia="宋体"/>
                      <w:color w:val="auto"/>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rFonts w:hint="default" w:eastAsia="宋体"/>
                      <w:bCs/>
                      <w:color w:val="auto"/>
                      <w:sz w:val="21"/>
                      <w:szCs w:val="21"/>
                      <w:highlight w:val="none"/>
                      <w:lang w:val="en-US" w:eastAsia="zh-CN"/>
                    </w:rPr>
                  </w:pPr>
                </w:p>
              </w:tc>
              <w:tc>
                <w:tcPr>
                  <w:tcW w:w="1129" w:type="pct"/>
                  <w:gridSpan w:val="2"/>
                  <w:noWrap w:val="0"/>
                  <w:vAlign w:val="center"/>
                </w:tcPr>
                <w:p>
                  <w:pPr>
                    <w:pStyle w:val="57"/>
                    <w:jc w:val="center"/>
                    <w:rPr>
                      <w:rFonts w:hint="eastAsia"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污泥</w:t>
                  </w:r>
                </w:p>
              </w:tc>
              <w:tc>
                <w:tcPr>
                  <w:tcW w:w="705" w:type="pct"/>
                  <w:noWrap w:val="0"/>
                  <w:vAlign w:val="center"/>
                </w:tcPr>
                <w:p>
                  <w:pPr>
                    <w:pStyle w:val="10"/>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684"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2.22</w:t>
                  </w:r>
                </w:p>
              </w:tc>
              <w:tc>
                <w:tcPr>
                  <w:tcW w:w="662" w:type="pct"/>
                  <w:noWrap w:val="0"/>
                  <w:vAlign w:val="center"/>
                </w:tcPr>
                <w:p>
                  <w:pPr>
                    <w:keepNext w:val="0"/>
                    <w:keepLines w:val="0"/>
                    <w:widowControl/>
                    <w:suppressLineNumbers w:val="0"/>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0</w:t>
                  </w:r>
                </w:p>
              </w:tc>
              <w:tc>
                <w:tcPr>
                  <w:tcW w:w="7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8.22</w:t>
                  </w:r>
                </w:p>
              </w:tc>
              <w:tc>
                <w:tcPr>
                  <w:tcW w:w="675"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highlight w:val="none"/>
                      <w:lang w:val="en-US" w:eastAsia="zh-CN"/>
                    </w:rPr>
                    <w:t>+</w:t>
                  </w:r>
                  <w:r>
                    <w:rPr>
                      <w:rFonts w:hint="eastAsia" w:eastAsia="宋体"/>
                      <w:color w:val="auto"/>
                      <w:szCs w:val="21"/>
                      <w:highlight w:val="none"/>
                      <w:lang w:val="en-US" w:eastAsia="zh-CN"/>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rFonts w:hint="default" w:eastAsia="宋体"/>
                      <w:bCs/>
                      <w:color w:val="auto"/>
                      <w:sz w:val="21"/>
                      <w:szCs w:val="21"/>
                      <w:highlight w:val="none"/>
                      <w:lang w:val="en-US" w:eastAsia="zh-CN"/>
                    </w:rPr>
                  </w:pPr>
                </w:p>
              </w:tc>
              <w:tc>
                <w:tcPr>
                  <w:tcW w:w="1129" w:type="pct"/>
                  <w:gridSpan w:val="2"/>
                  <w:noWrap w:val="0"/>
                  <w:vAlign w:val="center"/>
                </w:tcPr>
                <w:p>
                  <w:pPr>
                    <w:pStyle w:val="57"/>
                    <w:jc w:val="center"/>
                    <w:rPr>
                      <w:rFonts w:hint="eastAsia"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废离子交换树脂</w:t>
                  </w:r>
                </w:p>
              </w:tc>
              <w:tc>
                <w:tcPr>
                  <w:tcW w:w="705" w:type="pct"/>
                  <w:noWrap w:val="0"/>
                  <w:vAlign w:val="center"/>
                </w:tcPr>
                <w:p>
                  <w:pPr>
                    <w:pStyle w:val="10"/>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684"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0.5</w:t>
                  </w:r>
                </w:p>
              </w:tc>
              <w:tc>
                <w:tcPr>
                  <w:tcW w:w="662" w:type="pct"/>
                  <w:noWrap w:val="0"/>
                  <w:vAlign w:val="center"/>
                </w:tcPr>
                <w:p>
                  <w:pPr>
                    <w:keepNext w:val="0"/>
                    <w:keepLines w:val="0"/>
                    <w:widowControl/>
                    <w:suppressLineNumbers w:val="0"/>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0</w:t>
                  </w:r>
                </w:p>
              </w:tc>
              <w:tc>
                <w:tcPr>
                  <w:tcW w:w="7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675"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highlight w:val="none"/>
                      <w:lang w:val="en-US" w:eastAsia="zh-CN"/>
                    </w:rPr>
                    <w:t>+</w:t>
                  </w:r>
                  <w:r>
                    <w:rPr>
                      <w:rFonts w:hint="eastAsia" w:eastAsia="宋体"/>
                      <w:color w:val="auto"/>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rFonts w:hint="default" w:eastAsia="宋体"/>
                      <w:bCs/>
                      <w:color w:val="auto"/>
                      <w:sz w:val="21"/>
                      <w:szCs w:val="21"/>
                      <w:highlight w:val="none"/>
                      <w:lang w:val="en-US" w:eastAsia="zh-CN"/>
                    </w:rPr>
                  </w:pPr>
                </w:p>
              </w:tc>
              <w:tc>
                <w:tcPr>
                  <w:tcW w:w="1129" w:type="pct"/>
                  <w:gridSpan w:val="2"/>
                  <w:noWrap w:val="0"/>
                  <w:vAlign w:val="center"/>
                </w:tcPr>
                <w:p>
                  <w:pPr>
                    <w:pStyle w:val="57"/>
                    <w:jc w:val="center"/>
                    <w:rPr>
                      <w:rFonts w:hint="eastAsia" w:ascii="Times New Roman" w:hAnsi="Times New Roman" w:eastAsia="Times New Roman" w:cs="Times New Roman"/>
                      <w:color w:val="auto"/>
                      <w:sz w:val="21"/>
                      <w:szCs w:val="21"/>
                      <w:highlight w:val="none"/>
                      <w:lang w:val="en-US" w:eastAsia="zh-CN" w:bidi="ar-SA"/>
                    </w:rPr>
                  </w:pPr>
                  <w:r>
                    <w:rPr>
                      <w:color w:val="auto"/>
                      <w:szCs w:val="21"/>
                      <w:highlight w:val="none"/>
                    </w:rPr>
                    <w:t>废</w:t>
                  </w:r>
                  <w:r>
                    <w:rPr>
                      <w:rFonts w:hint="eastAsia" w:eastAsia="宋体"/>
                      <w:color w:val="auto"/>
                      <w:szCs w:val="21"/>
                      <w:highlight w:val="none"/>
                      <w:lang w:val="en-US" w:eastAsia="zh-CN"/>
                    </w:rPr>
                    <w:t>机</w:t>
                  </w:r>
                  <w:r>
                    <w:rPr>
                      <w:color w:val="auto"/>
                      <w:szCs w:val="21"/>
                      <w:highlight w:val="none"/>
                    </w:rPr>
                    <w:t>油</w:t>
                  </w:r>
                </w:p>
              </w:tc>
              <w:tc>
                <w:tcPr>
                  <w:tcW w:w="705" w:type="pct"/>
                  <w:noWrap w:val="0"/>
                  <w:vAlign w:val="center"/>
                </w:tcPr>
                <w:p>
                  <w:pPr>
                    <w:pStyle w:val="10"/>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w:t>
                  </w:r>
                </w:p>
              </w:tc>
              <w:tc>
                <w:tcPr>
                  <w:tcW w:w="684"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0.03</w:t>
                  </w:r>
                </w:p>
              </w:tc>
              <w:tc>
                <w:tcPr>
                  <w:tcW w:w="662" w:type="pct"/>
                  <w:noWrap w:val="0"/>
                  <w:vAlign w:val="center"/>
                </w:tcPr>
                <w:p>
                  <w:pPr>
                    <w:keepNext w:val="0"/>
                    <w:keepLines w:val="0"/>
                    <w:widowControl/>
                    <w:suppressLineNumbers w:val="0"/>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0</w:t>
                  </w:r>
                </w:p>
              </w:tc>
              <w:tc>
                <w:tcPr>
                  <w:tcW w:w="7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675"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highlight w:val="none"/>
                      <w:lang w:val="en-US" w:eastAsia="zh-CN"/>
                    </w:rPr>
                    <w:t>+</w:t>
                  </w:r>
                  <w:r>
                    <w:rPr>
                      <w:rFonts w:hint="eastAsia" w:eastAsia="宋体"/>
                      <w:color w:val="auto"/>
                      <w:szCs w:val="21"/>
                      <w:highlight w:val="no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rFonts w:hint="default" w:eastAsia="宋体"/>
                      <w:bCs/>
                      <w:color w:val="auto"/>
                      <w:sz w:val="21"/>
                      <w:szCs w:val="21"/>
                      <w:highlight w:val="none"/>
                      <w:lang w:val="en-US" w:eastAsia="zh-CN"/>
                    </w:rPr>
                  </w:pPr>
                </w:p>
              </w:tc>
              <w:tc>
                <w:tcPr>
                  <w:tcW w:w="1129" w:type="pct"/>
                  <w:gridSpan w:val="2"/>
                  <w:noWrap w:val="0"/>
                  <w:vAlign w:val="center"/>
                </w:tcPr>
                <w:p>
                  <w:pPr>
                    <w:pStyle w:val="57"/>
                    <w:jc w:val="center"/>
                    <w:rPr>
                      <w:rFonts w:hint="eastAsia" w:ascii="Times New Roman" w:hAnsi="Times New Roman" w:eastAsia="Times New Roman" w:cs="Times New Roman"/>
                      <w:color w:val="auto"/>
                      <w:sz w:val="21"/>
                      <w:szCs w:val="21"/>
                      <w:highlight w:val="none"/>
                      <w:lang w:val="en-US" w:eastAsia="zh-CN" w:bidi="ar-SA"/>
                    </w:rPr>
                  </w:pPr>
                  <w:r>
                    <w:rPr>
                      <w:color w:val="auto"/>
                      <w:szCs w:val="21"/>
                      <w:highlight w:val="none"/>
                    </w:rPr>
                    <w:t>废</w:t>
                  </w:r>
                  <w:r>
                    <w:rPr>
                      <w:rFonts w:hint="eastAsia" w:eastAsia="宋体"/>
                      <w:color w:val="auto"/>
                      <w:szCs w:val="21"/>
                      <w:highlight w:val="none"/>
                      <w:lang w:val="en-US" w:eastAsia="zh-CN"/>
                    </w:rPr>
                    <w:t>机</w:t>
                  </w:r>
                  <w:r>
                    <w:rPr>
                      <w:color w:val="auto"/>
                      <w:szCs w:val="21"/>
                      <w:highlight w:val="none"/>
                    </w:rPr>
                    <w:t>油桶</w:t>
                  </w:r>
                </w:p>
              </w:tc>
              <w:tc>
                <w:tcPr>
                  <w:tcW w:w="705" w:type="pct"/>
                  <w:noWrap w:val="0"/>
                  <w:vAlign w:val="center"/>
                </w:tcPr>
                <w:p>
                  <w:pPr>
                    <w:pStyle w:val="10"/>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684"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0.01</w:t>
                  </w:r>
                </w:p>
              </w:tc>
              <w:tc>
                <w:tcPr>
                  <w:tcW w:w="662" w:type="pct"/>
                  <w:noWrap w:val="0"/>
                  <w:vAlign w:val="center"/>
                </w:tcPr>
                <w:p>
                  <w:pPr>
                    <w:keepNext w:val="0"/>
                    <w:keepLines w:val="0"/>
                    <w:widowControl/>
                    <w:suppressLineNumbers w:val="0"/>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0</w:t>
                  </w:r>
                </w:p>
              </w:tc>
              <w:tc>
                <w:tcPr>
                  <w:tcW w:w="7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675"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highlight w:val="none"/>
                      <w:lang w:val="en-US" w:eastAsia="zh-CN"/>
                    </w:rPr>
                    <w:t>+</w:t>
                  </w:r>
                  <w:r>
                    <w:rPr>
                      <w:rFonts w:hint="eastAsia" w:eastAsia="宋体"/>
                      <w:color w:val="auto"/>
                      <w:szCs w:val="21"/>
                      <w:highlight w:val="no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rFonts w:hint="default" w:eastAsia="宋体"/>
                      <w:bCs/>
                      <w:color w:val="auto"/>
                      <w:sz w:val="21"/>
                      <w:szCs w:val="21"/>
                      <w:highlight w:val="none"/>
                      <w:lang w:val="en-US" w:eastAsia="zh-CN"/>
                    </w:rPr>
                  </w:pPr>
                </w:p>
              </w:tc>
              <w:tc>
                <w:tcPr>
                  <w:tcW w:w="1129" w:type="pct"/>
                  <w:gridSpan w:val="2"/>
                  <w:noWrap w:val="0"/>
                  <w:vAlign w:val="center"/>
                </w:tcPr>
                <w:p>
                  <w:pPr>
                    <w:pStyle w:val="57"/>
                    <w:jc w:val="center"/>
                    <w:rPr>
                      <w:rFonts w:hint="eastAsia" w:ascii="Times New Roman" w:hAnsi="Times New Roman" w:eastAsia="Times New Roman" w:cs="Times New Roman"/>
                      <w:color w:val="auto"/>
                      <w:sz w:val="21"/>
                      <w:szCs w:val="21"/>
                      <w:highlight w:val="none"/>
                      <w:lang w:val="en-US" w:eastAsia="zh-CN" w:bidi="ar-SA"/>
                    </w:rPr>
                  </w:pPr>
                  <w:r>
                    <w:rPr>
                      <w:rFonts w:hint="eastAsia"/>
                      <w:color w:val="auto"/>
                      <w:szCs w:val="21"/>
                      <w:highlight w:val="none"/>
                    </w:rPr>
                    <w:t>废</w:t>
                  </w:r>
                  <w:r>
                    <w:rPr>
                      <w:color w:val="auto"/>
                      <w:szCs w:val="21"/>
                      <w:highlight w:val="none"/>
                    </w:rPr>
                    <w:t>含油抹布、手套</w:t>
                  </w:r>
                </w:p>
              </w:tc>
              <w:tc>
                <w:tcPr>
                  <w:tcW w:w="705" w:type="pct"/>
                  <w:noWrap w:val="0"/>
                  <w:vAlign w:val="center"/>
                </w:tcPr>
                <w:p>
                  <w:pPr>
                    <w:pStyle w:val="10"/>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684"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0.01</w:t>
                  </w:r>
                </w:p>
              </w:tc>
              <w:tc>
                <w:tcPr>
                  <w:tcW w:w="662" w:type="pct"/>
                  <w:noWrap w:val="0"/>
                  <w:vAlign w:val="center"/>
                </w:tcPr>
                <w:p>
                  <w:pPr>
                    <w:keepNext w:val="0"/>
                    <w:keepLines w:val="0"/>
                    <w:widowControl/>
                    <w:suppressLineNumbers w:val="0"/>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0</w:t>
                  </w:r>
                </w:p>
              </w:tc>
              <w:tc>
                <w:tcPr>
                  <w:tcW w:w="7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675"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highlight w:val="none"/>
                      <w:lang w:val="en-US" w:eastAsia="zh-CN"/>
                    </w:rPr>
                    <w:t>+</w:t>
                  </w:r>
                  <w:r>
                    <w:rPr>
                      <w:rFonts w:hint="eastAsia" w:eastAsia="宋体"/>
                      <w:color w:val="auto"/>
                      <w:szCs w:val="21"/>
                      <w:highlight w:val="no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rFonts w:hint="default" w:eastAsia="宋体"/>
                      <w:bCs/>
                      <w:color w:val="auto"/>
                      <w:sz w:val="21"/>
                      <w:szCs w:val="21"/>
                      <w:highlight w:val="none"/>
                      <w:lang w:val="en-US" w:eastAsia="zh-CN"/>
                    </w:rPr>
                  </w:pPr>
                </w:p>
              </w:tc>
              <w:tc>
                <w:tcPr>
                  <w:tcW w:w="1129" w:type="pct"/>
                  <w:gridSpan w:val="2"/>
                  <w:noWrap w:val="0"/>
                  <w:vAlign w:val="center"/>
                </w:tcPr>
                <w:p>
                  <w:pPr>
                    <w:pStyle w:val="57"/>
                    <w:jc w:val="center"/>
                    <w:rPr>
                      <w:rFonts w:hint="eastAsia"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废无尘布</w:t>
                  </w:r>
                </w:p>
              </w:tc>
              <w:tc>
                <w:tcPr>
                  <w:tcW w:w="705" w:type="pct"/>
                  <w:noWrap w:val="0"/>
                  <w:vAlign w:val="center"/>
                </w:tcPr>
                <w:p>
                  <w:pPr>
                    <w:pStyle w:val="10"/>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684"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0.01</w:t>
                  </w:r>
                </w:p>
              </w:tc>
              <w:tc>
                <w:tcPr>
                  <w:tcW w:w="662" w:type="pct"/>
                  <w:noWrap w:val="0"/>
                  <w:vAlign w:val="center"/>
                </w:tcPr>
                <w:p>
                  <w:pPr>
                    <w:keepNext w:val="0"/>
                    <w:keepLines w:val="0"/>
                    <w:widowControl/>
                    <w:suppressLineNumbers w:val="0"/>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0</w:t>
                  </w:r>
                </w:p>
              </w:tc>
              <w:tc>
                <w:tcPr>
                  <w:tcW w:w="7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675"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highlight w:val="none"/>
                      <w:lang w:val="en-US" w:eastAsia="zh-CN"/>
                    </w:rPr>
                    <w:t>+</w:t>
                  </w:r>
                  <w:r>
                    <w:rPr>
                      <w:rFonts w:hint="eastAsia" w:eastAsia="宋体"/>
                      <w:color w:val="auto"/>
                      <w:szCs w:val="21"/>
                      <w:highlight w:val="no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rFonts w:hint="default" w:eastAsia="宋体"/>
                      <w:bCs/>
                      <w:color w:val="auto"/>
                      <w:sz w:val="21"/>
                      <w:szCs w:val="21"/>
                      <w:highlight w:val="none"/>
                      <w:lang w:val="en-US" w:eastAsia="zh-CN"/>
                    </w:rPr>
                  </w:pPr>
                </w:p>
              </w:tc>
              <w:tc>
                <w:tcPr>
                  <w:tcW w:w="1129" w:type="pct"/>
                  <w:gridSpan w:val="2"/>
                  <w:noWrap w:val="0"/>
                  <w:vAlign w:val="center"/>
                </w:tcPr>
                <w:p>
                  <w:pPr>
                    <w:pStyle w:val="57"/>
                    <w:jc w:val="center"/>
                    <w:rPr>
                      <w:rFonts w:hint="eastAsia" w:ascii="Times New Roman" w:hAnsi="Times New Roman" w:eastAsia="宋体" w:cs="Times New Roman"/>
                      <w:color w:val="auto"/>
                      <w:sz w:val="21"/>
                      <w:szCs w:val="21"/>
                      <w:highlight w:val="none"/>
                      <w:lang w:val="en-US" w:eastAsia="zh-CN" w:bidi="ar-SA"/>
                    </w:rPr>
                  </w:pPr>
                  <w:r>
                    <w:rPr>
                      <w:rFonts w:hint="default" w:eastAsia="宋体"/>
                      <w:color w:val="auto"/>
                      <w:szCs w:val="21"/>
                      <w:highlight w:val="none"/>
                      <w:lang w:val="en-US" w:eastAsia="zh-CN"/>
                    </w:rPr>
                    <w:t>沾染危险物质的废包装物</w:t>
                  </w:r>
                </w:p>
              </w:tc>
              <w:tc>
                <w:tcPr>
                  <w:tcW w:w="705" w:type="pct"/>
                  <w:noWrap w:val="0"/>
                  <w:vAlign w:val="center"/>
                </w:tcPr>
                <w:p>
                  <w:pPr>
                    <w:pStyle w:val="10"/>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w:t>
                  </w:r>
                </w:p>
              </w:tc>
              <w:tc>
                <w:tcPr>
                  <w:tcW w:w="684"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0.15</w:t>
                  </w:r>
                </w:p>
              </w:tc>
              <w:tc>
                <w:tcPr>
                  <w:tcW w:w="662" w:type="pct"/>
                  <w:noWrap w:val="0"/>
                  <w:vAlign w:val="center"/>
                </w:tcPr>
                <w:p>
                  <w:pPr>
                    <w:keepNext w:val="0"/>
                    <w:keepLines w:val="0"/>
                    <w:widowControl/>
                    <w:suppressLineNumbers w:val="0"/>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0</w:t>
                  </w:r>
                </w:p>
              </w:tc>
              <w:tc>
                <w:tcPr>
                  <w:tcW w:w="7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0.45</w:t>
                  </w:r>
                </w:p>
              </w:tc>
              <w:tc>
                <w:tcPr>
                  <w:tcW w:w="675"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highlight w:val="none"/>
                      <w:lang w:val="en-US" w:eastAsia="zh-CN"/>
                    </w:rPr>
                    <w:t>+</w:t>
                  </w:r>
                  <w:r>
                    <w:rPr>
                      <w:rFonts w:hint="eastAsia" w:eastAsia="宋体"/>
                      <w:color w:val="auto"/>
                      <w:szCs w:val="21"/>
                      <w:highlight w:val="none"/>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7" w:type="pct"/>
                  <w:vMerge w:val="continue"/>
                  <w:noWrap w:val="0"/>
                  <w:vAlign w:val="center"/>
                </w:tcPr>
                <w:p>
                  <w:pPr>
                    <w:pStyle w:val="8"/>
                    <w:overflowPunct w:val="0"/>
                    <w:autoSpaceDE w:val="0"/>
                    <w:autoSpaceDN w:val="0"/>
                    <w:snapToGrid/>
                    <w:spacing w:before="0" w:after="0" w:line="240" w:lineRule="auto"/>
                    <w:ind w:right="0"/>
                    <w:jc w:val="center"/>
                    <w:rPr>
                      <w:rFonts w:hint="default" w:eastAsia="宋体"/>
                      <w:bCs/>
                      <w:color w:val="auto"/>
                      <w:sz w:val="21"/>
                      <w:szCs w:val="21"/>
                      <w:highlight w:val="none"/>
                      <w:lang w:val="en-US" w:eastAsia="zh-CN"/>
                    </w:rPr>
                  </w:pPr>
                </w:p>
              </w:tc>
              <w:tc>
                <w:tcPr>
                  <w:tcW w:w="1129" w:type="pct"/>
                  <w:gridSpan w:val="2"/>
                  <w:noWrap w:val="0"/>
                  <w:vAlign w:val="center"/>
                </w:tcPr>
                <w:p>
                  <w:pPr>
                    <w:pStyle w:val="57"/>
                    <w:jc w:val="center"/>
                    <w:rPr>
                      <w:rFonts w:hint="eastAsia" w:ascii="Times New Roman" w:hAnsi="Times New Roman" w:eastAsia="Times New Roman" w:cs="Times New Roman"/>
                      <w:color w:val="auto"/>
                      <w:sz w:val="21"/>
                      <w:szCs w:val="21"/>
                      <w:highlight w:val="none"/>
                      <w:lang w:val="en-US" w:eastAsia="zh-CN" w:bidi="ar-SA"/>
                    </w:rPr>
                  </w:pPr>
                  <w:r>
                    <w:rPr>
                      <w:rFonts w:hint="eastAsia"/>
                      <w:color w:val="auto"/>
                      <w:szCs w:val="21"/>
                      <w:highlight w:val="none"/>
                    </w:rPr>
                    <w:t>实验废液</w:t>
                  </w:r>
                </w:p>
              </w:tc>
              <w:tc>
                <w:tcPr>
                  <w:tcW w:w="705" w:type="pct"/>
                  <w:noWrap w:val="0"/>
                  <w:vAlign w:val="center"/>
                </w:tcPr>
                <w:p>
                  <w:pPr>
                    <w:pStyle w:val="10"/>
                    <w:adjustRightInd/>
                    <w:snapToGrid/>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684"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eastAsia="宋体"/>
                      <w:color w:val="auto"/>
                      <w:szCs w:val="21"/>
                      <w:highlight w:val="none"/>
                      <w:lang w:val="en-US" w:eastAsia="zh-CN"/>
                    </w:rPr>
                    <w:t>0.78</w:t>
                  </w:r>
                </w:p>
              </w:tc>
              <w:tc>
                <w:tcPr>
                  <w:tcW w:w="662" w:type="pct"/>
                  <w:noWrap w:val="0"/>
                  <w:vAlign w:val="center"/>
                </w:tcPr>
                <w:p>
                  <w:pPr>
                    <w:keepNext w:val="0"/>
                    <w:keepLines w:val="0"/>
                    <w:widowControl/>
                    <w:suppressLineNumbers w:val="0"/>
                    <w:jc w:val="center"/>
                    <w:textAlignment w:val="center"/>
                    <w:rPr>
                      <w:rFonts w:hint="default"/>
                      <w:bCs/>
                      <w:color w:val="auto"/>
                      <w:sz w:val="21"/>
                      <w:szCs w:val="21"/>
                      <w:highlight w:val="none"/>
                      <w:lang w:val="en-US" w:eastAsia="zh-CN"/>
                    </w:rPr>
                  </w:pPr>
                  <w:r>
                    <w:rPr>
                      <w:rFonts w:hint="eastAsia"/>
                      <w:bCs/>
                      <w:color w:val="auto"/>
                      <w:sz w:val="21"/>
                      <w:szCs w:val="21"/>
                      <w:highlight w:val="none"/>
                      <w:lang w:val="en-US" w:eastAsia="zh-CN"/>
                    </w:rPr>
                    <w:t>0</w:t>
                  </w:r>
                </w:p>
              </w:tc>
              <w:tc>
                <w:tcPr>
                  <w:tcW w:w="7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2.28</w:t>
                  </w:r>
                </w:p>
              </w:tc>
              <w:tc>
                <w:tcPr>
                  <w:tcW w:w="675" w:type="pct"/>
                  <w:noWrap w:val="0"/>
                  <w:vAlign w:val="center"/>
                </w:tcPr>
                <w:p>
                  <w:pPr>
                    <w:pStyle w:val="57"/>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highlight w:val="none"/>
                      <w:lang w:val="en-US" w:eastAsia="zh-CN"/>
                    </w:rPr>
                    <w:t>+</w:t>
                  </w:r>
                  <w:r>
                    <w:rPr>
                      <w:rFonts w:hint="eastAsia" w:eastAsia="宋体"/>
                      <w:color w:val="auto"/>
                      <w:szCs w:val="21"/>
                      <w:highlight w:val="none"/>
                      <w:lang w:val="en-US" w:eastAsia="zh-CN"/>
                    </w:rPr>
                    <w:t>0.78</w:t>
                  </w:r>
                </w:p>
              </w:tc>
            </w:tr>
          </w:tbl>
          <w:p>
            <w:pPr>
              <w:pStyle w:val="8"/>
              <w:spacing w:before="0" w:after="0" w:line="360" w:lineRule="auto"/>
              <w:ind w:right="0"/>
              <w:jc w:val="left"/>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八、环保投资</w:t>
            </w:r>
          </w:p>
          <w:p>
            <w:pPr>
              <w:spacing w:line="360" w:lineRule="auto"/>
              <w:ind w:firstLine="480" w:firstLineChars="200"/>
              <w:rPr>
                <w:rFonts w:hint="eastAsia" w:eastAsia="宋体"/>
                <w:color w:val="auto"/>
                <w:sz w:val="24"/>
                <w:highlight w:val="none"/>
                <w:lang w:eastAsia="zh-CN"/>
              </w:rPr>
            </w:pPr>
            <w:r>
              <w:rPr>
                <w:color w:val="auto"/>
                <w:sz w:val="24"/>
                <w:highlight w:val="none"/>
              </w:rPr>
              <w:t>本项目投资为</w:t>
            </w:r>
            <w:r>
              <w:rPr>
                <w:rFonts w:hint="eastAsia"/>
                <w:color w:val="auto"/>
                <w:sz w:val="24"/>
                <w:highlight w:val="none"/>
                <w:lang w:val="en-US" w:eastAsia="zh-CN"/>
              </w:rPr>
              <w:t>8</w:t>
            </w:r>
            <w:r>
              <w:rPr>
                <w:color w:val="auto"/>
                <w:sz w:val="24"/>
                <w:highlight w:val="none"/>
              </w:rPr>
              <w:t>000万元，根据环保治理措施估算，环保投资约为4</w:t>
            </w:r>
            <w:r>
              <w:rPr>
                <w:rFonts w:hint="eastAsia"/>
                <w:color w:val="auto"/>
                <w:sz w:val="24"/>
                <w:highlight w:val="none"/>
                <w:lang w:val="en-US" w:eastAsia="zh-CN"/>
              </w:rPr>
              <w:t>9</w:t>
            </w:r>
            <w:r>
              <w:rPr>
                <w:rFonts w:hint="eastAsia"/>
                <w:color w:val="auto"/>
                <w:sz w:val="24"/>
                <w:highlight w:val="none"/>
              </w:rPr>
              <w:t>.5</w:t>
            </w:r>
            <w:r>
              <w:rPr>
                <w:color w:val="auto"/>
                <w:sz w:val="24"/>
                <w:highlight w:val="none"/>
              </w:rPr>
              <w:t>万元，占总投资的0.</w:t>
            </w:r>
            <w:r>
              <w:rPr>
                <w:rFonts w:hint="eastAsia"/>
                <w:color w:val="auto"/>
                <w:sz w:val="24"/>
                <w:highlight w:val="none"/>
                <w:lang w:val="en-US" w:eastAsia="zh-CN"/>
              </w:rPr>
              <w:t>62</w:t>
            </w:r>
            <w:r>
              <w:rPr>
                <w:color w:val="auto"/>
                <w:sz w:val="24"/>
                <w:highlight w:val="none"/>
              </w:rPr>
              <w:t>%。项目环保设施（措施）投资估算一览表见表4-</w:t>
            </w:r>
            <w:r>
              <w:rPr>
                <w:rFonts w:hint="eastAsia"/>
                <w:color w:val="auto"/>
                <w:sz w:val="24"/>
                <w:highlight w:val="none"/>
                <w:lang w:val="en-US" w:eastAsia="zh-CN"/>
              </w:rPr>
              <w:t>21</w:t>
            </w:r>
            <w:r>
              <w:rPr>
                <w:rFonts w:hint="eastAsia"/>
                <w:color w:val="auto"/>
                <w:sz w:val="24"/>
                <w:highlight w:val="none"/>
                <w:lang w:eastAsia="zh-CN"/>
              </w:rPr>
              <w:t>。</w:t>
            </w:r>
          </w:p>
          <w:p>
            <w:pPr>
              <w:pStyle w:val="41"/>
              <w:bidi w:val="0"/>
              <w:rPr>
                <w:color w:val="auto"/>
                <w:highlight w:val="none"/>
              </w:rPr>
            </w:pPr>
            <w:r>
              <w:rPr>
                <w:color w:val="auto"/>
                <w:highlight w:val="none"/>
              </w:rPr>
              <w:t>表4-</w:t>
            </w:r>
            <w:r>
              <w:rPr>
                <w:rFonts w:hint="eastAsia"/>
                <w:color w:val="auto"/>
                <w:highlight w:val="none"/>
                <w:lang w:val="en-US" w:eastAsia="zh-CN"/>
              </w:rPr>
              <w:t>21</w:t>
            </w:r>
            <w:r>
              <w:rPr>
                <w:color w:val="auto"/>
                <w:highlight w:val="none"/>
              </w:rPr>
              <w:t xml:space="preserve">  环保设施（措施）及投资估算一览表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422"/>
              <w:gridCol w:w="755"/>
              <w:gridCol w:w="5475"/>
              <w:gridCol w:w="890"/>
              <w:gridCol w:w="697"/>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trHeight w:val="815" w:hRule="atLeast"/>
                <w:jc w:val="center"/>
              </w:trPr>
              <w:tc>
                <w:tcPr>
                  <w:tcW w:w="714" w:type="pct"/>
                  <w:gridSpan w:val="2"/>
                  <w:tcBorders>
                    <w:bottom w:val="single" w:color="000000" w:sz="6" w:space="0"/>
                    <w:right w:val="single" w:color="000000" w:sz="6" w:space="0"/>
                  </w:tcBorders>
                  <w:noWrap w:val="0"/>
                  <w:vAlign w:val="center"/>
                </w:tcPr>
                <w:p>
                  <w:pPr>
                    <w:adjustRightInd w:val="0"/>
                    <w:snapToGrid w:val="0"/>
                    <w:jc w:val="center"/>
                    <w:rPr>
                      <w:b/>
                      <w:bCs/>
                      <w:color w:val="auto"/>
                      <w:szCs w:val="21"/>
                      <w:highlight w:val="none"/>
                    </w:rPr>
                  </w:pPr>
                  <w:r>
                    <w:rPr>
                      <w:b/>
                      <w:bCs/>
                      <w:color w:val="auto"/>
                      <w:szCs w:val="21"/>
                      <w:highlight w:val="none"/>
                    </w:rPr>
                    <w:t>项目</w:t>
                  </w:r>
                </w:p>
              </w:tc>
              <w:tc>
                <w:tcPr>
                  <w:tcW w:w="3322" w:type="pct"/>
                  <w:tcBorders>
                    <w:left w:val="single" w:color="000000" w:sz="6" w:space="0"/>
                    <w:bottom w:val="single" w:color="000000" w:sz="6" w:space="0"/>
                    <w:right w:val="single" w:color="000000" w:sz="6" w:space="0"/>
                  </w:tcBorders>
                  <w:noWrap w:val="0"/>
                  <w:vAlign w:val="center"/>
                </w:tcPr>
                <w:p>
                  <w:pPr>
                    <w:adjustRightInd w:val="0"/>
                    <w:snapToGrid w:val="0"/>
                    <w:jc w:val="center"/>
                    <w:rPr>
                      <w:b/>
                      <w:bCs/>
                      <w:color w:val="auto"/>
                      <w:szCs w:val="21"/>
                      <w:highlight w:val="none"/>
                    </w:rPr>
                  </w:pPr>
                  <w:r>
                    <w:rPr>
                      <w:b/>
                      <w:bCs/>
                      <w:color w:val="auto"/>
                      <w:szCs w:val="21"/>
                      <w:highlight w:val="none"/>
                    </w:rPr>
                    <w:t>环保措施和设施</w:t>
                  </w:r>
                </w:p>
              </w:tc>
              <w:tc>
                <w:tcPr>
                  <w:tcW w:w="540" w:type="pct"/>
                  <w:tcBorders>
                    <w:left w:val="single" w:color="000000" w:sz="6" w:space="0"/>
                    <w:bottom w:val="single" w:color="000000" w:sz="6" w:space="0"/>
                    <w:right w:val="single" w:color="000000" w:sz="6" w:space="0"/>
                  </w:tcBorders>
                  <w:noWrap w:val="0"/>
                  <w:vAlign w:val="center"/>
                </w:tcPr>
                <w:p>
                  <w:pPr>
                    <w:adjustRightInd w:val="0"/>
                    <w:snapToGrid w:val="0"/>
                    <w:jc w:val="center"/>
                    <w:rPr>
                      <w:b/>
                      <w:bCs/>
                      <w:color w:val="auto"/>
                      <w:szCs w:val="21"/>
                      <w:highlight w:val="none"/>
                    </w:rPr>
                  </w:pPr>
                  <w:r>
                    <w:rPr>
                      <w:b/>
                      <w:bCs/>
                      <w:color w:val="auto"/>
                      <w:szCs w:val="21"/>
                      <w:highlight w:val="none"/>
                    </w:rPr>
                    <w:t>投资金额</w:t>
                  </w:r>
                  <w:r>
                    <w:rPr>
                      <w:rFonts w:hint="eastAsia"/>
                      <w:b/>
                      <w:bCs/>
                      <w:color w:val="auto"/>
                      <w:szCs w:val="21"/>
                      <w:highlight w:val="none"/>
                    </w:rPr>
                    <w:t>（万</w:t>
                  </w:r>
                  <w:r>
                    <w:rPr>
                      <w:b/>
                      <w:bCs/>
                      <w:color w:val="auto"/>
                      <w:szCs w:val="21"/>
                      <w:highlight w:val="none"/>
                    </w:rPr>
                    <w:t>元）</w:t>
                  </w:r>
                </w:p>
              </w:tc>
              <w:tc>
                <w:tcPr>
                  <w:tcW w:w="422" w:type="pct"/>
                  <w:tcBorders>
                    <w:left w:val="single" w:color="000000" w:sz="6" w:space="0"/>
                    <w:bottom w:val="single" w:color="000000" w:sz="6" w:space="0"/>
                  </w:tcBorders>
                  <w:noWrap w:val="0"/>
                  <w:vAlign w:val="center"/>
                </w:tcPr>
                <w:p>
                  <w:pPr>
                    <w:adjustRightInd w:val="0"/>
                    <w:snapToGrid w:val="0"/>
                    <w:jc w:val="center"/>
                    <w:rPr>
                      <w:b/>
                      <w:bCs/>
                      <w:color w:val="auto"/>
                      <w:szCs w:val="21"/>
                      <w:highlight w:val="none"/>
                    </w:rPr>
                  </w:pPr>
                  <w:r>
                    <w:rPr>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6" w:type="pct"/>
                  <w:vMerge w:val="restart"/>
                  <w:tcBorders>
                    <w:top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r>
                    <w:rPr>
                      <w:color w:val="auto"/>
                      <w:szCs w:val="21"/>
                      <w:highlight w:val="none"/>
                    </w:rPr>
                    <w:t>施工期</w:t>
                  </w:r>
                </w:p>
              </w:tc>
              <w:tc>
                <w:tcPr>
                  <w:tcW w:w="458" w:type="pct"/>
                  <w:vMerge w:val="restar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r>
                    <w:rPr>
                      <w:color w:val="auto"/>
                      <w:szCs w:val="21"/>
                      <w:highlight w:val="none"/>
                    </w:rPr>
                    <w:t>废水治理</w:t>
                  </w:r>
                </w:p>
              </w:tc>
              <w:tc>
                <w:tcPr>
                  <w:tcW w:w="3322"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r>
                    <w:rPr>
                      <w:color w:val="auto"/>
                      <w:szCs w:val="21"/>
                      <w:highlight w:val="none"/>
                    </w:rPr>
                    <w:t>施工废水：设置临时沉淀池</w:t>
                  </w:r>
                </w:p>
              </w:tc>
              <w:tc>
                <w:tcPr>
                  <w:tcW w:w="540"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r>
                    <w:rPr>
                      <w:color w:val="auto"/>
                      <w:szCs w:val="21"/>
                      <w:highlight w:val="none"/>
                    </w:rPr>
                    <w:t>0.5</w:t>
                  </w:r>
                </w:p>
              </w:tc>
              <w:tc>
                <w:tcPr>
                  <w:tcW w:w="422" w:type="pct"/>
                  <w:tcBorders>
                    <w:top w:val="single" w:color="000000" w:sz="6" w:space="0"/>
                    <w:left w:val="single" w:color="000000" w:sz="6" w:space="0"/>
                    <w:bottom w:val="single" w:color="000000" w:sz="6" w:space="0"/>
                  </w:tcBorders>
                  <w:noWrap w:val="0"/>
                  <w:vAlign w:val="center"/>
                </w:tcPr>
                <w:p>
                  <w:pPr>
                    <w:adjustRightInd w:val="0"/>
                    <w:snapToGrid w:val="0"/>
                    <w:jc w:val="center"/>
                    <w:rPr>
                      <w:color w:val="auto"/>
                      <w:szCs w:val="21"/>
                      <w:highlight w:val="none"/>
                    </w:rPr>
                  </w:pPr>
                  <w:r>
                    <w:rPr>
                      <w:color w:val="auto"/>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6" w:type="pct"/>
                  <w:vMerge w:val="continue"/>
                  <w:tcBorders>
                    <w:top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p>
              </w:tc>
              <w:tc>
                <w:tcPr>
                  <w:tcW w:w="458" w:type="pct"/>
                  <w:vMerge w:val="continue"/>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p>
              </w:tc>
              <w:tc>
                <w:tcPr>
                  <w:tcW w:w="3322"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r>
                    <w:rPr>
                      <w:color w:val="auto"/>
                      <w:szCs w:val="21"/>
                      <w:highlight w:val="none"/>
                    </w:rPr>
                    <w:t>生活污水：</w:t>
                  </w:r>
                  <w:r>
                    <w:rPr>
                      <w:rFonts w:hint="eastAsia"/>
                      <w:color w:val="auto"/>
                      <w:szCs w:val="21"/>
                      <w:highlight w:val="none"/>
                      <w:lang w:val="en-US" w:eastAsia="zh-CN"/>
                    </w:rPr>
                    <w:t>依托已建预处理池和污水处理站</w:t>
                  </w:r>
                </w:p>
              </w:tc>
              <w:tc>
                <w:tcPr>
                  <w:tcW w:w="540"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0</w:t>
                  </w:r>
                </w:p>
              </w:tc>
              <w:tc>
                <w:tcPr>
                  <w:tcW w:w="422" w:type="pct"/>
                  <w:tcBorders>
                    <w:top w:val="single" w:color="000000" w:sz="6" w:space="0"/>
                    <w:left w:val="single" w:color="000000" w:sz="6" w:space="0"/>
                    <w:bottom w:val="single" w:color="000000" w:sz="6" w:space="0"/>
                  </w:tcBorders>
                  <w:noWrap w:val="0"/>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6" w:type="pct"/>
                  <w:vMerge w:val="continue"/>
                  <w:tcBorders>
                    <w:top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p>
              </w:tc>
              <w:tc>
                <w:tcPr>
                  <w:tcW w:w="458"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r>
                    <w:rPr>
                      <w:color w:val="auto"/>
                      <w:szCs w:val="21"/>
                      <w:highlight w:val="none"/>
                    </w:rPr>
                    <w:t>废气治理</w:t>
                  </w:r>
                </w:p>
              </w:tc>
              <w:tc>
                <w:tcPr>
                  <w:tcW w:w="3322"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r>
                    <w:rPr>
                      <w:color w:val="auto"/>
                      <w:szCs w:val="21"/>
                      <w:highlight w:val="none"/>
                    </w:rPr>
                    <w:t>封闭施工现场，设置围挡、并采取洒水降尘等措施</w:t>
                  </w:r>
                </w:p>
              </w:tc>
              <w:tc>
                <w:tcPr>
                  <w:tcW w:w="540"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r>
                    <w:rPr>
                      <w:color w:val="auto"/>
                      <w:szCs w:val="21"/>
                      <w:highlight w:val="none"/>
                    </w:rPr>
                    <w:t>2.0</w:t>
                  </w:r>
                </w:p>
              </w:tc>
              <w:tc>
                <w:tcPr>
                  <w:tcW w:w="422" w:type="pct"/>
                  <w:tcBorders>
                    <w:top w:val="single" w:color="000000" w:sz="6" w:space="0"/>
                    <w:left w:val="single" w:color="000000" w:sz="6" w:space="0"/>
                    <w:bottom w:val="single" w:color="000000" w:sz="6" w:space="0"/>
                  </w:tcBorders>
                  <w:noWrap w:val="0"/>
                  <w:vAlign w:val="center"/>
                </w:tcPr>
                <w:p>
                  <w:pPr>
                    <w:adjustRightInd w:val="0"/>
                    <w:snapToGrid w:val="0"/>
                    <w:jc w:val="center"/>
                    <w:rPr>
                      <w:color w:val="auto"/>
                      <w:szCs w:val="21"/>
                      <w:highlight w:val="none"/>
                    </w:rPr>
                  </w:pPr>
                  <w:r>
                    <w:rPr>
                      <w:color w:val="auto"/>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6" w:type="pct"/>
                  <w:vMerge w:val="continue"/>
                  <w:tcBorders>
                    <w:top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p>
              </w:tc>
              <w:tc>
                <w:tcPr>
                  <w:tcW w:w="458"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r>
                    <w:rPr>
                      <w:rFonts w:hint="eastAsia"/>
                      <w:color w:val="auto"/>
                      <w:szCs w:val="21"/>
                      <w:highlight w:val="none"/>
                    </w:rPr>
                    <w:t>噪声治理</w:t>
                  </w:r>
                </w:p>
              </w:tc>
              <w:tc>
                <w:tcPr>
                  <w:tcW w:w="3322"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r>
                    <w:rPr>
                      <w:color w:val="auto"/>
                      <w:szCs w:val="21"/>
                      <w:highlight w:val="none"/>
                    </w:rPr>
                    <w:t>合理安排施工时间</w:t>
                  </w:r>
                  <w:r>
                    <w:rPr>
                      <w:rFonts w:hint="eastAsia"/>
                      <w:color w:val="auto"/>
                      <w:szCs w:val="21"/>
                      <w:highlight w:val="none"/>
                    </w:rPr>
                    <w:t>，定期</w:t>
                  </w:r>
                  <w:r>
                    <w:rPr>
                      <w:color w:val="auto"/>
                      <w:szCs w:val="21"/>
                      <w:highlight w:val="none"/>
                    </w:rPr>
                    <w:t>维修保养</w:t>
                  </w:r>
                  <w:r>
                    <w:rPr>
                      <w:rFonts w:hint="eastAsia"/>
                      <w:color w:val="auto"/>
                      <w:szCs w:val="21"/>
                      <w:highlight w:val="none"/>
                    </w:rPr>
                    <w:t>等</w:t>
                  </w:r>
                </w:p>
              </w:tc>
              <w:tc>
                <w:tcPr>
                  <w:tcW w:w="540"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r>
                    <w:rPr>
                      <w:rFonts w:hint="eastAsia"/>
                      <w:color w:val="auto"/>
                      <w:szCs w:val="21"/>
                      <w:highlight w:val="none"/>
                    </w:rPr>
                    <w:t>1.0</w:t>
                  </w:r>
                </w:p>
              </w:tc>
              <w:tc>
                <w:tcPr>
                  <w:tcW w:w="422" w:type="pct"/>
                  <w:tcBorders>
                    <w:top w:val="single" w:color="000000" w:sz="6" w:space="0"/>
                    <w:left w:val="single" w:color="000000" w:sz="6" w:space="0"/>
                    <w:bottom w:val="single" w:color="000000" w:sz="6" w:space="0"/>
                  </w:tcBorders>
                  <w:noWrap w:val="0"/>
                  <w:vAlign w:val="center"/>
                </w:tcPr>
                <w:p>
                  <w:pPr>
                    <w:adjustRightInd w:val="0"/>
                    <w:snapToGrid w:val="0"/>
                    <w:jc w:val="center"/>
                    <w:rPr>
                      <w:color w:val="auto"/>
                      <w:szCs w:val="21"/>
                      <w:highlight w:val="none"/>
                    </w:rPr>
                  </w:pPr>
                  <w:r>
                    <w:rPr>
                      <w:rFonts w:hint="eastAsia"/>
                      <w:color w:val="auto"/>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6" w:type="pct"/>
                  <w:vMerge w:val="continue"/>
                  <w:tcBorders>
                    <w:top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p>
              </w:tc>
              <w:tc>
                <w:tcPr>
                  <w:tcW w:w="458"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r>
                    <w:rPr>
                      <w:color w:val="auto"/>
                      <w:szCs w:val="21"/>
                      <w:highlight w:val="none"/>
                    </w:rPr>
                    <w:t>固废治理</w:t>
                  </w:r>
                </w:p>
              </w:tc>
              <w:tc>
                <w:tcPr>
                  <w:tcW w:w="3322"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r>
                    <w:rPr>
                      <w:rFonts w:hint="eastAsia"/>
                      <w:color w:val="auto"/>
                      <w:szCs w:val="21"/>
                      <w:highlight w:val="none"/>
                    </w:rPr>
                    <w:t>弃土作为后期绿化用，不外排；</w:t>
                  </w:r>
                  <w:r>
                    <w:rPr>
                      <w:color w:val="auto"/>
                      <w:szCs w:val="21"/>
                      <w:highlight w:val="none"/>
                    </w:rPr>
                    <w:t>建筑垃圾清运到指定垃圾场</w:t>
                  </w:r>
                  <w:r>
                    <w:rPr>
                      <w:rFonts w:hint="eastAsia"/>
                      <w:color w:val="auto"/>
                      <w:szCs w:val="21"/>
                      <w:highlight w:val="none"/>
                    </w:rPr>
                    <w:t>；生活垃圾由环卫部门统一清运处理；预处理池污泥由环卫部门清运处理；沉淀池池底泥沙作为固废运往建筑垃圾堆放场</w:t>
                  </w:r>
                </w:p>
              </w:tc>
              <w:tc>
                <w:tcPr>
                  <w:tcW w:w="540"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r>
                    <w:rPr>
                      <w:color w:val="auto"/>
                      <w:szCs w:val="21"/>
                      <w:highlight w:val="none"/>
                    </w:rPr>
                    <w:t>3.0</w:t>
                  </w:r>
                </w:p>
              </w:tc>
              <w:tc>
                <w:tcPr>
                  <w:tcW w:w="422" w:type="pct"/>
                  <w:tcBorders>
                    <w:top w:val="single" w:color="000000" w:sz="6" w:space="0"/>
                    <w:left w:val="single" w:color="000000" w:sz="6" w:space="0"/>
                    <w:bottom w:val="single" w:color="000000" w:sz="6" w:space="0"/>
                  </w:tcBorders>
                  <w:noWrap w:val="0"/>
                  <w:vAlign w:val="center"/>
                </w:tcPr>
                <w:p>
                  <w:pPr>
                    <w:adjustRightInd w:val="0"/>
                    <w:snapToGrid w:val="0"/>
                    <w:jc w:val="center"/>
                    <w:rPr>
                      <w:color w:val="auto"/>
                      <w:szCs w:val="21"/>
                      <w:highlight w:val="none"/>
                    </w:rPr>
                  </w:pPr>
                  <w:r>
                    <w:rPr>
                      <w:color w:val="auto"/>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6" w:type="pct"/>
                  <w:vMerge w:val="restart"/>
                  <w:tcBorders>
                    <w:top w:val="single" w:color="000000" w:sz="6" w:space="0"/>
                    <w:right w:val="single" w:color="000000" w:sz="6" w:space="0"/>
                  </w:tcBorders>
                  <w:noWrap w:val="0"/>
                  <w:vAlign w:val="center"/>
                </w:tcPr>
                <w:p>
                  <w:pPr>
                    <w:adjustRightInd w:val="0"/>
                    <w:snapToGrid w:val="0"/>
                    <w:jc w:val="center"/>
                    <w:rPr>
                      <w:color w:val="auto"/>
                      <w:szCs w:val="21"/>
                      <w:highlight w:val="none"/>
                    </w:rPr>
                  </w:pPr>
                  <w:r>
                    <w:rPr>
                      <w:color w:val="auto"/>
                      <w:szCs w:val="21"/>
                      <w:highlight w:val="none"/>
                    </w:rPr>
                    <w:t>营运期</w:t>
                  </w:r>
                </w:p>
              </w:tc>
              <w:tc>
                <w:tcPr>
                  <w:tcW w:w="458"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r>
                    <w:rPr>
                      <w:color w:val="auto"/>
                      <w:szCs w:val="21"/>
                      <w:highlight w:val="none"/>
                    </w:rPr>
                    <w:t>废水治理</w:t>
                  </w:r>
                </w:p>
              </w:tc>
              <w:tc>
                <w:tcPr>
                  <w:tcW w:w="3322"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r>
                    <w:rPr>
                      <w:rFonts w:hint="eastAsia" w:eastAsia="宋体"/>
                      <w:color w:val="auto"/>
                      <w:highlight w:val="none"/>
                      <w:lang w:val="en-US" w:eastAsia="zh-CN"/>
                    </w:rPr>
                    <w:t>依托已建</w:t>
                  </w:r>
                  <w:r>
                    <w:rPr>
                      <w:rFonts w:hint="eastAsia"/>
                      <w:color w:val="auto"/>
                      <w:szCs w:val="21"/>
                      <w:highlight w:val="none"/>
                    </w:rPr>
                    <w:t>隔油池</w:t>
                  </w:r>
                  <w:r>
                    <w:rPr>
                      <w:rFonts w:hint="eastAsia"/>
                      <w:color w:val="auto"/>
                      <w:szCs w:val="21"/>
                      <w:highlight w:val="none"/>
                      <w:lang w:eastAsia="zh-CN"/>
                    </w:rPr>
                    <w:t>、</w:t>
                  </w:r>
                  <w:r>
                    <w:rPr>
                      <w:rFonts w:hint="eastAsia"/>
                      <w:color w:val="auto"/>
                      <w:szCs w:val="21"/>
                      <w:highlight w:val="none"/>
                      <w:lang w:val="en-US" w:eastAsia="zh-CN"/>
                    </w:rPr>
                    <w:t>预处理池和污水处理站</w:t>
                  </w:r>
                  <w:r>
                    <w:rPr>
                      <w:rFonts w:hint="eastAsia"/>
                      <w:color w:val="auto"/>
                      <w:szCs w:val="21"/>
                      <w:highlight w:val="none"/>
                    </w:rPr>
                    <w:t>处理</w:t>
                  </w:r>
                  <w:r>
                    <w:rPr>
                      <w:rFonts w:hint="eastAsia"/>
                      <w:color w:val="auto"/>
                      <w:szCs w:val="21"/>
                      <w:highlight w:val="none"/>
                      <w:lang w:val="en-US" w:eastAsia="zh-CN"/>
                    </w:rPr>
                    <w:t>达标后</w:t>
                  </w:r>
                  <w:r>
                    <w:rPr>
                      <w:color w:val="auto"/>
                      <w:szCs w:val="21"/>
                      <w:highlight w:val="none"/>
                    </w:rPr>
                    <w:t>排入市政管网</w:t>
                  </w:r>
                </w:p>
              </w:tc>
              <w:tc>
                <w:tcPr>
                  <w:tcW w:w="540"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0</w:t>
                  </w:r>
                </w:p>
              </w:tc>
              <w:tc>
                <w:tcPr>
                  <w:tcW w:w="422" w:type="pct"/>
                  <w:tcBorders>
                    <w:top w:val="single" w:color="000000" w:sz="6" w:space="0"/>
                    <w:left w:val="single" w:color="000000" w:sz="6" w:space="0"/>
                    <w:bottom w:val="single" w:color="000000" w:sz="6" w:space="0"/>
                  </w:tcBorders>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6" w:type="pct"/>
                  <w:vMerge w:val="continue"/>
                  <w:tcBorders>
                    <w:right w:val="single" w:color="000000" w:sz="6" w:space="0"/>
                  </w:tcBorders>
                  <w:noWrap w:val="0"/>
                  <w:vAlign w:val="center"/>
                </w:tcPr>
                <w:p>
                  <w:pPr>
                    <w:adjustRightInd w:val="0"/>
                    <w:snapToGrid w:val="0"/>
                    <w:jc w:val="center"/>
                    <w:rPr>
                      <w:color w:val="auto"/>
                      <w:szCs w:val="21"/>
                      <w:highlight w:val="none"/>
                    </w:rPr>
                  </w:pPr>
                </w:p>
              </w:tc>
              <w:tc>
                <w:tcPr>
                  <w:tcW w:w="458" w:type="pct"/>
                  <w:vMerge w:val="restart"/>
                  <w:tcBorders>
                    <w:top w:val="single" w:color="000000" w:sz="6" w:space="0"/>
                    <w:left w:val="single" w:color="000000" w:sz="6" w:space="0"/>
                    <w:right w:val="single" w:color="000000" w:sz="6" w:space="0"/>
                  </w:tcBorders>
                  <w:noWrap w:val="0"/>
                  <w:vAlign w:val="center"/>
                </w:tcPr>
                <w:p>
                  <w:pPr>
                    <w:adjustRightInd w:val="0"/>
                    <w:snapToGrid w:val="0"/>
                    <w:jc w:val="center"/>
                    <w:rPr>
                      <w:color w:val="auto"/>
                      <w:szCs w:val="21"/>
                      <w:highlight w:val="none"/>
                    </w:rPr>
                  </w:pPr>
                  <w:r>
                    <w:rPr>
                      <w:color w:val="auto"/>
                      <w:szCs w:val="21"/>
                      <w:highlight w:val="none"/>
                    </w:rPr>
                    <w:t>废气治理</w:t>
                  </w:r>
                </w:p>
              </w:tc>
              <w:tc>
                <w:tcPr>
                  <w:tcW w:w="3322"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天然气燃烧废气：通过</w:t>
                  </w:r>
                  <w:r>
                    <w:rPr>
                      <w:rFonts w:hint="eastAsia"/>
                      <w:color w:val="auto"/>
                      <w:szCs w:val="21"/>
                      <w:highlight w:val="none"/>
                      <w:lang w:val="en-US" w:eastAsia="zh-CN"/>
                    </w:rPr>
                    <w:t>10</w:t>
                  </w:r>
                  <w:r>
                    <w:rPr>
                      <w:rFonts w:hint="eastAsia"/>
                      <w:color w:val="auto"/>
                      <w:szCs w:val="21"/>
                      <w:highlight w:val="none"/>
                      <w:lang w:eastAsia="zh-CN"/>
                    </w:rPr>
                    <w:t>m的排气筒</w:t>
                  </w:r>
                  <w:r>
                    <w:rPr>
                      <w:rFonts w:hint="eastAsia"/>
                      <w:color w:val="auto"/>
                      <w:szCs w:val="21"/>
                      <w:highlight w:val="none"/>
                      <w:lang w:val="en-US" w:eastAsia="zh-CN"/>
                    </w:rPr>
                    <w:t>排放</w:t>
                  </w:r>
                </w:p>
              </w:tc>
              <w:tc>
                <w:tcPr>
                  <w:tcW w:w="540"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w:t>
                  </w:r>
                </w:p>
              </w:tc>
              <w:tc>
                <w:tcPr>
                  <w:tcW w:w="422" w:type="pct"/>
                  <w:tcBorders>
                    <w:top w:val="single" w:color="000000" w:sz="6" w:space="0"/>
                    <w:left w:val="single" w:color="000000" w:sz="6" w:space="0"/>
                    <w:bottom w:val="single" w:color="000000" w:sz="6" w:space="0"/>
                  </w:tcBorders>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6" w:type="pct"/>
                  <w:vMerge w:val="continue"/>
                  <w:tcBorders>
                    <w:right w:val="single" w:color="000000" w:sz="6" w:space="0"/>
                  </w:tcBorders>
                  <w:noWrap w:val="0"/>
                  <w:vAlign w:val="center"/>
                </w:tcPr>
                <w:p>
                  <w:pPr>
                    <w:adjustRightInd w:val="0"/>
                    <w:snapToGrid w:val="0"/>
                    <w:jc w:val="center"/>
                    <w:rPr>
                      <w:color w:val="auto"/>
                      <w:szCs w:val="21"/>
                      <w:highlight w:val="none"/>
                    </w:rPr>
                  </w:pPr>
                </w:p>
              </w:tc>
              <w:tc>
                <w:tcPr>
                  <w:tcW w:w="458" w:type="pct"/>
                  <w:vMerge w:val="continue"/>
                  <w:tcBorders>
                    <w:left w:val="single" w:color="000000" w:sz="6" w:space="0"/>
                    <w:right w:val="single" w:color="000000" w:sz="6" w:space="0"/>
                  </w:tcBorders>
                  <w:noWrap w:val="0"/>
                  <w:vAlign w:val="center"/>
                </w:tcPr>
                <w:p>
                  <w:pPr>
                    <w:adjustRightInd w:val="0"/>
                    <w:snapToGrid w:val="0"/>
                    <w:jc w:val="center"/>
                    <w:rPr>
                      <w:color w:val="auto"/>
                      <w:szCs w:val="21"/>
                      <w:highlight w:val="none"/>
                    </w:rPr>
                  </w:pPr>
                </w:p>
              </w:tc>
              <w:tc>
                <w:tcPr>
                  <w:tcW w:w="3322"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油炸油烟：</w:t>
                  </w:r>
                  <w:r>
                    <w:rPr>
                      <w:rFonts w:hint="eastAsia"/>
                      <w:color w:val="auto"/>
                      <w:highlight w:val="none"/>
                    </w:rPr>
                    <w:t>油烟净化装置处理后，通过15m的排气筒</w:t>
                  </w:r>
                  <w:r>
                    <w:rPr>
                      <w:rFonts w:hint="eastAsia"/>
                      <w:color w:val="auto"/>
                      <w:highlight w:val="none"/>
                      <w:lang w:val="en-US" w:eastAsia="zh-CN"/>
                    </w:rPr>
                    <w:t>排放</w:t>
                  </w:r>
                </w:p>
              </w:tc>
              <w:tc>
                <w:tcPr>
                  <w:tcW w:w="540"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5.0</w:t>
                  </w:r>
                </w:p>
              </w:tc>
              <w:tc>
                <w:tcPr>
                  <w:tcW w:w="422" w:type="pct"/>
                  <w:tcBorders>
                    <w:top w:val="single" w:color="000000" w:sz="6" w:space="0"/>
                    <w:left w:val="single" w:color="000000" w:sz="6" w:space="0"/>
                    <w:bottom w:val="single" w:color="000000" w:sz="6" w:space="0"/>
                  </w:tcBorders>
                  <w:noWrap w:val="0"/>
                  <w:vAlign w:val="center"/>
                </w:tcPr>
                <w:p>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6" w:type="pct"/>
                  <w:vMerge w:val="continue"/>
                  <w:tcBorders>
                    <w:right w:val="single" w:color="000000" w:sz="6" w:space="0"/>
                  </w:tcBorders>
                  <w:noWrap w:val="0"/>
                  <w:vAlign w:val="center"/>
                </w:tcPr>
                <w:p>
                  <w:pPr>
                    <w:adjustRightInd w:val="0"/>
                    <w:snapToGrid w:val="0"/>
                    <w:jc w:val="center"/>
                    <w:rPr>
                      <w:color w:val="auto"/>
                      <w:szCs w:val="21"/>
                      <w:highlight w:val="none"/>
                    </w:rPr>
                  </w:pPr>
                </w:p>
              </w:tc>
              <w:tc>
                <w:tcPr>
                  <w:tcW w:w="458" w:type="pct"/>
                  <w:vMerge w:val="continue"/>
                  <w:tcBorders>
                    <w:left w:val="single" w:color="000000" w:sz="6" w:space="0"/>
                    <w:right w:val="single" w:color="000000" w:sz="6" w:space="0"/>
                  </w:tcBorders>
                  <w:noWrap w:val="0"/>
                  <w:vAlign w:val="center"/>
                </w:tcPr>
                <w:p>
                  <w:pPr>
                    <w:adjustRightInd w:val="0"/>
                    <w:snapToGrid w:val="0"/>
                    <w:jc w:val="center"/>
                    <w:rPr>
                      <w:color w:val="auto"/>
                      <w:szCs w:val="21"/>
                      <w:highlight w:val="none"/>
                    </w:rPr>
                  </w:pPr>
                </w:p>
              </w:tc>
              <w:tc>
                <w:tcPr>
                  <w:tcW w:w="3322"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rFonts w:hint="eastAsia" w:eastAsia="宋体"/>
                      <w:color w:val="auto"/>
                      <w:szCs w:val="21"/>
                      <w:highlight w:val="none"/>
                      <w:lang w:eastAsia="zh-CN"/>
                    </w:rPr>
                  </w:pPr>
                  <w:r>
                    <w:rPr>
                      <w:rFonts w:hint="eastAsia"/>
                      <w:color w:val="auto"/>
                      <w:szCs w:val="21"/>
                      <w:highlight w:val="none"/>
                    </w:rPr>
                    <w:t>配料、斩拌、拌料粉尘</w:t>
                  </w:r>
                  <w:r>
                    <w:rPr>
                      <w:rFonts w:hint="eastAsia"/>
                      <w:color w:val="auto"/>
                      <w:szCs w:val="21"/>
                      <w:highlight w:val="none"/>
                      <w:lang w:eastAsia="zh-CN"/>
                    </w:rPr>
                    <w:t>、异味、喷码废气、热封废气、酒精擦拭废气、臭氧消毒废气：加强车间通风</w:t>
                  </w:r>
                </w:p>
              </w:tc>
              <w:tc>
                <w:tcPr>
                  <w:tcW w:w="540"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2.0</w:t>
                  </w:r>
                </w:p>
              </w:tc>
              <w:tc>
                <w:tcPr>
                  <w:tcW w:w="422" w:type="pct"/>
                  <w:tcBorders>
                    <w:top w:val="single" w:color="000000" w:sz="6" w:space="0"/>
                    <w:left w:val="single" w:color="000000" w:sz="6" w:space="0"/>
                    <w:bottom w:val="single" w:color="000000" w:sz="6" w:space="0"/>
                  </w:tcBorders>
                  <w:noWrap w:val="0"/>
                  <w:vAlign w:val="center"/>
                </w:tcPr>
                <w:p>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6" w:type="pct"/>
                  <w:vMerge w:val="continue"/>
                  <w:tcBorders>
                    <w:right w:val="single" w:color="000000" w:sz="6" w:space="0"/>
                  </w:tcBorders>
                  <w:noWrap w:val="0"/>
                  <w:vAlign w:val="center"/>
                </w:tcPr>
                <w:p>
                  <w:pPr>
                    <w:adjustRightInd w:val="0"/>
                    <w:snapToGrid w:val="0"/>
                    <w:jc w:val="center"/>
                    <w:rPr>
                      <w:color w:val="auto"/>
                      <w:szCs w:val="21"/>
                      <w:highlight w:val="none"/>
                    </w:rPr>
                  </w:pPr>
                </w:p>
              </w:tc>
              <w:tc>
                <w:tcPr>
                  <w:tcW w:w="458" w:type="pct"/>
                  <w:vMerge w:val="continue"/>
                  <w:tcBorders>
                    <w:left w:val="single" w:color="000000" w:sz="6" w:space="0"/>
                    <w:right w:val="single" w:color="000000" w:sz="6" w:space="0"/>
                  </w:tcBorders>
                  <w:noWrap w:val="0"/>
                  <w:vAlign w:val="center"/>
                </w:tcPr>
                <w:p>
                  <w:pPr>
                    <w:adjustRightInd w:val="0"/>
                    <w:snapToGrid w:val="0"/>
                    <w:jc w:val="center"/>
                    <w:rPr>
                      <w:color w:val="auto"/>
                      <w:szCs w:val="21"/>
                      <w:highlight w:val="none"/>
                    </w:rPr>
                  </w:pPr>
                </w:p>
              </w:tc>
              <w:tc>
                <w:tcPr>
                  <w:tcW w:w="3322"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污水处理站恶臭：</w:t>
                  </w:r>
                  <w:r>
                    <w:rPr>
                      <w:rFonts w:hint="eastAsia"/>
                      <w:color w:val="auto"/>
                      <w:highlight w:val="none"/>
                      <w:lang w:val="en-US" w:eastAsia="zh-CN"/>
                    </w:rPr>
                    <w:t>加盖板密闭，周围种植绿化带，并在周边喷洒生物除臭剂</w:t>
                  </w:r>
                </w:p>
              </w:tc>
              <w:tc>
                <w:tcPr>
                  <w:tcW w:w="540"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1.0</w:t>
                  </w:r>
                </w:p>
              </w:tc>
              <w:tc>
                <w:tcPr>
                  <w:tcW w:w="422" w:type="pct"/>
                  <w:tcBorders>
                    <w:top w:val="single" w:color="000000" w:sz="6" w:space="0"/>
                    <w:left w:val="single" w:color="000000" w:sz="6" w:space="0"/>
                    <w:bottom w:val="single" w:color="000000" w:sz="6" w:space="0"/>
                  </w:tcBorders>
                  <w:noWrap w:val="0"/>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整改新增</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6" w:type="pct"/>
                  <w:vMerge w:val="continue"/>
                  <w:tcBorders>
                    <w:right w:val="single" w:color="000000" w:sz="6" w:space="0"/>
                  </w:tcBorders>
                  <w:noWrap w:val="0"/>
                  <w:vAlign w:val="center"/>
                </w:tcPr>
                <w:p>
                  <w:pPr>
                    <w:adjustRightInd w:val="0"/>
                    <w:snapToGrid w:val="0"/>
                    <w:jc w:val="center"/>
                    <w:rPr>
                      <w:color w:val="auto"/>
                      <w:szCs w:val="21"/>
                      <w:highlight w:val="none"/>
                    </w:rPr>
                  </w:pPr>
                </w:p>
              </w:tc>
              <w:tc>
                <w:tcPr>
                  <w:tcW w:w="458" w:type="pct"/>
                  <w:vMerge w:val="continue"/>
                  <w:tcBorders>
                    <w:left w:val="single" w:color="000000" w:sz="6" w:space="0"/>
                    <w:right w:val="single" w:color="000000" w:sz="6" w:space="0"/>
                  </w:tcBorders>
                  <w:noWrap w:val="0"/>
                  <w:vAlign w:val="center"/>
                </w:tcPr>
                <w:p>
                  <w:pPr>
                    <w:adjustRightInd w:val="0"/>
                    <w:snapToGrid w:val="0"/>
                    <w:jc w:val="center"/>
                    <w:rPr>
                      <w:color w:val="auto"/>
                      <w:szCs w:val="21"/>
                      <w:highlight w:val="none"/>
                    </w:rPr>
                  </w:pPr>
                </w:p>
              </w:tc>
              <w:tc>
                <w:tcPr>
                  <w:tcW w:w="3322"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r>
                    <w:rPr>
                      <w:color w:val="auto"/>
                      <w:szCs w:val="21"/>
                      <w:highlight w:val="none"/>
                    </w:rPr>
                    <w:t>食堂油烟：</w:t>
                  </w:r>
                  <w:r>
                    <w:rPr>
                      <w:rFonts w:hint="eastAsia"/>
                      <w:color w:val="auto"/>
                      <w:highlight w:val="none"/>
                    </w:rPr>
                    <w:t>油烟净化器+楼顶排放</w:t>
                  </w:r>
                </w:p>
              </w:tc>
              <w:tc>
                <w:tcPr>
                  <w:tcW w:w="540"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0</w:t>
                  </w:r>
                </w:p>
              </w:tc>
              <w:tc>
                <w:tcPr>
                  <w:tcW w:w="422" w:type="pct"/>
                  <w:tcBorders>
                    <w:top w:val="single" w:color="000000" w:sz="6" w:space="0"/>
                    <w:left w:val="single" w:color="000000" w:sz="6" w:space="0"/>
                    <w:bottom w:val="single" w:color="000000" w:sz="6" w:space="0"/>
                  </w:tcBorders>
                  <w:noWrap w:val="0"/>
                  <w:vAlign w:val="center"/>
                </w:tcPr>
                <w:p>
                  <w:pPr>
                    <w:adjustRightInd w:val="0"/>
                    <w:snapToGrid w:val="0"/>
                    <w:jc w:val="center"/>
                    <w:rPr>
                      <w:rFonts w:hint="eastAsia" w:ascii="Times New Roman" w:hAnsi="Times New Roman" w:eastAsia="宋体"/>
                      <w:color w:val="auto"/>
                      <w:kern w:val="2"/>
                      <w:sz w:val="21"/>
                      <w:szCs w:val="21"/>
                      <w:highlight w:val="none"/>
                      <w:lang w:val="en-US" w:eastAsia="zh-CN" w:bidi="ar-SA"/>
                    </w:rPr>
                  </w:pPr>
                  <w:r>
                    <w:rPr>
                      <w:rFonts w:hint="eastAsia"/>
                      <w:color w:val="auto"/>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6" w:type="pct"/>
                  <w:vMerge w:val="continue"/>
                  <w:tcBorders>
                    <w:right w:val="single" w:color="000000" w:sz="6" w:space="0"/>
                  </w:tcBorders>
                  <w:noWrap w:val="0"/>
                  <w:vAlign w:val="center"/>
                </w:tcPr>
                <w:p>
                  <w:pPr>
                    <w:adjustRightInd w:val="0"/>
                    <w:snapToGrid w:val="0"/>
                    <w:jc w:val="center"/>
                    <w:rPr>
                      <w:color w:val="auto"/>
                      <w:szCs w:val="21"/>
                      <w:highlight w:val="none"/>
                    </w:rPr>
                  </w:pPr>
                </w:p>
              </w:tc>
              <w:tc>
                <w:tcPr>
                  <w:tcW w:w="458" w:type="pct"/>
                  <w:vMerge w:val="continue"/>
                  <w:tcBorders>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p>
              </w:tc>
              <w:tc>
                <w:tcPr>
                  <w:tcW w:w="3322"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r>
                    <w:rPr>
                      <w:rFonts w:hint="eastAsia"/>
                      <w:color w:val="auto"/>
                      <w:highlight w:val="none"/>
                      <w:lang w:val="en-US" w:eastAsia="zh-CN"/>
                    </w:rPr>
                    <w:t>化验室废气：抽风收集后排出</w:t>
                  </w:r>
                </w:p>
              </w:tc>
              <w:tc>
                <w:tcPr>
                  <w:tcW w:w="540"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0</w:t>
                  </w:r>
                </w:p>
              </w:tc>
              <w:tc>
                <w:tcPr>
                  <w:tcW w:w="422" w:type="pct"/>
                  <w:tcBorders>
                    <w:top w:val="single" w:color="000000" w:sz="6" w:space="0"/>
                    <w:left w:val="single" w:color="000000" w:sz="6" w:space="0"/>
                    <w:bottom w:val="single" w:color="000000" w:sz="6" w:space="0"/>
                  </w:tcBorders>
                  <w:noWrap w:val="0"/>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6" w:type="pct"/>
                  <w:vMerge w:val="continue"/>
                  <w:tcBorders>
                    <w:right w:val="single" w:color="000000" w:sz="6" w:space="0"/>
                  </w:tcBorders>
                  <w:noWrap w:val="0"/>
                  <w:vAlign w:val="center"/>
                </w:tcPr>
                <w:p>
                  <w:pPr>
                    <w:adjustRightInd w:val="0"/>
                    <w:snapToGrid w:val="0"/>
                    <w:jc w:val="center"/>
                    <w:rPr>
                      <w:color w:val="auto"/>
                      <w:szCs w:val="21"/>
                      <w:highlight w:val="none"/>
                    </w:rPr>
                  </w:pPr>
                </w:p>
              </w:tc>
              <w:tc>
                <w:tcPr>
                  <w:tcW w:w="458" w:type="pct"/>
                  <w:tcBorders>
                    <w:top w:val="single" w:color="000000" w:sz="6" w:space="0"/>
                    <w:left w:val="single" w:color="000000" w:sz="6" w:space="0"/>
                    <w:right w:val="single" w:color="000000" w:sz="6" w:space="0"/>
                  </w:tcBorders>
                  <w:noWrap w:val="0"/>
                  <w:vAlign w:val="center"/>
                </w:tcPr>
                <w:p>
                  <w:pPr>
                    <w:adjustRightInd w:val="0"/>
                    <w:snapToGrid w:val="0"/>
                    <w:jc w:val="center"/>
                    <w:rPr>
                      <w:color w:val="auto"/>
                      <w:szCs w:val="21"/>
                      <w:highlight w:val="none"/>
                    </w:rPr>
                  </w:pPr>
                  <w:r>
                    <w:rPr>
                      <w:color w:val="auto"/>
                      <w:szCs w:val="21"/>
                      <w:highlight w:val="none"/>
                    </w:rPr>
                    <w:t>噪声</w:t>
                  </w:r>
                </w:p>
                <w:p>
                  <w:pPr>
                    <w:adjustRightInd w:val="0"/>
                    <w:snapToGrid w:val="0"/>
                    <w:jc w:val="center"/>
                    <w:rPr>
                      <w:rFonts w:ascii="Times New Roman" w:hAnsi="Times New Roman" w:eastAsia="宋体"/>
                      <w:color w:val="auto"/>
                      <w:kern w:val="2"/>
                      <w:sz w:val="21"/>
                      <w:szCs w:val="21"/>
                      <w:highlight w:val="none"/>
                      <w:lang w:val="en-US" w:eastAsia="zh-CN" w:bidi="ar-SA"/>
                    </w:rPr>
                  </w:pPr>
                  <w:r>
                    <w:rPr>
                      <w:color w:val="auto"/>
                      <w:szCs w:val="21"/>
                      <w:highlight w:val="none"/>
                    </w:rPr>
                    <w:t>治理</w:t>
                  </w:r>
                </w:p>
              </w:tc>
              <w:tc>
                <w:tcPr>
                  <w:tcW w:w="3322"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rFonts w:ascii="Times New Roman" w:hAnsi="Times New Roman" w:eastAsia="宋体"/>
                      <w:color w:val="auto"/>
                      <w:kern w:val="2"/>
                      <w:sz w:val="21"/>
                      <w:szCs w:val="21"/>
                      <w:highlight w:val="none"/>
                      <w:lang w:val="en-US" w:eastAsia="zh-CN" w:bidi="ar-SA"/>
                    </w:rPr>
                  </w:pPr>
                  <w:r>
                    <w:rPr>
                      <w:color w:val="auto"/>
                      <w:szCs w:val="21"/>
                      <w:highlight w:val="none"/>
                    </w:rPr>
                    <w:t>本项目选用低噪声设备，基座减振，厂房隔声、距离衰减等隔声降噪措施</w:t>
                  </w:r>
                </w:p>
              </w:tc>
              <w:tc>
                <w:tcPr>
                  <w:tcW w:w="540"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rFonts w:hint="default" w:ascii="Times New Roman" w:hAnsi="Times New Roman" w:eastAsia="宋体"/>
                      <w:color w:val="auto"/>
                      <w:kern w:val="2"/>
                      <w:sz w:val="21"/>
                      <w:szCs w:val="21"/>
                      <w:highlight w:val="none"/>
                      <w:lang w:val="en-US" w:eastAsia="zh-CN" w:bidi="ar-SA"/>
                    </w:rPr>
                  </w:pPr>
                  <w:r>
                    <w:rPr>
                      <w:color w:val="auto"/>
                      <w:szCs w:val="21"/>
                      <w:highlight w:val="none"/>
                    </w:rPr>
                    <w:t>2</w:t>
                  </w:r>
                  <w:r>
                    <w:rPr>
                      <w:rFonts w:hint="eastAsia"/>
                      <w:color w:val="auto"/>
                      <w:szCs w:val="21"/>
                      <w:highlight w:val="none"/>
                      <w:lang w:val="en-US" w:eastAsia="zh-CN"/>
                    </w:rPr>
                    <w:t>.0</w:t>
                  </w:r>
                </w:p>
              </w:tc>
              <w:tc>
                <w:tcPr>
                  <w:tcW w:w="422" w:type="pct"/>
                  <w:tcBorders>
                    <w:top w:val="single" w:color="000000" w:sz="6" w:space="0"/>
                    <w:left w:val="single" w:color="000000" w:sz="6" w:space="0"/>
                    <w:bottom w:val="single" w:color="000000" w:sz="6" w:space="0"/>
                  </w:tcBorders>
                  <w:noWrap w:val="0"/>
                  <w:vAlign w:val="center"/>
                </w:tcPr>
                <w:p>
                  <w:pPr>
                    <w:adjustRightInd w:val="0"/>
                    <w:snapToGrid w:val="0"/>
                    <w:jc w:val="center"/>
                    <w:rPr>
                      <w:rFonts w:ascii="Times New Roman" w:hAnsi="Times New Roman" w:eastAsia="宋体"/>
                      <w:color w:val="auto"/>
                      <w:kern w:val="2"/>
                      <w:sz w:val="21"/>
                      <w:szCs w:val="21"/>
                      <w:highlight w:val="none"/>
                      <w:lang w:val="en-US" w:eastAsia="zh-CN" w:bidi="ar-SA"/>
                    </w:rPr>
                  </w:pPr>
                  <w:r>
                    <w:rPr>
                      <w:color w:val="auto"/>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6" w:type="pct"/>
                  <w:vMerge w:val="continue"/>
                  <w:tcBorders>
                    <w:right w:val="single" w:color="000000" w:sz="6" w:space="0"/>
                  </w:tcBorders>
                  <w:noWrap w:val="0"/>
                  <w:vAlign w:val="center"/>
                </w:tcPr>
                <w:p>
                  <w:pPr>
                    <w:adjustRightInd w:val="0"/>
                    <w:snapToGrid w:val="0"/>
                    <w:jc w:val="center"/>
                    <w:rPr>
                      <w:color w:val="auto"/>
                      <w:szCs w:val="21"/>
                      <w:highlight w:val="none"/>
                    </w:rPr>
                  </w:pPr>
                </w:p>
              </w:tc>
              <w:tc>
                <w:tcPr>
                  <w:tcW w:w="458" w:type="pct"/>
                  <w:vMerge w:val="restart"/>
                  <w:tcBorders>
                    <w:top w:val="single" w:color="000000" w:sz="6" w:space="0"/>
                    <w:left w:val="single" w:color="000000" w:sz="6" w:space="0"/>
                    <w:right w:val="single" w:color="000000" w:sz="6" w:space="0"/>
                  </w:tcBorders>
                  <w:noWrap w:val="0"/>
                  <w:vAlign w:val="center"/>
                </w:tcPr>
                <w:p>
                  <w:pPr>
                    <w:adjustRightInd w:val="0"/>
                    <w:snapToGrid w:val="0"/>
                    <w:jc w:val="center"/>
                    <w:rPr>
                      <w:color w:val="auto"/>
                      <w:szCs w:val="21"/>
                      <w:highlight w:val="none"/>
                    </w:rPr>
                  </w:pPr>
                  <w:r>
                    <w:rPr>
                      <w:color w:val="auto"/>
                      <w:szCs w:val="21"/>
                      <w:highlight w:val="none"/>
                    </w:rPr>
                    <w:t>固废治理</w:t>
                  </w:r>
                </w:p>
              </w:tc>
              <w:tc>
                <w:tcPr>
                  <w:tcW w:w="3322"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rFonts w:hint="eastAsia" w:eastAsia="宋体"/>
                      <w:color w:val="auto"/>
                      <w:szCs w:val="21"/>
                      <w:highlight w:val="none"/>
                      <w:lang w:eastAsia="zh-CN"/>
                    </w:rPr>
                  </w:pPr>
                  <w:r>
                    <w:rPr>
                      <w:rFonts w:hint="eastAsia"/>
                      <w:bCs/>
                      <w:color w:val="auto"/>
                      <w:highlight w:val="none"/>
                      <w:lang w:val="en-US" w:eastAsia="zh-CN"/>
                    </w:rPr>
                    <w:t>生活垃圾、不合格品、废油纸、栅渣、废离子交换树脂由环卫部门清运处理，废包装材料外售，餐厨垃圾、隔油池废油、废植物油由</w:t>
                  </w:r>
                  <w:r>
                    <w:rPr>
                      <w:rFonts w:hint="eastAsia"/>
                      <w:color w:val="auto"/>
                      <w:szCs w:val="21"/>
                      <w:highlight w:val="none"/>
                    </w:rPr>
                    <w:t>柳林镇垃圾处理站（光辉发电厂）清运处理</w:t>
                  </w:r>
                  <w:r>
                    <w:rPr>
                      <w:rFonts w:hint="eastAsia"/>
                      <w:color w:val="auto"/>
                      <w:szCs w:val="21"/>
                      <w:highlight w:val="none"/>
                      <w:lang w:eastAsia="zh-CN"/>
                    </w:rPr>
                    <w:t>，</w:t>
                  </w:r>
                  <w:r>
                    <w:rPr>
                      <w:rFonts w:hint="eastAsia"/>
                      <w:color w:val="auto"/>
                      <w:szCs w:val="21"/>
                      <w:highlight w:val="none"/>
                      <w:lang w:val="en-US" w:eastAsia="zh-CN"/>
                    </w:rPr>
                    <w:t>污泥由</w:t>
                  </w:r>
                  <w:r>
                    <w:rPr>
                      <w:rFonts w:hint="eastAsia"/>
                      <w:color w:val="auto"/>
                      <w:szCs w:val="21"/>
                      <w:highlight w:val="none"/>
                    </w:rPr>
                    <w:t>环卫部门清运处理</w:t>
                  </w:r>
                </w:p>
              </w:tc>
              <w:tc>
                <w:tcPr>
                  <w:tcW w:w="540"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r>
                    <w:rPr>
                      <w:rFonts w:hint="eastAsia"/>
                      <w:color w:val="auto"/>
                      <w:szCs w:val="21"/>
                      <w:highlight w:val="none"/>
                      <w:lang w:val="en-US" w:eastAsia="zh-CN"/>
                    </w:rPr>
                    <w:t>8</w:t>
                  </w:r>
                  <w:r>
                    <w:rPr>
                      <w:color w:val="auto"/>
                      <w:szCs w:val="21"/>
                      <w:highlight w:val="none"/>
                    </w:rPr>
                    <w:t>.0</w:t>
                  </w:r>
                </w:p>
              </w:tc>
              <w:tc>
                <w:tcPr>
                  <w:tcW w:w="422" w:type="pct"/>
                  <w:tcBorders>
                    <w:top w:val="single" w:color="000000" w:sz="6" w:space="0"/>
                    <w:left w:val="single" w:color="000000" w:sz="6" w:space="0"/>
                    <w:bottom w:val="single" w:color="000000" w:sz="6" w:space="0"/>
                  </w:tcBorders>
                  <w:noWrap w:val="0"/>
                  <w:vAlign w:val="center"/>
                </w:tcPr>
                <w:p>
                  <w:pPr>
                    <w:adjustRightInd w:val="0"/>
                    <w:snapToGrid w:val="0"/>
                    <w:jc w:val="center"/>
                    <w:rPr>
                      <w:color w:val="auto"/>
                      <w:szCs w:val="21"/>
                      <w:highlight w:val="none"/>
                    </w:rPr>
                  </w:pPr>
                  <w:r>
                    <w:rPr>
                      <w:color w:val="auto"/>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6" w:type="pct"/>
                  <w:vMerge w:val="continue"/>
                  <w:tcBorders>
                    <w:right w:val="single" w:color="000000" w:sz="6" w:space="0"/>
                  </w:tcBorders>
                  <w:noWrap w:val="0"/>
                  <w:vAlign w:val="center"/>
                </w:tcPr>
                <w:p>
                  <w:pPr>
                    <w:adjustRightInd w:val="0"/>
                    <w:snapToGrid w:val="0"/>
                    <w:jc w:val="center"/>
                    <w:rPr>
                      <w:color w:val="auto"/>
                      <w:szCs w:val="21"/>
                      <w:highlight w:val="none"/>
                    </w:rPr>
                  </w:pPr>
                </w:p>
              </w:tc>
              <w:tc>
                <w:tcPr>
                  <w:tcW w:w="458" w:type="pct"/>
                  <w:vMerge w:val="continue"/>
                  <w:tcBorders>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p>
              </w:tc>
              <w:tc>
                <w:tcPr>
                  <w:tcW w:w="3322"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r>
                    <w:rPr>
                      <w:rFonts w:hint="eastAsia"/>
                      <w:color w:val="auto"/>
                      <w:szCs w:val="21"/>
                      <w:highlight w:val="none"/>
                    </w:rPr>
                    <w:t>废机油、废机油桶、废含油抹布、手套、废无尘布、沾染危险物质的废包装物、实验废液：</w:t>
                  </w:r>
                  <w:r>
                    <w:rPr>
                      <w:color w:val="auto"/>
                      <w:szCs w:val="21"/>
                      <w:highlight w:val="none"/>
                    </w:rPr>
                    <w:t>暂存于危废暂存间内，并定期交具有相应危废处置资质的单位清运处置</w:t>
                  </w:r>
                </w:p>
              </w:tc>
              <w:tc>
                <w:tcPr>
                  <w:tcW w:w="540"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r>
                    <w:rPr>
                      <w:rFonts w:hint="eastAsia"/>
                      <w:color w:val="auto"/>
                      <w:szCs w:val="21"/>
                      <w:highlight w:val="none"/>
                      <w:lang w:val="en-US" w:eastAsia="zh-CN"/>
                    </w:rPr>
                    <w:t>8</w:t>
                  </w:r>
                  <w:r>
                    <w:rPr>
                      <w:color w:val="auto"/>
                      <w:szCs w:val="21"/>
                      <w:highlight w:val="none"/>
                    </w:rPr>
                    <w:t>.0</w:t>
                  </w:r>
                </w:p>
              </w:tc>
              <w:tc>
                <w:tcPr>
                  <w:tcW w:w="422" w:type="pct"/>
                  <w:tcBorders>
                    <w:top w:val="single" w:color="000000" w:sz="6" w:space="0"/>
                    <w:left w:val="single" w:color="000000" w:sz="6" w:space="0"/>
                    <w:bottom w:val="single" w:color="000000" w:sz="6" w:space="0"/>
                  </w:tcBorders>
                  <w:noWrap w:val="0"/>
                  <w:vAlign w:val="center"/>
                </w:tcPr>
                <w:p>
                  <w:pPr>
                    <w:adjustRightInd w:val="0"/>
                    <w:snapToGrid w:val="0"/>
                    <w:jc w:val="center"/>
                    <w:rPr>
                      <w:color w:val="auto"/>
                      <w:szCs w:val="21"/>
                      <w:highlight w:val="none"/>
                    </w:rPr>
                  </w:pPr>
                  <w:r>
                    <w:rPr>
                      <w:color w:val="auto"/>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6" w:type="pct"/>
                  <w:vMerge w:val="continue"/>
                  <w:tcBorders>
                    <w:right w:val="single" w:color="000000" w:sz="6" w:space="0"/>
                  </w:tcBorders>
                  <w:noWrap w:val="0"/>
                  <w:vAlign w:val="center"/>
                </w:tcPr>
                <w:p>
                  <w:pPr>
                    <w:adjustRightInd w:val="0"/>
                    <w:snapToGrid w:val="0"/>
                    <w:jc w:val="center"/>
                    <w:rPr>
                      <w:color w:val="auto"/>
                      <w:szCs w:val="21"/>
                      <w:highlight w:val="none"/>
                    </w:rPr>
                  </w:pPr>
                </w:p>
              </w:tc>
              <w:tc>
                <w:tcPr>
                  <w:tcW w:w="458" w:type="pct"/>
                  <w:vMerge w:val="restart"/>
                  <w:tcBorders>
                    <w:left w:val="single" w:color="000000" w:sz="6" w:space="0"/>
                    <w:right w:val="single" w:color="000000" w:sz="6" w:space="0"/>
                  </w:tcBorders>
                  <w:noWrap w:val="0"/>
                  <w:vAlign w:val="center"/>
                </w:tcPr>
                <w:p>
                  <w:pPr>
                    <w:adjustRightInd w:val="0"/>
                    <w:snapToGrid w:val="0"/>
                    <w:jc w:val="center"/>
                    <w:rPr>
                      <w:rFonts w:hint="eastAsia" w:eastAsia="宋体"/>
                      <w:color w:val="auto"/>
                      <w:kern w:val="2"/>
                      <w:sz w:val="21"/>
                      <w:szCs w:val="21"/>
                      <w:highlight w:val="none"/>
                      <w:lang w:val="en-US" w:eastAsia="zh-CN" w:bidi="ar-SA"/>
                    </w:rPr>
                  </w:pPr>
                  <w:r>
                    <w:rPr>
                      <w:color w:val="auto"/>
                      <w:szCs w:val="21"/>
                      <w:highlight w:val="none"/>
                    </w:rPr>
                    <w:t>地下水</w:t>
                  </w:r>
                  <w:r>
                    <w:rPr>
                      <w:rFonts w:hint="eastAsia"/>
                      <w:color w:val="auto"/>
                      <w:szCs w:val="21"/>
                      <w:highlight w:val="none"/>
                      <w:lang w:eastAsia="zh-CN"/>
                    </w:rPr>
                    <w:t>防治</w:t>
                  </w:r>
                </w:p>
              </w:tc>
              <w:tc>
                <w:tcPr>
                  <w:tcW w:w="3322"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rFonts w:hint="eastAsia" w:eastAsia="宋体"/>
                      <w:color w:val="auto"/>
                      <w:kern w:val="2"/>
                      <w:sz w:val="21"/>
                      <w:szCs w:val="21"/>
                      <w:highlight w:val="none"/>
                      <w:lang w:val="en-US" w:eastAsia="zh-CN" w:bidi="ar-SA"/>
                    </w:rPr>
                  </w:pPr>
                  <w:r>
                    <w:rPr>
                      <w:color w:val="auto"/>
                      <w:szCs w:val="21"/>
                      <w:highlight w:val="none"/>
                    </w:rPr>
                    <w:t>重点防渗区：危废暂存间</w:t>
                  </w:r>
                  <w:r>
                    <w:rPr>
                      <w:rFonts w:hint="eastAsia"/>
                      <w:color w:val="auto"/>
                      <w:szCs w:val="21"/>
                      <w:highlight w:val="none"/>
                    </w:rPr>
                    <w:t>、</w:t>
                  </w:r>
                  <w:r>
                    <w:rPr>
                      <w:rFonts w:hint="eastAsia"/>
                      <w:color w:val="auto"/>
                      <w:szCs w:val="21"/>
                      <w:highlight w:val="none"/>
                      <w:lang w:val="en-US" w:eastAsia="zh-CN"/>
                    </w:rPr>
                    <w:t>污水处理站加药间</w:t>
                  </w:r>
                  <w:r>
                    <w:rPr>
                      <w:color w:val="auto"/>
                      <w:szCs w:val="21"/>
                      <w:highlight w:val="none"/>
                    </w:rPr>
                    <w:t>采用防渗混凝土+</w:t>
                  </w:r>
                  <w:r>
                    <w:rPr>
                      <w:rFonts w:hint="eastAsia" w:ascii="Times New Roman"/>
                      <w:b w:val="0"/>
                      <w:bCs/>
                      <w:color w:val="auto"/>
                      <w:sz w:val="21"/>
                      <w:szCs w:val="21"/>
                      <w:highlight w:val="none"/>
                      <w:lang w:eastAsia="zh-CN"/>
                    </w:rPr>
                    <w:t>环氧树脂漆</w:t>
                  </w:r>
                  <w:r>
                    <w:rPr>
                      <w:color w:val="auto"/>
                      <w:szCs w:val="21"/>
                      <w:highlight w:val="none"/>
                    </w:rPr>
                    <w:t>+不锈钢托盘进行防渗，周围应修建围堰及地沟，均做防腐、防渗、防漏处理</w:t>
                  </w:r>
                </w:p>
              </w:tc>
              <w:tc>
                <w:tcPr>
                  <w:tcW w:w="540"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kern w:val="2"/>
                      <w:sz w:val="21"/>
                      <w:szCs w:val="21"/>
                      <w:highlight w:val="none"/>
                      <w:lang w:val="en-US" w:eastAsia="zh-CN" w:bidi="ar-SA"/>
                    </w:rPr>
                  </w:pPr>
                  <w:r>
                    <w:rPr>
                      <w:rFonts w:hint="eastAsia"/>
                      <w:color w:val="auto"/>
                      <w:szCs w:val="21"/>
                      <w:highlight w:val="none"/>
                      <w:lang w:val="en-US" w:eastAsia="zh-CN"/>
                    </w:rPr>
                    <w:t>7</w:t>
                  </w:r>
                  <w:r>
                    <w:rPr>
                      <w:color w:val="auto"/>
                      <w:szCs w:val="21"/>
                      <w:highlight w:val="none"/>
                    </w:rPr>
                    <w:t>.0</w:t>
                  </w:r>
                </w:p>
              </w:tc>
              <w:tc>
                <w:tcPr>
                  <w:tcW w:w="422" w:type="pct"/>
                  <w:tcBorders>
                    <w:top w:val="single" w:color="000000" w:sz="6" w:space="0"/>
                    <w:left w:val="single" w:color="000000" w:sz="6" w:space="0"/>
                    <w:bottom w:val="single" w:color="000000" w:sz="6" w:space="0"/>
                  </w:tcBorders>
                  <w:noWrap w:val="0"/>
                  <w:vAlign w:val="center"/>
                </w:tcPr>
                <w:p>
                  <w:pPr>
                    <w:adjustRightInd w:val="0"/>
                    <w:snapToGrid w:val="0"/>
                    <w:jc w:val="center"/>
                    <w:rPr>
                      <w:rFonts w:hint="default" w:eastAsia="宋体"/>
                      <w:color w:val="auto"/>
                      <w:kern w:val="2"/>
                      <w:sz w:val="21"/>
                      <w:szCs w:val="21"/>
                      <w:highlight w:val="none"/>
                      <w:lang w:val="en-US" w:eastAsia="zh-CN" w:bidi="ar-SA"/>
                    </w:rPr>
                  </w:pPr>
                  <w:r>
                    <w:rPr>
                      <w:color w:val="auto"/>
                      <w:szCs w:val="21"/>
                      <w:highlight w:val="none"/>
                    </w:rPr>
                    <w:t>新建</w:t>
                  </w:r>
                  <w:r>
                    <w:rPr>
                      <w:rFonts w:hint="eastAsia"/>
                      <w:color w:val="auto"/>
                      <w:szCs w:val="21"/>
                      <w:highlight w:val="none"/>
                      <w:lang w:val="en-US" w:eastAsia="zh-CN"/>
                    </w:rPr>
                    <w:t>+整改新增</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6" w:type="pct"/>
                  <w:vMerge w:val="continue"/>
                  <w:tcBorders>
                    <w:right w:val="single" w:color="000000" w:sz="6" w:space="0"/>
                  </w:tcBorders>
                  <w:noWrap w:val="0"/>
                  <w:vAlign w:val="center"/>
                </w:tcPr>
                <w:p>
                  <w:pPr>
                    <w:adjustRightInd w:val="0"/>
                    <w:snapToGrid w:val="0"/>
                    <w:jc w:val="center"/>
                    <w:rPr>
                      <w:color w:val="auto"/>
                      <w:szCs w:val="21"/>
                      <w:highlight w:val="none"/>
                    </w:rPr>
                  </w:pPr>
                </w:p>
              </w:tc>
              <w:tc>
                <w:tcPr>
                  <w:tcW w:w="458" w:type="pct"/>
                  <w:vMerge w:val="continue"/>
                  <w:tcBorders>
                    <w:left w:val="single" w:color="000000" w:sz="6" w:space="0"/>
                    <w:right w:val="single" w:color="000000" w:sz="6" w:space="0"/>
                  </w:tcBorders>
                  <w:noWrap w:val="0"/>
                  <w:vAlign w:val="center"/>
                </w:tcPr>
                <w:p>
                  <w:pPr>
                    <w:adjustRightInd w:val="0"/>
                    <w:snapToGrid w:val="0"/>
                    <w:jc w:val="center"/>
                    <w:rPr>
                      <w:color w:val="auto"/>
                      <w:szCs w:val="21"/>
                      <w:highlight w:val="none"/>
                    </w:rPr>
                  </w:pPr>
                </w:p>
              </w:tc>
              <w:tc>
                <w:tcPr>
                  <w:tcW w:w="3322"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kern w:val="2"/>
                      <w:sz w:val="21"/>
                      <w:szCs w:val="21"/>
                      <w:highlight w:val="none"/>
                      <w:lang w:val="en-US" w:eastAsia="zh-CN" w:bidi="ar-SA"/>
                    </w:rPr>
                  </w:pPr>
                  <w:r>
                    <w:rPr>
                      <w:color w:val="auto"/>
                      <w:szCs w:val="21"/>
                      <w:highlight w:val="none"/>
                    </w:rPr>
                    <w:t>一般防渗区：</w:t>
                  </w:r>
                  <w:r>
                    <w:rPr>
                      <w:rFonts w:hint="eastAsia"/>
                      <w:color w:val="auto"/>
                      <w:szCs w:val="21"/>
                      <w:highlight w:val="none"/>
                    </w:rPr>
                    <w:t>生产车间、一般固废暂存间、预处理房、污水处理站</w:t>
                  </w:r>
                  <w:r>
                    <w:rPr>
                      <w:rFonts w:hint="eastAsia"/>
                      <w:color w:val="auto"/>
                      <w:szCs w:val="21"/>
                      <w:highlight w:val="none"/>
                      <w:lang w:eastAsia="zh-CN"/>
                    </w:rPr>
                    <w:t>、</w:t>
                  </w:r>
                  <w:r>
                    <w:rPr>
                      <w:rFonts w:hint="eastAsia"/>
                      <w:color w:val="auto"/>
                      <w:szCs w:val="21"/>
                      <w:highlight w:val="none"/>
                      <w:lang w:val="en-US" w:eastAsia="zh-CN"/>
                    </w:rPr>
                    <w:t>预处理池、隔油池和污水</w:t>
                  </w:r>
                  <w:r>
                    <w:rPr>
                      <w:rFonts w:hint="eastAsia"/>
                      <w:color w:val="auto"/>
                      <w:szCs w:val="21"/>
                      <w:highlight w:val="none"/>
                    </w:rPr>
                    <w:t>管道</w:t>
                  </w:r>
                  <w:r>
                    <w:rPr>
                      <w:color w:val="auto"/>
                      <w:szCs w:val="21"/>
                      <w:highlight w:val="none"/>
                    </w:rPr>
                    <w:t>，采用防渗混凝土进行防渗。</w:t>
                  </w:r>
                </w:p>
              </w:tc>
              <w:tc>
                <w:tcPr>
                  <w:tcW w:w="540"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kern w:val="2"/>
                      <w:sz w:val="21"/>
                      <w:szCs w:val="21"/>
                      <w:highlight w:val="none"/>
                      <w:lang w:val="en-US" w:eastAsia="zh-CN" w:bidi="ar-SA"/>
                    </w:rPr>
                  </w:pPr>
                  <w:r>
                    <w:rPr>
                      <w:rFonts w:hint="eastAsia"/>
                      <w:color w:val="auto"/>
                      <w:szCs w:val="21"/>
                      <w:highlight w:val="none"/>
                      <w:lang w:val="en-US" w:eastAsia="zh-CN"/>
                    </w:rPr>
                    <w:t>4</w:t>
                  </w:r>
                  <w:r>
                    <w:rPr>
                      <w:color w:val="auto"/>
                      <w:szCs w:val="21"/>
                      <w:highlight w:val="none"/>
                    </w:rPr>
                    <w:t>.0</w:t>
                  </w:r>
                </w:p>
              </w:tc>
              <w:tc>
                <w:tcPr>
                  <w:tcW w:w="422" w:type="pct"/>
                  <w:tcBorders>
                    <w:top w:val="single" w:color="000000" w:sz="6" w:space="0"/>
                    <w:left w:val="single" w:color="000000" w:sz="6" w:space="0"/>
                    <w:bottom w:val="single" w:color="000000" w:sz="6" w:space="0"/>
                  </w:tcBorders>
                  <w:noWrap w:val="0"/>
                  <w:vAlign w:val="center"/>
                </w:tcPr>
                <w:p>
                  <w:pPr>
                    <w:adjustRightInd w:val="0"/>
                    <w:snapToGrid w:val="0"/>
                    <w:jc w:val="center"/>
                    <w:rPr>
                      <w:rFonts w:hint="default" w:eastAsia="宋体"/>
                      <w:color w:val="auto"/>
                      <w:kern w:val="2"/>
                      <w:sz w:val="21"/>
                      <w:szCs w:val="21"/>
                      <w:highlight w:val="none"/>
                      <w:lang w:val="en-US" w:eastAsia="zh-CN" w:bidi="ar-SA"/>
                    </w:rPr>
                  </w:pPr>
                  <w:r>
                    <w:rPr>
                      <w:color w:val="auto"/>
                      <w:szCs w:val="21"/>
                      <w:highlight w:val="none"/>
                    </w:rPr>
                    <w:t>新建</w:t>
                  </w:r>
                  <w:r>
                    <w:rPr>
                      <w:rFonts w:hint="eastAsia"/>
                      <w:color w:val="auto"/>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6" w:type="pct"/>
                  <w:vMerge w:val="continue"/>
                  <w:tcBorders>
                    <w:right w:val="single" w:color="000000" w:sz="6" w:space="0"/>
                  </w:tcBorders>
                  <w:noWrap w:val="0"/>
                  <w:vAlign w:val="center"/>
                </w:tcPr>
                <w:p>
                  <w:pPr>
                    <w:adjustRightInd w:val="0"/>
                    <w:snapToGrid w:val="0"/>
                    <w:jc w:val="center"/>
                    <w:rPr>
                      <w:color w:val="auto"/>
                      <w:szCs w:val="21"/>
                      <w:highlight w:val="none"/>
                    </w:rPr>
                  </w:pPr>
                </w:p>
              </w:tc>
              <w:tc>
                <w:tcPr>
                  <w:tcW w:w="458" w:type="pct"/>
                  <w:vMerge w:val="continue"/>
                  <w:tcBorders>
                    <w:left w:val="single" w:color="000000" w:sz="6" w:space="0"/>
                    <w:bottom w:val="single" w:color="000000" w:sz="6" w:space="0"/>
                    <w:right w:val="single" w:color="000000" w:sz="6" w:space="0"/>
                  </w:tcBorders>
                  <w:noWrap w:val="0"/>
                  <w:vAlign w:val="center"/>
                </w:tcPr>
                <w:p>
                  <w:pPr>
                    <w:adjustRightInd w:val="0"/>
                    <w:snapToGrid w:val="0"/>
                    <w:jc w:val="center"/>
                    <w:rPr>
                      <w:color w:val="auto"/>
                      <w:szCs w:val="21"/>
                      <w:highlight w:val="none"/>
                    </w:rPr>
                  </w:pPr>
                </w:p>
              </w:tc>
              <w:tc>
                <w:tcPr>
                  <w:tcW w:w="3322"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kern w:val="2"/>
                      <w:sz w:val="21"/>
                      <w:szCs w:val="21"/>
                      <w:highlight w:val="none"/>
                      <w:lang w:val="en-US" w:eastAsia="zh-CN" w:bidi="ar-SA"/>
                    </w:rPr>
                  </w:pPr>
                  <w:r>
                    <w:rPr>
                      <w:color w:val="auto"/>
                      <w:szCs w:val="21"/>
                      <w:highlight w:val="none"/>
                    </w:rPr>
                    <w:t>简单防渗区：除重点防渗区和一般防渗区以外的其他区域，进行地面硬化。</w:t>
                  </w:r>
                </w:p>
              </w:tc>
              <w:tc>
                <w:tcPr>
                  <w:tcW w:w="540"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kern w:val="2"/>
                      <w:sz w:val="21"/>
                      <w:szCs w:val="21"/>
                      <w:highlight w:val="none"/>
                      <w:lang w:val="en-US" w:eastAsia="zh-CN" w:bidi="ar-SA"/>
                    </w:rPr>
                  </w:pPr>
                  <w:r>
                    <w:rPr>
                      <w:color w:val="auto"/>
                      <w:szCs w:val="21"/>
                      <w:highlight w:val="none"/>
                    </w:rPr>
                    <w:t>1.0</w:t>
                  </w:r>
                </w:p>
              </w:tc>
              <w:tc>
                <w:tcPr>
                  <w:tcW w:w="422" w:type="pct"/>
                  <w:tcBorders>
                    <w:top w:val="single" w:color="000000" w:sz="6" w:space="0"/>
                    <w:left w:val="single" w:color="000000" w:sz="6" w:space="0"/>
                    <w:bottom w:val="single" w:color="000000" w:sz="6" w:space="0"/>
                  </w:tcBorders>
                  <w:noWrap w:val="0"/>
                  <w:vAlign w:val="center"/>
                </w:tcPr>
                <w:p>
                  <w:pPr>
                    <w:adjustRightInd w:val="0"/>
                    <w:snapToGrid w:val="0"/>
                    <w:jc w:val="center"/>
                    <w:rPr>
                      <w:color w:val="auto"/>
                      <w:kern w:val="2"/>
                      <w:sz w:val="21"/>
                      <w:szCs w:val="21"/>
                      <w:highlight w:val="none"/>
                      <w:lang w:val="en-US" w:eastAsia="zh-CN" w:bidi="ar-SA"/>
                    </w:rPr>
                  </w:pPr>
                  <w:r>
                    <w:rPr>
                      <w:color w:val="auto"/>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6" w:type="pct"/>
                  <w:vMerge w:val="continue"/>
                  <w:tcBorders>
                    <w:bottom w:val="single" w:color="000000" w:sz="6" w:space="0"/>
                    <w:right w:val="single" w:color="000000" w:sz="6" w:space="0"/>
                  </w:tcBorders>
                  <w:noWrap w:val="0"/>
                  <w:vAlign w:val="center"/>
                </w:tcPr>
                <w:p>
                  <w:pPr>
                    <w:adjustRightInd w:val="0"/>
                    <w:snapToGrid w:val="0"/>
                    <w:jc w:val="center"/>
                    <w:rPr>
                      <w:color w:val="auto"/>
                      <w:szCs w:val="21"/>
                      <w:highlight w:val="none"/>
                    </w:rPr>
                  </w:pPr>
                </w:p>
              </w:tc>
              <w:tc>
                <w:tcPr>
                  <w:tcW w:w="458" w:type="pct"/>
                  <w:tcBorders>
                    <w:left w:val="single" w:color="000000" w:sz="6" w:space="0"/>
                    <w:bottom w:val="single" w:color="000000" w:sz="6" w:space="0"/>
                    <w:right w:val="single" w:color="000000" w:sz="6" w:space="0"/>
                  </w:tcBorders>
                  <w:noWrap w:val="0"/>
                  <w:vAlign w:val="center"/>
                </w:tcPr>
                <w:p>
                  <w:pPr>
                    <w:adjustRightInd w:val="0"/>
                    <w:snapToGrid w:val="0"/>
                    <w:jc w:val="center"/>
                    <w:rPr>
                      <w:color w:val="auto"/>
                      <w:kern w:val="2"/>
                      <w:sz w:val="21"/>
                      <w:szCs w:val="21"/>
                      <w:highlight w:val="none"/>
                      <w:lang w:val="en-US" w:eastAsia="zh-CN" w:bidi="ar-SA"/>
                    </w:rPr>
                  </w:pPr>
                  <w:r>
                    <w:rPr>
                      <w:color w:val="auto"/>
                      <w:szCs w:val="21"/>
                      <w:highlight w:val="none"/>
                    </w:rPr>
                    <w:t>环境风险</w:t>
                  </w:r>
                </w:p>
              </w:tc>
              <w:tc>
                <w:tcPr>
                  <w:tcW w:w="3322"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color w:val="auto"/>
                      <w:kern w:val="2"/>
                      <w:sz w:val="21"/>
                      <w:szCs w:val="21"/>
                      <w:highlight w:val="none"/>
                      <w:lang w:val="en-US" w:eastAsia="zh-CN" w:bidi="ar-SA"/>
                    </w:rPr>
                  </w:pPr>
                  <w:r>
                    <w:rPr>
                      <w:color w:val="auto"/>
                      <w:szCs w:val="21"/>
                      <w:highlight w:val="none"/>
                    </w:rPr>
                    <w:t>设置手提式干粉灭火器、消防水池等消防设施，</w:t>
                  </w:r>
                  <w:r>
                    <w:rPr>
                      <w:rFonts w:hint="eastAsia"/>
                      <w:color w:val="auto"/>
                      <w:szCs w:val="21"/>
                      <w:highlight w:val="none"/>
                      <w:lang w:eastAsia="zh-CN"/>
                    </w:rPr>
                    <w:t>制定应急预案，</w:t>
                  </w:r>
                  <w:r>
                    <w:rPr>
                      <w:color w:val="auto"/>
                      <w:szCs w:val="21"/>
                      <w:highlight w:val="none"/>
                    </w:rPr>
                    <w:t>日常对电气设备和线路进行检修，定期对员工进行消防知识及技能培训等</w:t>
                  </w:r>
                </w:p>
              </w:tc>
              <w:tc>
                <w:tcPr>
                  <w:tcW w:w="540" w:type="pct"/>
                  <w:tcBorders>
                    <w:top w:val="single" w:color="000000" w:sz="6" w:space="0"/>
                    <w:left w:val="single" w:color="000000" w:sz="6" w:space="0"/>
                    <w:bottom w:val="single" w:color="000000" w:sz="6" w:space="0"/>
                    <w:right w:val="single" w:color="000000" w:sz="6" w:space="0"/>
                  </w:tcBorders>
                  <w:noWrap w:val="0"/>
                  <w:vAlign w:val="center"/>
                </w:tcPr>
                <w:p>
                  <w:pPr>
                    <w:adjustRightInd w:val="0"/>
                    <w:snapToGrid w:val="0"/>
                    <w:jc w:val="center"/>
                    <w:rPr>
                      <w:rFonts w:hint="default" w:eastAsia="宋体"/>
                      <w:color w:val="auto"/>
                      <w:kern w:val="2"/>
                      <w:sz w:val="21"/>
                      <w:szCs w:val="21"/>
                      <w:highlight w:val="none"/>
                      <w:lang w:val="en-US" w:eastAsia="zh-CN" w:bidi="ar-SA"/>
                    </w:rPr>
                  </w:pPr>
                  <w:r>
                    <w:rPr>
                      <w:rFonts w:hint="eastAsia"/>
                      <w:color w:val="auto"/>
                      <w:szCs w:val="21"/>
                      <w:highlight w:val="none"/>
                      <w:lang w:val="en-US" w:eastAsia="zh-CN"/>
                    </w:rPr>
                    <w:t>5.0</w:t>
                  </w:r>
                </w:p>
              </w:tc>
              <w:tc>
                <w:tcPr>
                  <w:tcW w:w="422" w:type="pct"/>
                  <w:tcBorders>
                    <w:top w:val="single" w:color="000000" w:sz="6" w:space="0"/>
                    <w:left w:val="single" w:color="000000" w:sz="6" w:space="0"/>
                    <w:bottom w:val="single" w:color="000000" w:sz="6" w:space="0"/>
                  </w:tcBorders>
                  <w:noWrap w:val="0"/>
                  <w:vAlign w:val="center"/>
                </w:tcPr>
                <w:p>
                  <w:pPr>
                    <w:adjustRightInd w:val="0"/>
                    <w:snapToGrid w:val="0"/>
                    <w:jc w:val="center"/>
                    <w:rPr>
                      <w:color w:val="auto"/>
                      <w:kern w:val="2"/>
                      <w:sz w:val="21"/>
                      <w:szCs w:val="21"/>
                      <w:highlight w:val="none"/>
                      <w:lang w:val="en-US" w:eastAsia="zh-CN" w:bidi="ar-SA"/>
                    </w:rPr>
                  </w:pPr>
                  <w:r>
                    <w:rPr>
                      <w:color w:val="auto"/>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714" w:type="pct"/>
                  <w:gridSpan w:val="2"/>
                  <w:tcBorders>
                    <w:top w:val="single" w:color="000000" w:sz="6" w:space="0"/>
                    <w:right w:val="single" w:color="000000" w:sz="6" w:space="0"/>
                  </w:tcBorders>
                  <w:noWrap w:val="0"/>
                  <w:vAlign w:val="center"/>
                </w:tcPr>
                <w:p>
                  <w:pPr>
                    <w:adjustRightInd w:val="0"/>
                    <w:snapToGrid w:val="0"/>
                    <w:jc w:val="center"/>
                    <w:rPr>
                      <w:color w:val="auto"/>
                      <w:szCs w:val="21"/>
                      <w:highlight w:val="none"/>
                    </w:rPr>
                  </w:pPr>
                  <w:r>
                    <w:rPr>
                      <w:color w:val="auto"/>
                      <w:szCs w:val="21"/>
                      <w:highlight w:val="none"/>
                    </w:rPr>
                    <w:t>合计</w:t>
                  </w:r>
                </w:p>
              </w:tc>
              <w:tc>
                <w:tcPr>
                  <w:tcW w:w="4285" w:type="pct"/>
                  <w:gridSpan w:val="3"/>
                  <w:tcBorders>
                    <w:top w:val="single" w:color="000000" w:sz="6" w:space="0"/>
                    <w:left w:val="single" w:color="000000" w:sz="6" w:space="0"/>
                  </w:tcBorders>
                  <w:noWrap w:val="0"/>
                  <w:vAlign w:val="center"/>
                </w:tcPr>
                <w:p>
                  <w:pPr>
                    <w:adjustRightInd w:val="0"/>
                    <w:snapToGrid w:val="0"/>
                    <w:jc w:val="center"/>
                    <w:rPr>
                      <w:color w:val="auto"/>
                      <w:szCs w:val="21"/>
                      <w:highlight w:val="none"/>
                    </w:rPr>
                  </w:pPr>
                  <w:r>
                    <w:rPr>
                      <w:color w:val="auto"/>
                      <w:szCs w:val="21"/>
                      <w:highlight w:val="none"/>
                    </w:rPr>
                    <w:t>4</w:t>
                  </w:r>
                  <w:r>
                    <w:rPr>
                      <w:rFonts w:hint="eastAsia"/>
                      <w:color w:val="auto"/>
                      <w:szCs w:val="21"/>
                      <w:highlight w:val="none"/>
                      <w:lang w:val="en-US" w:eastAsia="zh-CN"/>
                    </w:rPr>
                    <w:t>9</w:t>
                  </w:r>
                  <w:r>
                    <w:rPr>
                      <w:rFonts w:hint="eastAsia"/>
                      <w:color w:val="auto"/>
                      <w:szCs w:val="21"/>
                      <w:highlight w:val="none"/>
                    </w:rPr>
                    <w:t>.5</w:t>
                  </w:r>
                </w:p>
              </w:tc>
            </w:tr>
          </w:tbl>
          <w:p>
            <w:pPr>
              <w:spacing w:line="360" w:lineRule="auto"/>
              <w:ind w:firstLine="480" w:firstLineChars="200"/>
              <w:rPr>
                <w:rFonts w:ascii="Times New Roman" w:hAnsi="Times New Roman" w:eastAsia="宋体" w:cs="Times New Roman"/>
                <w:color w:val="auto"/>
                <w:sz w:val="24"/>
                <w:highlight w:val="none"/>
              </w:rPr>
            </w:pPr>
          </w:p>
          <w:p>
            <w:pPr>
              <w:spacing w:line="360" w:lineRule="auto"/>
              <w:ind w:firstLine="480" w:firstLineChars="200"/>
              <w:rPr>
                <w:rFonts w:ascii="Times New Roman" w:hAnsi="Times New Roman" w:eastAsia="宋体" w:cs="Times New Roman"/>
                <w:color w:val="auto"/>
                <w:sz w:val="24"/>
                <w:highlight w:val="none"/>
              </w:rPr>
            </w:pPr>
          </w:p>
          <w:p>
            <w:pPr>
              <w:spacing w:line="360" w:lineRule="auto"/>
              <w:ind w:firstLine="480" w:firstLineChars="200"/>
              <w:rPr>
                <w:rFonts w:ascii="Times New Roman" w:hAnsi="Times New Roman" w:eastAsia="宋体" w:cs="Times New Roman"/>
                <w:color w:val="auto"/>
                <w:sz w:val="24"/>
                <w:highlight w:val="none"/>
              </w:rPr>
            </w:pPr>
          </w:p>
          <w:p>
            <w:pPr>
              <w:spacing w:line="360" w:lineRule="auto"/>
              <w:ind w:firstLine="480" w:firstLineChars="200"/>
              <w:rPr>
                <w:rFonts w:ascii="Times New Roman" w:hAnsi="Times New Roman" w:eastAsia="宋体" w:cs="Times New Roman"/>
                <w:color w:val="auto"/>
                <w:sz w:val="24"/>
                <w:highlight w:val="none"/>
              </w:rPr>
            </w:pPr>
          </w:p>
          <w:p>
            <w:pPr>
              <w:spacing w:line="360" w:lineRule="auto"/>
              <w:ind w:firstLine="480" w:firstLineChars="200"/>
              <w:rPr>
                <w:rFonts w:ascii="Times New Roman" w:hAnsi="Times New Roman" w:eastAsia="宋体" w:cs="Times New Roman"/>
                <w:color w:val="auto"/>
                <w:sz w:val="24"/>
                <w:highlight w:val="none"/>
              </w:rPr>
            </w:pPr>
          </w:p>
          <w:p>
            <w:pPr>
              <w:spacing w:line="360" w:lineRule="auto"/>
              <w:ind w:firstLine="480" w:firstLineChars="200"/>
              <w:rPr>
                <w:rFonts w:ascii="Times New Roman" w:hAnsi="Times New Roman" w:eastAsia="宋体" w:cs="Times New Roman"/>
                <w:color w:val="auto"/>
                <w:sz w:val="24"/>
                <w:highlight w:val="none"/>
              </w:rPr>
            </w:pPr>
          </w:p>
          <w:p>
            <w:pPr>
              <w:spacing w:line="360" w:lineRule="auto"/>
              <w:ind w:firstLine="480" w:firstLineChars="200"/>
              <w:rPr>
                <w:rFonts w:ascii="Times New Roman" w:hAnsi="Times New Roman" w:eastAsia="宋体" w:cs="Times New Roman"/>
                <w:color w:val="auto"/>
                <w:sz w:val="24"/>
                <w:highlight w:val="none"/>
              </w:rPr>
            </w:pPr>
          </w:p>
          <w:p>
            <w:pPr>
              <w:spacing w:line="360" w:lineRule="auto"/>
              <w:ind w:firstLine="480" w:firstLineChars="200"/>
              <w:rPr>
                <w:rFonts w:ascii="Times New Roman" w:hAnsi="Times New Roman" w:eastAsia="宋体" w:cs="Times New Roman"/>
                <w:color w:val="auto"/>
                <w:sz w:val="24"/>
                <w:highlight w:val="none"/>
              </w:rPr>
            </w:pPr>
          </w:p>
          <w:p>
            <w:pPr>
              <w:spacing w:line="360" w:lineRule="auto"/>
              <w:ind w:firstLine="480" w:firstLineChars="200"/>
              <w:rPr>
                <w:rFonts w:ascii="Times New Roman" w:hAnsi="Times New Roman" w:eastAsia="宋体" w:cs="Times New Roman"/>
                <w:color w:val="auto"/>
                <w:sz w:val="24"/>
                <w:highlight w:val="none"/>
              </w:rPr>
            </w:pPr>
          </w:p>
          <w:p>
            <w:pPr>
              <w:spacing w:line="360" w:lineRule="auto"/>
              <w:ind w:firstLine="480" w:firstLineChars="200"/>
              <w:rPr>
                <w:rFonts w:ascii="Times New Roman" w:hAnsi="Times New Roman" w:eastAsia="宋体" w:cs="Times New Roman"/>
                <w:color w:val="auto"/>
                <w:sz w:val="24"/>
                <w:highlight w:val="none"/>
              </w:rPr>
            </w:pPr>
          </w:p>
          <w:p>
            <w:pPr>
              <w:spacing w:line="360" w:lineRule="auto"/>
              <w:ind w:firstLine="480" w:firstLineChars="200"/>
              <w:rPr>
                <w:rFonts w:ascii="Times New Roman" w:hAnsi="Times New Roman" w:eastAsia="宋体" w:cs="Times New Roman"/>
                <w:color w:val="auto"/>
                <w:sz w:val="24"/>
                <w:highlight w:val="none"/>
              </w:rPr>
            </w:pPr>
          </w:p>
          <w:p>
            <w:pPr>
              <w:spacing w:line="360" w:lineRule="auto"/>
              <w:ind w:firstLine="480" w:firstLineChars="200"/>
              <w:rPr>
                <w:rFonts w:ascii="Times New Roman" w:hAnsi="Times New Roman" w:eastAsia="宋体" w:cs="Times New Roman"/>
                <w:color w:val="auto"/>
                <w:sz w:val="24"/>
                <w:highlight w:val="none"/>
              </w:rPr>
            </w:pPr>
          </w:p>
          <w:p>
            <w:pPr>
              <w:spacing w:line="360" w:lineRule="auto"/>
              <w:ind w:firstLine="480" w:firstLineChars="200"/>
              <w:rPr>
                <w:rFonts w:ascii="Times New Roman" w:hAnsi="Times New Roman" w:eastAsia="宋体" w:cs="Times New Roman"/>
                <w:color w:val="auto"/>
                <w:sz w:val="24"/>
                <w:highlight w:val="none"/>
              </w:rPr>
            </w:pPr>
          </w:p>
          <w:p>
            <w:pPr>
              <w:keepNext w:val="0"/>
              <w:keepLines w:val="0"/>
              <w:pageBreakBefore w:val="0"/>
              <w:widowControl w:val="0"/>
              <w:kinsoku/>
              <w:wordWrap/>
              <w:overflowPunct/>
              <w:topLinePunct w:val="0"/>
              <w:autoSpaceDE/>
              <w:autoSpaceDN/>
              <w:bidi w:val="0"/>
              <w:spacing w:after="0" w:line="360" w:lineRule="auto"/>
              <w:ind w:firstLine="480" w:firstLineChars="200"/>
              <w:rPr>
                <w:rFonts w:hint="eastAsia" w:ascii="Times New Roman" w:hAnsi="Times New Roman" w:eastAsia="宋体" w:cs="Times New Roman"/>
                <w:color w:val="auto"/>
                <w:kern w:val="2"/>
                <w:sz w:val="24"/>
                <w:highlight w:val="none"/>
              </w:rPr>
            </w:pPr>
          </w:p>
        </w:tc>
      </w:tr>
    </w:tbl>
    <w:p>
      <w:pPr>
        <w:adjustRightInd w:val="0"/>
        <w:snapToGrid w:val="0"/>
        <w:spacing w:line="360" w:lineRule="auto"/>
        <w:rPr>
          <w:rFonts w:hint="eastAsia" w:ascii="宋体" w:cs="宋体"/>
          <w:b/>
          <w:color w:val="auto"/>
          <w:kern w:val="0"/>
          <w:sz w:val="28"/>
          <w:szCs w:val="28"/>
          <w:highlight w:val="none"/>
        </w:rPr>
        <w:sectPr>
          <w:pgSz w:w="11907" w:h="16840"/>
          <w:pgMar w:top="1701" w:right="1531" w:bottom="2127" w:left="1531" w:header="851" w:footer="851" w:gutter="0"/>
          <w:cols w:space="720" w:num="1"/>
          <w:docGrid w:linePitch="312" w:charSpace="0"/>
        </w:sectPr>
      </w:pPr>
    </w:p>
    <w:p>
      <w:pPr>
        <w:pStyle w:val="19"/>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五、</w:t>
      </w:r>
      <w:bookmarkStart w:id="7" w:name="_Hlk54167917"/>
      <w:r>
        <w:rPr>
          <w:rFonts w:hint="eastAsia" w:ascii="黑体" w:hAnsi="黑体" w:eastAsia="黑体"/>
          <w:snapToGrid w:val="0"/>
          <w:color w:val="auto"/>
          <w:sz w:val="30"/>
          <w:szCs w:val="30"/>
          <w:highlight w:val="none"/>
        </w:rPr>
        <w:t>环境保护措施监督检查清单</w:t>
      </w:r>
      <w:bookmarkEnd w:id="7"/>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1950"/>
        <w:gridCol w:w="1472"/>
        <w:gridCol w:w="1935"/>
        <w:gridCol w:w="18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3" w:type="dxa"/>
            <w:tcBorders>
              <w:tl2br w:val="single" w:color="auto" w:sz="4" w:space="0"/>
            </w:tcBorders>
            <w:noWrap w:val="0"/>
            <w:vAlign w:val="top"/>
          </w:tcPr>
          <w:p>
            <w:pPr>
              <w:adjustRightInd w:val="0"/>
              <w:snapToGrid w:val="0"/>
              <w:ind w:firstLine="840"/>
              <w:rPr>
                <w:rFonts w:hint="eastAsia" w:ascii="宋体" w:hAnsi="宋体" w:cs="宋体"/>
                <w:color w:val="auto"/>
                <w:szCs w:val="21"/>
                <w:highlight w:val="none"/>
              </w:rPr>
            </w:pPr>
            <w:r>
              <w:rPr>
                <w:rFonts w:hint="eastAsia" w:ascii="宋体" w:hAnsi="宋体" w:cs="宋体"/>
                <w:color w:val="auto"/>
                <w:szCs w:val="21"/>
                <w:highlight w:val="none"/>
              </w:rPr>
              <w:t>内容</w:t>
            </w:r>
          </w:p>
          <w:p>
            <w:pPr>
              <w:adjustRightInd w:val="0"/>
              <w:snapToGrid w:val="0"/>
              <w:rPr>
                <w:rFonts w:hint="eastAsia" w:ascii="宋体" w:hAnsi="宋体" w:cs="宋体"/>
                <w:color w:val="auto"/>
                <w:szCs w:val="21"/>
                <w:highlight w:val="none"/>
              </w:rPr>
            </w:pPr>
            <w:r>
              <w:rPr>
                <w:rFonts w:hint="eastAsia" w:ascii="宋体" w:hAnsi="宋体" w:cs="宋体"/>
                <w:color w:val="auto"/>
                <w:szCs w:val="21"/>
                <w:highlight w:val="none"/>
              </w:rPr>
              <w:t>要素</w:t>
            </w:r>
          </w:p>
        </w:tc>
        <w:tc>
          <w:tcPr>
            <w:tcW w:w="1950" w:type="dxa"/>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排放口(编号、名称)/污染源</w:t>
            </w:r>
          </w:p>
        </w:tc>
        <w:tc>
          <w:tcPr>
            <w:tcW w:w="1472" w:type="dxa"/>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污染物项目</w:t>
            </w:r>
          </w:p>
        </w:tc>
        <w:tc>
          <w:tcPr>
            <w:tcW w:w="1935" w:type="dxa"/>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环境保护措施</w:t>
            </w:r>
          </w:p>
        </w:tc>
        <w:tc>
          <w:tcPr>
            <w:tcW w:w="1860" w:type="dxa"/>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3" w:type="dxa"/>
            <w:vMerge w:val="restart"/>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大气环境</w:t>
            </w:r>
          </w:p>
        </w:tc>
        <w:tc>
          <w:tcPr>
            <w:tcW w:w="1950"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DA00</w:t>
            </w:r>
            <w:r>
              <w:rPr>
                <w:rFonts w:hint="eastAsia"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天然气燃烧废气</w:t>
            </w:r>
          </w:p>
        </w:tc>
        <w:tc>
          <w:tcPr>
            <w:tcW w:w="1472"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颗粒物、</w:t>
            </w:r>
            <w:r>
              <w:rPr>
                <w:rFonts w:hint="eastAsia" w:ascii="Times New Roman" w:hAnsi="Times New Roman" w:eastAsia="宋体" w:cs="Times New Roman"/>
                <w:color w:val="auto"/>
                <w:highlight w:val="none"/>
                <w:lang w:val="en-US" w:eastAsia="zh-CN"/>
              </w:rPr>
              <w:t>SO</w:t>
            </w:r>
            <w:r>
              <w:rPr>
                <w:rFonts w:hint="eastAsia" w:ascii="Times New Roman" w:hAnsi="Times New Roman" w:eastAsia="宋体" w:cs="Times New Roman"/>
                <w:color w:val="auto"/>
                <w:highlight w:val="none"/>
                <w:vertAlign w:val="subscript"/>
                <w:lang w:val="en-US" w:eastAsia="zh-CN"/>
              </w:rPr>
              <w:t>2</w:t>
            </w:r>
            <w:r>
              <w:rPr>
                <w:rFonts w:hint="eastAsia" w:ascii="Times New Roman" w:hAnsi="Times New Roman" w:eastAsia="宋体" w:cs="Times New Roman"/>
                <w:color w:val="auto"/>
                <w:highlight w:val="none"/>
                <w:lang w:val="en-US" w:eastAsia="zh-CN"/>
              </w:rPr>
              <w:t>、NOx</w:t>
            </w:r>
          </w:p>
        </w:tc>
        <w:tc>
          <w:tcPr>
            <w:tcW w:w="1935" w:type="dxa"/>
            <w:noWrap w:val="0"/>
            <w:vAlign w:val="center"/>
          </w:tcPr>
          <w:p>
            <w:pPr>
              <w:adjustRightInd w:val="0"/>
              <w:snapToGrid w:val="0"/>
              <w:jc w:val="center"/>
              <w:rPr>
                <w:rFonts w:hint="eastAsia" w:ascii="Times New Roman" w:hAnsi="Times New Roman" w:eastAsia="宋体" w:cs="Times New Roman"/>
                <w:color w:val="auto"/>
                <w:highlight w:val="none"/>
              </w:rPr>
            </w:pPr>
            <w:r>
              <w:rPr>
                <w:rFonts w:hint="eastAsia" w:eastAsia="宋体"/>
                <w:color w:val="auto"/>
                <w:highlight w:val="none"/>
                <w:lang w:eastAsia="zh-CN"/>
              </w:rPr>
              <w:t>通过</w:t>
            </w:r>
            <w:r>
              <w:rPr>
                <w:rFonts w:hint="eastAsia"/>
                <w:color w:val="auto"/>
                <w:highlight w:val="none"/>
                <w:lang w:val="en-US" w:eastAsia="zh-CN"/>
              </w:rPr>
              <w:t>10</w:t>
            </w:r>
            <w:r>
              <w:rPr>
                <w:rFonts w:hint="eastAsia" w:eastAsia="宋体"/>
                <w:color w:val="auto"/>
                <w:highlight w:val="none"/>
                <w:lang w:eastAsia="zh-CN"/>
              </w:rPr>
              <w:t>m的排气筒</w:t>
            </w:r>
            <w:r>
              <w:rPr>
                <w:rFonts w:hint="eastAsia" w:eastAsia="宋体"/>
                <w:color w:val="auto"/>
                <w:highlight w:val="none"/>
                <w:lang w:val="en-US" w:eastAsia="zh-CN"/>
              </w:rPr>
              <w:t>排放</w:t>
            </w:r>
          </w:p>
        </w:tc>
        <w:tc>
          <w:tcPr>
            <w:tcW w:w="1860" w:type="dxa"/>
            <w:noWrap w:val="0"/>
            <w:vAlign w:val="center"/>
          </w:tcPr>
          <w:p>
            <w:pPr>
              <w:adjustRightInd w:val="0"/>
              <w:snapToGrid w:val="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《锅炉大气污染物排放标准》（GB 13271-2014）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3" w:type="dxa"/>
            <w:vMerge w:val="continue"/>
            <w:noWrap w:val="0"/>
            <w:vAlign w:val="center"/>
          </w:tcPr>
          <w:p>
            <w:pPr>
              <w:adjustRightInd w:val="0"/>
              <w:snapToGrid w:val="0"/>
              <w:jc w:val="center"/>
              <w:rPr>
                <w:rFonts w:hint="eastAsia" w:ascii="宋体" w:hAnsi="宋体" w:cs="宋体"/>
                <w:color w:val="auto"/>
                <w:szCs w:val="21"/>
                <w:highlight w:val="none"/>
              </w:rPr>
            </w:pPr>
          </w:p>
        </w:tc>
        <w:tc>
          <w:tcPr>
            <w:tcW w:w="1950"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DA005油炸油烟</w:t>
            </w:r>
          </w:p>
        </w:tc>
        <w:tc>
          <w:tcPr>
            <w:tcW w:w="1472" w:type="dxa"/>
            <w:noWrap w:val="0"/>
            <w:vAlign w:val="center"/>
          </w:tcPr>
          <w:p>
            <w:pPr>
              <w:adjustRightInd w:val="0"/>
              <w:snapToGrid w:val="0"/>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油烟</w:t>
            </w:r>
          </w:p>
        </w:tc>
        <w:tc>
          <w:tcPr>
            <w:tcW w:w="1935" w:type="dxa"/>
            <w:noWrap w:val="0"/>
            <w:vAlign w:val="center"/>
          </w:tcPr>
          <w:p>
            <w:pPr>
              <w:adjustRightInd w:val="0"/>
              <w:snapToGrid w:val="0"/>
              <w:jc w:val="center"/>
              <w:rPr>
                <w:rFonts w:hint="eastAsia" w:ascii="Times New Roman" w:hAnsi="Times New Roman" w:eastAsia="宋体" w:cs="Times New Roman"/>
                <w:color w:val="auto"/>
                <w:highlight w:val="none"/>
              </w:rPr>
            </w:pPr>
            <w:r>
              <w:rPr>
                <w:rFonts w:hint="eastAsia"/>
                <w:color w:val="auto"/>
                <w:highlight w:val="none"/>
              </w:rPr>
              <w:t>油烟净化装置处理后，通过15m的排气筒</w:t>
            </w:r>
            <w:r>
              <w:rPr>
                <w:rFonts w:hint="eastAsia"/>
                <w:color w:val="auto"/>
                <w:highlight w:val="none"/>
                <w:lang w:val="en-US" w:eastAsia="zh-CN"/>
              </w:rPr>
              <w:t>排放</w:t>
            </w:r>
          </w:p>
        </w:tc>
        <w:tc>
          <w:tcPr>
            <w:tcW w:w="1860" w:type="dxa"/>
            <w:noWrap w:val="0"/>
            <w:vAlign w:val="center"/>
          </w:tcPr>
          <w:p>
            <w:pPr>
              <w:adjustRightInd w:val="0"/>
              <w:snapToGrid w:val="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《饮食业油烟排放标准（试行）》（GB18483-2001）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3" w:type="dxa"/>
            <w:vMerge w:val="continue"/>
            <w:noWrap w:val="0"/>
            <w:vAlign w:val="center"/>
          </w:tcPr>
          <w:p>
            <w:pPr>
              <w:adjustRightInd w:val="0"/>
              <w:snapToGrid w:val="0"/>
              <w:jc w:val="center"/>
              <w:rPr>
                <w:rFonts w:hint="eastAsia" w:ascii="宋体" w:hAnsi="宋体" w:cs="宋体"/>
                <w:color w:val="auto"/>
                <w:szCs w:val="21"/>
                <w:highlight w:val="none"/>
              </w:rPr>
            </w:pPr>
          </w:p>
        </w:tc>
        <w:tc>
          <w:tcPr>
            <w:tcW w:w="1950"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DA002食堂油烟</w:t>
            </w:r>
          </w:p>
        </w:tc>
        <w:tc>
          <w:tcPr>
            <w:tcW w:w="1472" w:type="dxa"/>
            <w:noWrap w:val="0"/>
            <w:vAlign w:val="center"/>
          </w:tcPr>
          <w:p>
            <w:pPr>
              <w:adjustRightInd w:val="0"/>
              <w:snapToGrid w:val="0"/>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油烟</w:t>
            </w:r>
          </w:p>
        </w:tc>
        <w:tc>
          <w:tcPr>
            <w:tcW w:w="1935" w:type="dxa"/>
            <w:noWrap w:val="0"/>
            <w:vAlign w:val="center"/>
          </w:tcPr>
          <w:p>
            <w:pPr>
              <w:adjustRightInd w:val="0"/>
              <w:snapToGrid w:val="0"/>
              <w:jc w:val="center"/>
              <w:rPr>
                <w:rFonts w:hint="eastAsia"/>
                <w:color w:val="auto"/>
                <w:highlight w:val="none"/>
              </w:rPr>
            </w:pPr>
            <w:r>
              <w:rPr>
                <w:rFonts w:hint="eastAsia"/>
                <w:color w:val="auto"/>
                <w:highlight w:val="none"/>
              </w:rPr>
              <w:t>油烟净化装置处理后，</w:t>
            </w:r>
            <w:r>
              <w:rPr>
                <w:rFonts w:hint="eastAsia"/>
                <w:color w:val="auto"/>
                <w:highlight w:val="none"/>
                <w:lang w:val="en-US" w:eastAsia="zh-CN"/>
              </w:rPr>
              <w:t>引至楼顶排放</w:t>
            </w:r>
          </w:p>
        </w:tc>
        <w:tc>
          <w:tcPr>
            <w:tcW w:w="1860" w:type="dxa"/>
            <w:noWrap w:val="0"/>
            <w:vAlign w:val="center"/>
          </w:tcPr>
          <w:p>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《饮食业油烟排放标准（试行）》（GB18483-2001）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3" w:type="dxa"/>
            <w:vMerge w:val="continue"/>
            <w:noWrap w:val="0"/>
            <w:vAlign w:val="center"/>
          </w:tcPr>
          <w:p>
            <w:pPr>
              <w:adjustRightInd w:val="0"/>
              <w:snapToGrid w:val="0"/>
              <w:jc w:val="center"/>
              <w:rPr>
                <w:rFonts w:hint="eastAsia" w:ascii="宋体" w:hAnsi="宋体" w:cs="宋体"/>
                <w:color w:val="auto"/>
                <w:szCs w:val="21"/>
                <w:highlight w:val="none"/>
              </w:rPr>
            </w:pPr>
          </w:p>
        </w:tc>
        <w:tc>
          <w:tcPr>
            <w:tcW w:w="1950" w:type="dxa"/>
            <w:noWrap w:val="0"/>
            <w:vAlign w:val="center"/>
          </w:tcPr>
          <w:p>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无组织废气</w:t>
            </w:r>
          </w:p>
        </w:tc>
        <w:tc>
          <w:tcPr>
            <w:tcW w:w="1472" w:type="dxa"/>
            <w:noWrap w:val="0"/>
            <w:vAlign w:val="center"/>
          </w:tcPr>
          <w:p>
            <w:pPr>
              <w:adjustRightInd w:val="0"/>
              <w:snapToGrid w:val="0"/>
              <w:jc w:val="center"/>
              <w:rPr>
                <w:rFonts w:hint="eastAsia" w:ascii="Times New Roman" w:hAnsi="Times New Roman" w:eastAsia="宋体" w:cs="Times New Roman"/>
                <w:color w:val="auto"/>
                <w:highlight w:val="none"/>
                <w:vertAlign w:val="baseline"/>
                <w:lang w:eastAsia="zh-CN"/>
              </w:rPr>
            </w:pPr>
            <w:r>
              <w:rPr>
                <w:rFonts w:hint="eastAsia" w:ascii="Times New Roman" w:hAnsi="Times New Roman" w:eastAsia="宋体" w:cs="Times New Roman"/>
                <w:color w:val="auto"/>
                <w:highlight w:val="none"/>
                <w:lang w:eastAsia="zh-CN"/>
              </w:rPr>
              <w:t>粉尘、</w:t>
            </w:r>
            <w:r>
              <w:rPr>
                <w:rFonts w:hint="eastAsia" w:ascii="Times New Roman" w:hAnsi="Times New Roman" w:eastAsia="宋体" w:cs="Times New Roman"/>
                <w:color w:val="auto"/>
                <w:highlight w:val="none"/>
                <w:lang w:val="en-US" w:eastAsia="zh-CN"/>
              </w:rPr>
              <w:t>V</w:t>
            </w:r>
            <w:r>
              <w:rPr>
                <w:rFonts w:hint="eastAsia"/>
                <w:color w:val="auto"/>
                <w:highlight w:val="none"/>
                <w:lang w:val="en-US" w:eastAsia="zh-CN"/>
              </w:rPr>
              <w:t>OCs、非甲烷总烃、O</w:t>
            </w:r>
            <w:r>
              <w:rPr>
                <w:rFonts w:hint="eastAsia"/>
                <w:color w:val="auto"/>
                <w:highlight w:val="none"/>
                <w:vertAlign w:val="subscript"/>
                <w:lang w:val="en-US" w:eastAsia="zh-CN"/>
              </w:rPr>
              <w:t>3</w:t>
            </w:r>
            <w:r>
              <w:rPr>
                <w:rFonts w:hint="eastAsia"/>
                <w:color w:val="auto"/>
                <w:highlight w:val="none"/>
                <w:vertAlign w:val="baseline"/>
                <w:lang w:val="en-US" w:eastAsia="zh-CN"/>
              </w:rPr>
              <w:t>、</w:t>
            </w:r>
            <w:r>
              <w:rPr>
                <w:rFonts w:hint="eastAsia"/>
                <w:color w:val="auto"/>
                <w:highlight w:val="none"/>
                <w:lang w:val="en-US" w:eastAsia="zh-CN"/>
              </w:rPr>
              <w:t>NH</w:t>
            </w:r>
            <w:r>
              <w:rPr>
                <w:rFonts w:hint="eastAsia"/>
                <w:color w:val="auto"/>
                <w:highlight w:val="none"/>
                <w:vertAlign w:val="subscript"/>
                <w:lang w:val="en-US" w:eastAsia="zh-CN"/>
              </w:rPr>
              <w:t>3</w:t>
            </w:r>
            <w:r>
              <w:rPr>
                <w:rFonts w:hint="eastAsia"/>
                <w:color w:val="auto"/>
                <w:highlight w:val="none"/>
                <w:vertAlign w:val="baseline"/>
                <w:lang w:val="en-US" w:eastAsia="zh-CN"/>
              </w:rPr>
              <w:t>、</w:t>
            </w:r>
            <w:r>
              <w:rPr>
                <w:rFonts w:hint="eastAsia"/>
                <w:color w:val="auto"/>
                <w:highlight w:val="none"/>
                <w:lang w:val="en-US" w:eastAsia="zh-CN"/>
              </w:rPr>
              <w:t>H</w:t>
            </w:r>
            <w:r>
              <w:rPr>
                <w:rFonts w:hint="eastAsia"/>
                <w:color w:val="auto"/>
                <w:highlight w:val="none"/>
                <w:vertAlign w:val="subscript"/>
                <w:lang w:val="en-US" w:eastAsia="zh-CN"/>
              </w:rPr>
              <w:t>2</w:t>
            </w:r>
            <w:r>
              <w:rPr>
                <w:rFonts w:hint="eastAsia"/>
                <w:color w:val="auto"/>
                <w:highlight w:val="none"/>
                <w:lang w:val="en-US" w:eastAsia="zh-CN"/>
              </w:rPr>
              <w:t>S、臭气浓度、挥发性酸等</w:t>
            </w:r>
          </w:p>
        </w:tc>
        <w:tc>
          <w:tcPr>
            <w:tcW w:w="1935" w:type="dxa"/>
            <w:noWrap w:val="0"/>
            <w:vAlign w:val="center"/>
          </w:tcPr>
          <w:p>
            <w:pPr>
              <w:adjustRightInd w:val="0"/>
              <w:snapToGrid w:val="0"/>
              <w:jc w:val="center"/>
              <w:rPr>
                <w:rFonts w:hint="eastAsia" w:eastAsia="宋体"/>
                <w:color w:val="auto"/>
                <w:highlight w:val="none"/>
                <w:lang w:eastAsia="zh-CN"/>
              </w:rPr>
            </w:pPr>
            <w:r>
              <w:rPr>
                <w:rFonts w:hint="eastAsia"/>
                <w:color w:val="auto"/>
                <w:highlight w:val="none"/>
                <w:lang w:eastAsia="zh-CN"/>
              </w:rPr>
              <w:t>加强车间通风；污水处理站</w:t>
            </w:r>
            <w:r>
              <w:rPr>
                <w:rFonts w:hint="eastAsia"/>
                <w:color w:val="auto"/>
                <w:highlight w:val="none"/>
                <w:lang w:val="en-US" w:eastAsia="zh-CN"/>
              </w:rPr>
              <w:t>加盖板密闭，周围种植绿化带，并在周边喷洒生物除臭剂；</w:t>
            </w:r>
            <w:r>
              <w:rPr>
                <w:rFonts w:hint="eastAsia"/>
                <w:color w:val="auto"/>
                <w:highlight w:val="none"/>
                <w:lang w:eastAsia="zh-CN"/>
              </w:rPr>
              <w:t>化验室废气</w:t>
            </w:r>
            <w:r>
              <w:rPr>
                <w:rFonts w:hint="eastAsia"/>
                <w:color w:val="auto"/>
                <w:highlight w:val="none"/>
                <w:lang w:val="en-US" w:eastAsia="zh-CN"/>
              </w:rPr>
              <w:t>抽风收集后排出</w:t>
            </w:r>
          </w:p>
        </w:tc>
        <w:tc>
          <w:tcPr>
            <w:tcW w:w="1860" w:type="dxa"/>
            <w:noWrap w:val="0"/>
            <w:vAlign w:val="center"/>
          </w:tcPr>
          <w:p>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恶臭污染物排放标准》（GB14554-1993）、《四川省固定污染源大气挥发性有机物排放标准》（DB51/2377-2017）、《挥发性有机物无组织排放控制标准》（GB37822-2019）、《挥发性有机物无组织排放控制标准》（GB37822-2019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3" w:type="dxa"/>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地表水环境</w:t>
            </w:r>
          </w:p>
        </w:tc>
        <w:tc>
          <w:tcPr>
            <w:tcW w:w="1950" w:type="dxa"/>
            <w:noWrap w:val="0"/>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DW001厂区废水总排口</w:t>
            </w:r>
          </w:p>
        </w:tc>
        <w:tc>
          <w:tcPr>
            <w:tcW w:w="1472" w:type="dxa"/>
            <w:noWrap w:val="0"/>
            <w:vAlign w:val="center"/>
          </w:tcPr>
          <w:p>
            <w:pPr>
              <w:adjustRightInd w:val="0"/>
              <w:snapToGrid w:val="0"/>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rPr>
              <w:t>pH值、化学需氧量、悬浮物、五日生化需氧量、氨氮、总磷</w:t>
            </w:r>
            <w:r>
              <w:rPr>
                <w:rFonts w:hint="eastAsia" w:ascii="Times New Roman" w:hAnsi="Times New Roman" w:eastAsia="宋体" w:cs="Times New Roman"/>
                <w:color w:val="auto"/>
                <w:highlight w:val="none"/>
                <w:lang w:eastAsia="zh-CN"/>
              </w:rPr>
              <w:t>、动植物油</w:t>
            </w:r>
            <w:r>
              <w:rPr>
                <w:rFonts w:hint="eastAsia" w:cs="Times New Roman"/>
                <w:color w:val="auto"/>
                <w:highlight w:val="none"/>
                <w:lang w:eastAsia="zh-CN"/>
              </w:rPr>
              <w:t>、</w:t>
            </w:r>
            <w:r>
              <w:rPr>
                <w:rFonts w:hint="eastAsia" w:ascii="Times New Roman" w:hAnsi="Times New Roman"/>
                <w:color w:val="auto"/>
                <w:sz w:val="21"/>
                <w:szCs w:val="21"/>
                <w:highlight w:val="none"/>
                <w:lang w:val="en-US" w:eastAsia="zh-CN"/>
              </w:rPr>
              <w:t>阴离子表面活性剂（LAS）</w:t>
            </w:r>
            <w:r>
              <w:rPr>
                <w:rFonts w:hint="eastAsia" w:ascii="Times New Roman" w:hAnsi="Times New Roman" w:eastAsia="宋体" w:cs="Times New Roman"/>
                <w:color w:val="auto"/>
                <w:highlight w:val="none"/>
                <w:lang w:eastAsia="zh-CN"/>
              </w:rPr>
              <w:t>等</w:t>
            </w:r>
          </w:p>
        </w:tc>
        <w:tc>
          <w:tcPr>
            <w:tcW w:w="1935" w:type="dxa"/>
            <w:noWrap w:val="0"/>
            <w:vAlign w:val="center"/>
          </w:tcPr>
          <w:p>
            <w:pPr>
              <w:adjustRightInd w:val="0"/>
              <w:snapToGrid w:val="0"/>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隔油池、</w:t>
            </w:r>
            <w:r>
              <w:rPr>
                <w:rFonts w:hint="eastAsia" w:cs="Times New Roman"/>
                <w:color w:val="auto"/>
                <w:highlight w:val="none"/>
                <w:lang w:val="en-US" w:eastAsia="zh-CN"/>
              </w:rPr>
              <w:t>预处理池、</w:t>
            </w:r>
            <w:r>
              <w:rPr>
                <w:rFonts w:hint="eastAsia" w:ascii="Times New Roman" w:hAnsi="Times New Roman" w:eastAsia="宋体" w:cs="Times New Roman"/>
                <w:color w:val="auto"/>
                <w:highlight w:val="none"/>
                <w:lang w:eastAsia="zh-CN"/>
              </w:rPr>
              <w:t>污水处理站处理</w:t>
            </w:r>
          </w:p>
        </w:tc>
        <w:tc>
          <w:tcPr>
            <w:tcW w:w="1860" w:type="dxa"/>
            <w:noWrap w:val="0"/>
            <w:vAlign w:val="center"/>
          </w:tcPr>
          <w:p>
            <w:pPr>
              <w:adjustRightInd w:val="0"/>
              <w:snapToGrid w:val="0"/>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rPr>
              <w:t>《污水综合排放标准》（GB8978-1996）三级标准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3" w:type="dxa"/>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声环境</w:t>
            </w:r>
          </w:p>
        </w:tc>
        <w:tc>
          <w:tcPr>
            <w:tcW w:w="1950" w:type="dxa"/>
            <w:noWrap w:val="0"/>
            <w:vAlign w:val="center"/>
          </w:tcPr>
          <w:p>
            <w:pPr>
              <w:adjustRightInd w:val="0"/>
              <w:snapToGrid w:val="0"/>
              <w:jc w:val="center"/>
              <w:rPr>
                <w:rFonts w:hint="eastAsia" w:ascii="Times New Roman" w:hAnsi="Times New Roman" w:eastAsia="宋体"/>
                <w:color w:val="auto"/>
                <w:kern w:val="2"/>
                <w:sz w:val="21"/>
                <w:szCs w:val="24"/>
                <w:highlight w:val="none"/>
                <w:lang w:val="en-US" w:eastAsia="zh-CN" w:bidi="ar-SA"/>
              </w:rPr>
            </w:pPr>
            <w:r>
              <w:rPr>
                <w:color w:val="auto"/>
                <w:highlight w:val="none"/>
              </w:rPr>
              <w:t>厂区</w:t>
            </w:r>
          </w:p>
        </w:tc>
        <w:tc>
          <w:tcPr>
            <w:tcW w:w="1472" w:type="dxa"/>
            <w:noWrap w:val="0"/>
            <w:vAlign w:val="center"/>
          </w:tcPr>
          <w:p>
            <w:pPr>
              <w:adjustRightInd w:val="0"/>
              <w:snapToGrid w:val="0"/>
              <w:jc w:val="center"/>
              <w:rPr>
                <w:rFonts w:hint="eastAsia" w:ascii="Times New Roman" w:hAnsi="Times New Roman" w:eastAsia="宋体"/>
                <w:color w:val="auto"/>
                <w:kern w:val="2"/>
                <w:sz w:val="21"/>
                <w:szCs w:val="24"/>
                <w:highlight w:val="none"/>
                <w:lang w:val="en-US" w:eastAsia="zh-CN" w:bidi="ar-SA"/>
              </w:rPr>
            </w:pPr>
            <w:r>
              <w:rPr>
                <w:color w:val="auto"/>
                <w:highlight w:val="none"/>
              </w:rPr>
              <w:t>连续等效A声级</w:t>
            </w:r>
          </w:p>
        </w:tc>
        <w:tc>
          <w:tcPr>
            <w:tcW w:w="1935" w:type="dxa"/>
            <w:noWrap w:val="0"/>
            <w:vAlign w:val="center"/>
          </w:tcPr>
          <w:p>
            <w:pPr>
              <w:adjustRightInd w:val="0"/>
              <w:snapToGrid w:val="0"/>
              <w:jc w:val="center"/>
              <w:rPr>
                <w:rFonts w:hint="eastAsia" w:ascii="Times New Roman" w:hAnsi="Times New Roman" w:eastAsia="宋体"/>
                <w:color w:val="auto"/>
                <w:kern w:val="2"/>
                <w:sz w:val="21"/>
                <w:szCs w:val="24"/>
                <w:highlight w:val="none"/>
                <w:lang w:val="en-US" w:eastAsia="zh-CN" w:bidi="ar-SA"/>
              </w:rPr>
            </w:pPr>
            <w:r>
              <w:rPr>
                <w:color w:val="auto"/>
                <w:highlight w:val="none"/>
              </w:rPr>
              <w:t>本项目选用低噪声设备，基座减振，厂房隔声、距离衰减等隔声降噪措施</w:t>
            </w:r>
          </w:p>
        </w:tc>
        <w:tc>
          <w:tcPr>
            <w:tcW w:w="1860" w:type="dxa"/>
            <w:noWrap w:val="0"/>
            <w:vAlign w:val="center"/>
          </w:tcPr>
          <w:p>
            <w:pPr>
              <w:adjustRightInd w:val="0"/>
              <w:snapToGrid w:val="0"/>
              <w:jc w:val="center"/>
              <w:rPr>
                <w:rFonts w:hint="eastAsia" w:ascii="Times New Roman" w:hAnsi="Times New Roman" w:eastAsia="宋体"/>
                <w:color w:val="auto"/>
                <w:kern w:val="2"/>
                <w:sz w:val="21"/>
                <w:szCs w:val="24"/>
                <w:highlight w:val="none"/>
                <w:lang w:val="en-US" w:eastAsia="zh-CN" w:bidi="ar-SA"/>
              </w:rPr>
            </w:pPr>
            <w:r>
              <w:rPr>
                <w:color w:val="auto"/>
                <w:highlight w:val="none"/>
              </w:rPr>
              <w:t>《工业企业厂界环境噪声排放标准》（GB12348-2008）3类标准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3" w:type="dxa"/>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电磁辐射</w:t>
            </w:r>
          </w:p>
        </w:tc>
        <w:tc>
          <w:tcPr>
            <w:tcW w:w="1950" w:type="dxa"/>
            <w:noWrap w:val="0"/>
            <w:vAlign w:val="center"/>
          </w:tcPr>
          <w:p>
            <w:pPr>
              <w:adjustRightInd w:val="0"/>
              <w:snapToGrid w:val="0"/>
              <w:jc w:val="center"/>
              <w:rPr>
                <w:rFonts w:hint="eastAsia" w:ascii="Times New Roman" w:hAnsi="Times New Roman" w:eastAsia="宋体"/>
                <w:color w:val="auto"/>
                <w:kern w:val="2"/>
                <w:sz w:val="21"/>
                <w:szCs w:val="24"/>
                <w:highlight w:val="none"/>
                <w:lang w:val="en-US" w:eastAsia="zh-CN" w:bidi="ar-SA"/>
              </w:rPr>
            </w:pPr>
            <w:r>
              <w:rPr>
                <w:color w:val="auto"/>
                <w:highlight w:val="none"/>
              </w:rPr>
              <w:t>/</w:t>
            </w:r>
          </w:p>
        </w:tc>
        <w:tc>
          <w:tcPr>
            <w:tcW w:w="1472" w:type="dxa"/>
            <w:noWrap w:val="0"/>
            <w:vAlign w:val="center"/>
          </w:tcPr>
          <w:p>
            <w:pPr>
              <w:adjustRightInd w:val="0"/>
              <w:snapToGrid w:val="0"/>
              <w:jc w:val="center"/>
              <w:rPr>
                <w:rFonts w:hint="eastAsia" w:ascii="Times New Roman" w:hAnsi="Times New Roman" w:eastAsia="宋体"/>
                <w:color w:val="auto"/>
                <w:kern w:val="2"/>
                <w:sz w:val="21"/>
                <w:szCs w:val="24"/>
                <w:highlight w:val="none"/>
                <w:lang w:val="en-US" w:eastAsia="zh-CN" w:bidi="ar-SA"/>
              </w:rPr>
            </w:pPr>
            <w:r>
              <w:rPr>
                <w:color w:val="auto"/>
                <w:highlight w:val="none"/>
              </w:rPr>
              <w:t>/</w:t>
            </w:r>
          </w:p>
        </w:tc>
        <w:tc>
          <w:tcPr>
            <w:tcW w:w="1935" w:type="dxa"/>
            <w:noWrap w:val="0"/>
            <w:vAlign w:val="center"/>
          </w:tcPr>
          <w:p>
            <w:pPr>
              <w:adjustRightInd w:val="0"/>
              <w:snapToGrid w:val="0"/>
              <w:jc w:val="center"/>
              <w:rPr>
                <w:rFonts w:hint="eastAsia" w:ascii="Times New Roman" w:hAnsi="Times New Roman" w:eastAsia="宋体"/>
                <w:color w:val="auto"/>
                <w:kern w:val="2"/>
                <w:sz w:val="21"/>
                <w:szCs w:val="24"/>
                <w:highlight w:val="none"/>
                <w:lang w:val="en-US" w:eastAsia="zh-CN" w:bidi="ar-SA"/>
              </w:rPr>
            </w:pPr>
            <w:r>
              <w:rPr>
                <w:color w:val="auto"/>
                <w:highlight w:val="none"/>
              </w:rPr>
              <w:t>/</w:t>
            </w:r>
          </w:p>
        </w:tc>
        <w:tc>
          <w:tcPr>
            <w:tcW w:w="1860" w:type="dxa"/>
            <w:noWrap w:val="0"/>
            <w:vAlign w:val="center"/>
          </w:tcPr>
          <w:p>
            <w:pPr>
              <w:adjustRightInd w:val="0"/>
              <w:snapToGrid w:val="0"/>
              <w:jc w:val="center"/>
              <w:rPr>
                <w:rFonts w:hint="eastAsia" w:ascii="Times New Roman" w:hAnsi="Times New Roman" w:eastAsia="宋体"/>
                <w:color w:val="auto"/>
                <w:kern w:val="2"/>
                <w:sz w:val="21"/>
                <w:szCs w:val="24"/>
                <w:highlight w:val="none"/>
                <w:lang w:val="en-US" w:eastAsia="zh-CN" w:bidi="ar-SA"/>
              </w:rPr>
            </w:pPr>
            <w:r>
              <w:rPr>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3" w:type="dxa"/>
            <w:vMerge w:val="restart"/>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固体废物</w:t>
            </w:r>
          </w:p>
        </w:tc>
        <w:tc>
          <w:tcPr>
            <w:tcW w:w="7217" w:type="dxa"/>
            <w:gridSpan w:val="4"/>
            <w:noWrap w:val="0"/>
            <w:vAlign w:val="center"/>
          </w:tcPr>
          <w:p>
            <w:pPr>
              <w:adjustRightInd w:val="0"/>
              <w:snapToGrid w:val="0"/>
              <w:jc w:val="both"/>
              <w:rPr>
                <w:rFonts w:hint="eastAsia" w:ascii="宋体" w:hAnsi="宋体" w:cs="宋体"/>
                <w:color w:val="auto"/>
                <w:szCs w:val="21"/>
                <w:highlight w:val="none"/>
              </w:rPr>
            </w:pPr>
            <w:r>
              <w:rPr>
                <w:rFonts w:hint="eastAsia"/>
                <w:bCs/>
                <w:color w:val="auto"/>
                <w:highlight w:val="none"/>
                <w:lang w:val="en-US" w:eastAsia="zh-CN"/>
              </w:rPr>
              <w:t>生活垃圾、不合格品、废油纸、栅渣、废离子交换树脂由环卫部门清运处理，废包装材料外售，餐厨垃圾、隔油池废油、废植物油由</w:t>
            </w:r>
            <w:r>
              <w:rPr>
                <w:rFonts w:hint="eastAsia"/>
                <w:color w:val="auto"/>
                <w:szCs w:val="21"/>
                <w:highlight w:val="none"/>
              </w:rPr>
              <w:t>柳林镇垃圾处理站（光辉发电厂）清运处理</w:t>
            </w:r>
            <w:r>
              <w:rPr>
                <w:rFonts w:hint="eastAsia"/>
                <w:color w:val="auto"/>
                <w:szCs w:val="21"/>
                <w:highlight w:val="none"/>
                <w:lang w:eastAsia="zh-CN"/>
              </w:rPr>
              <w:t>，</w:t>
            </w:r>
            <w:r>
              <w:rPr>
                <w:rFonts w:hint="eastAsia"/>
                <w:color w:val="auto"/>
                <w:szCs w:val="21"/>
                <w:highlight w:val="none"/>
                <w:lang w:val="en-US" w:eastAsia="zh-CN"/>
              </w:rPr>
              <w:t>污泥由</w:t>
            </w:r>
            <w:r>
              <w:rPr>
                <w:rFonts w:hint="eastAsia"/>
                <w:color w:val="auto"/>
                <w:szCs w:val="21"/>
                <w:highlight w:val="none"/>
              </w:rPr>
              <w:t>环卫部门清运处理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3" w:type="dxa"/>
            <w:vMerge w:val="continue"/>
            <w:noWrap w:val="0"/>
            <w:vAlign w:val="center"/>
          </w:tcPr>
          <w:p>
            <w:pPr>
              <w:adjustRightInd w:val="0"/>
              <w:snapToGrid w:val="0"/>
              <w:jc w:val="center"/>
              <w:rPr>
                <w:rFonts w:hint="eastAsia" w:ascii="宋体" w:hAnsi="宋体" w:cs="宋体"/>
                <w:color w:val="auto"/>
                <w:szCs w:val="21"/>
                <w:highlight w:val="none"/>
              </w:rPr>
            </w:pPr>
          </w:p>
        </w:tc>
        <w:tc>
          <w:tcPr>
            <w:tcW w:w="7217" w:type="dxa"/>
            <w:gridSpan w:val="4"/>
            <w:noWrap w:val="0"/>
            <w:vAlign w:val="center"/>
          </w:tcPr>
          <w:p>
            <w:pPr>
              <w:adjustRightInd w:val="0"/>
              <w:snapToGrid w:val="0"/>
              <w:jc w:val="both"/>
              <w:rPr>
                <w:rFonts w:hint="eastAsia" w:ascii="宋体" w:hAnsi="宋体" w:cs="宋体"/>
                <w:color w:val="auto"/>
                <w:szCs w:val="21"/>
                <w:highlight w:val="none"/>
              </w:rPr>
            </w:pPr>
            <w:r>
              <w:rPr>
                <w:rFonts w:hint="eastAsia"/>
                <w:color w:val="auto"/>
                <w:szCs w:val="21"/>
                <w:highlight w:val="none"/>
              </w:rPr>
              <w:t>废机油、废机油桶、废含油抹布、手套、废无尘布、沾染危险物质的废包装物、实验废液：</w:t>
            </w:r>
            <w:r>
              <w:rPr>
                <w:color w:val="auto"/>
                <w:szCs w:val="21"/>
                <w:highlight w:val="none"/>
              </w:rPr>
              <w:t>暂存于危废暂存间内，并定期交具有相应危废处置资质的单位清运处置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3" w:type="dxa"/>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土壤及地下水污染防治措施</w:t>
            </w:r>
          </w:p>
        </w:tc>
        <w:tc>
          <w:tcPr>
            <w:tcW w:w="7217" w:type="dxa"/>
            <w:gridSpan w:val="4"/>
            <w:noWrap w:val="0"/>
            <w:vAlign w:val="center"/>
          </w:tcPr>
          <w:p>
            <w:pPr>
              <w:adjustRightInd w:val="0"/>
              <w:snapToGrid w:val="0"/>
              <w:rPr>
                <w:rFonts w:hint="eastAsia" w:ascii="Times New Roman" w:hAnsi="Times New Roman" w:eastAsia="宋体" w:cs="Times New Roman"/>
                <w:bCs/>
                <w:color w:val="auto"/>
                <w:szCs w:val="21"/>
                <w:highlight w:val="none"/>
              </w:rPr>
            </w:pPr>
            <w:r>
              <w:rPr>
                <w:rFonts w:hint="eastAsia" w:ascii="宋体" w:hAnsi="宋体" w:cs="宋体"/>
                <w:color w:val="auto"/>
                <w:szCs w:val="21"/>
                <w:highlight w:val="none"/>
              </w:rPr>
              <w:t>①源头控制措施实施清洁生产，实现废物资源化利用，减少污染物的排放；</w:t>
            </w:r>
            <w:r>
              <w:rPr>
                <w:rFonts w:hint="eastAsia" w:ascii="Times New Roman" w:hAnsi="Times New Roman" w:eastAsia="宋体" w:cs="Times New Roman"/>
                <w:bCs/>
                <w:color w:val="auto"/>
                <w:szCs w:val="21"/>
                <w:highlight w:val="none"/>
              </w:rPr>
              <w:t>加强环境管理，污水管道等选用做防渗、防腐处理的管道。</w:t>
            </w:r>
          </w:p>
          <w:p>
            <w:pPr>
              <w:adjustRightInd w:val="0"/>
              <w:snapToGrid w:val="0"/>
              <w:rPr>
                <w:rFonts w:hint="eastAsia" w:ascii="宋体" w:hAnsi="宋体" w:cs="宋体"/>
                <w:color w:val="auto"/>
                <w:szCs w:val="21"/>
                <w:highlight w:val="none"/>
              </w:rPr>
            </w:pPr>
            <w:r>
              <w:rPr>
                <w:rFonts w:hint="eastAsia" w:ascii="Times New Roman" w:hAnsi="Times New Roman" w:eastAsia="宋体" w:cs="Times New Roman"/>
                <w:bCs/>
                <w:color w:val="auto"/>
                <w:szCs w:val="21"/>
                <w:highlight w:val="none"/>
              </w:rPr>
              <w:t>②分区防渗：危废暂存间、</w:t>
            </w:r>
            <w:r>
              <w:rPr>
                <w:rFonts w:hint="eastAsia" w:cs="Times New Roman"/>
                <w:bCs/>
                <w:color w:val="auto"/>
                <w:szCs w:val="21"/>
                <w:highlight w:val="none"/>
                <w:lang w:val="en-US" w:eastAsia="zh-CN"/>
              </w:rPr>
              <w:t>污水处理站加药间</w:t>
            </w:r>
            <w:r>
              <w:rPr>
                <w:rFonts w:hint="eastAsia" w:ascii="Times New Roman" w:hAnsi="Times New Roman" w:eastAsia="宋体" w:cs="Times New Roman"/>
                <w:bCs/>
                <w:color w:val="auto"/>
                <w:szCs w:val="21"/>
                <w:highlight w:val="none"/>
              </w:rPr>
              <w:t>重点防渗；生产车间、一般固废暂存间、预处理房、污水处理站</w:t>
            </w:r>
            <w:r>
              <w:rPr>
                <w:rFonts w:hint="eastAsia" w:cs="Times New Roman"/>
                <w:bCs/>
                <w:color w:val="auto"/>
                <w:szCs w:val="21"/>
                <w:highlight w:val="none"/>
                <w:lang w:eastAsia="zh-CN"/>
              </w:rPr>
              <w:t>、</w:t>
            </w:r>
            <w:r>
              <w:rPr>
                <w:rFonts w:hint="eastAsia"/>
                <w:color w:val="auto"/>
                <w:szCs w:val="21"/>
                <w:highlight w:val="none"/>
                <w:lang w:val="en-US" w:eastAsia="zh-CN"/>
              </w:rPr>
              <w:t>预处理池、隔油池和污水</w:t>
            </w:r>
            <w:r>
              <w:rPr>
                <w:rFonts w:hint="eastAsia"/>
                <w:color w:val="auto"/>
                <w:szCs w:val="21"/>
                <w:highlight w:val="none"/>
              </w:rPr>
              <w:t>管道</w:t>
            </w:r>
            <w:r>
              <w:rPr>
                <w:rFonts w:hint="eastAsia" w:ascii="Times New Roman" w:hAnsi="Times New Roman" w:eastAsia="宋体" w:cs="Times New Roman"/>
                <w:bCs/>
                <w:color w:val="auto"/>
                <w:szCs w:val="21"/>
                <w:highlight w:val="none"/>
              </w:rPr>
              <w:t>一般防渗；</w:t>
            </w:r>
            <w:r>
              <w:rPr>
                <w:rFonts w:hint="eastAsia" w:ascii="Times New Roman" w:hAnsi="Times New Roman" w:eastAsia="宋体" w:cs="Times New Roman"/>
                <w:bCs/>
                <w:color w:val="auto"/>
                <w:szCs w:val="21"/>
                <w:highlight w:val="none"/>
                <w:lang w:eastAsia="zh-CN"/>
              </w:rPr>
              <w:t>其他区域</w:t>
            </w:r>
            <w:r>
              <w:rPr>
                <w:rFonts w:hint="eastAsia" w:ascii="Times New Roman" w:hAnsi="Times New Roman" w:eastAsia="宋体" w:cs="Times New Roman"/>
                <w:bCs/>
                <w:color w:val="auto"/>
                <w:szCs w:val="21"/>
                <w:highlight w:val="none"/>
              </w:rPr>
              <w:t>简单防渗。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3" w:type="dxa"/>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生态保护措施</w:t>
            </w:r>
          </w:p>
        </w:tc>
        <w:tc>
          <w:tcPr>
            <w:tcW w:w="7217" w:type="dxa"/>
            <w:gridSpan w:val="4"/>
            <w:noWrap w:val="0"/>
            <w:vAlign w:val="center"/>
          </w:tcPr>
          <w:p>
            <w:pPr>
              <w:adjustRightInd w:val="0"/>
              <w:snapToGrid w:val="0"/>
              <w:jc w:val="center"/>
              <w:rPr>
                <w:rFonts w:hint="eastAsia" w:ascii="Times New Roman" w:hAnsi="Times New Roman" w:eastAsia="宋体"/>
                <w:color w:val="auto"/>
                <w:kern w:val="2"/>
                <w:sz w:val="21"/>
                <w:szCs w:val="24"/>
                <w:highlight w:val="none"/>
                <w:lang w:val="en-US" w:eastAsia="zh-CN" w:bidi="ar-SA"/>
              </w:rPr>
            </w:pPr>
            <w:r>
              <w:rPr>
                <w:rFonts w:hint="eastAsia"/>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3" w:type="dxa"/>
            <w:noWrap w:val="0"/>
            <w:vAlign w:val="center"/>
          </w:tcPr>
          <w:p>
            <w:pPr>
              <w:adjustRightInd w:val="0"/>
              <w:snapToGrid w:val="0"/>
              <w:jc w:val="center"/>
              <w:rPr>
                <w:rFonts w:hint="eastAsia" w:ascii="宋体" w:hAnsi="宋体" w:cs="宋体"/>
                <w:color w:val="auto"/>
                <w:spacing w:val="-8"/>
                <w:szCs w:val="21"/>
                <w:highlight w:val="none"/>
              </w:rPr>
            </w:pPr>
            <w:r>
              <w:rPr>
                <w:rFonts w:hint="eastAsia" w:ascii="宋体" w:hAnsi="宋体" w:cs="宋体"/>
                <w:color w:val="auto"/>
                <w:spacing w:val="-8"/>
                <w:szCs w:val="21"/>
                <w:highlight w:val="none"/>
              </w:rPr>
              <w:t>环境风险防范措施</w:t>
            </w:r>
          </w:p>
        </w:tc>
        <w:tc>
          <w:tcPr>
            <w:tcW w:w="7217" w:type="dxa"/>
            <w:gridSpan w:val="4"/>
            <w:noWrap w:val="0"/>
            <w:vAlign w:val="center"/>
          </w:tcPr>
          <w:p>
            <w:pPr>
              <w:adjustRightInd w:val="0"/>
              <w:snapToGrid w:val="0"/>
              <w:rPr>
                <w:rFonts w:hint="eastAsia"/>
                <w:bCs/>
                <w:color w:val="auto"/>
                <w:szCs w:val="21"/>
                <w:highlight w:val="none"/>
              </w:rPr>
            </w:pPr>
            <w:r>
              <w:rPr>
                <w:rFonts w:hint="eastAsia"/>
                <w:bCs/>
                <w:color w:val="auto"/>
                <w:szCs w:val="21"/>
                <w:highlight w:val="none"/>
              </w:rPr>
              <w:t>（1）火灾、爆炸风险防范措施</w:t>
            </w:r>
          </w:p>
          <w:p>
            <w:pPr>
              <w:adjustRightInd w:val="0"/>
              <w:snapToGrid w:val="0"/>
              <w:rPr>
                <w:rFonts w:hint="eastAsia"/>
                <w:bCs/>
                <w:color w:val="auto"/>
                <w:szCs w:val="21"/>
                <w:highlight w:val="none"/>
              </w:rPr>
            </w:pPr>
            <w:r>
              <w:rPr>
                <w:rFonts w:hint="eastAsia"/>
                <w:bCs/>
                <w:color w:val="auto"/>
                <w:szCs w:val="21"/>
                <w:highlight w:val="none"/>
              </w:rPr>
              <w:t>①严格按照《建筑设计防火规范》（GB50016-2014（2018版））、《建筑灭火器配置设计规范》（GB50140-2005）相关内容进行设计，设置消防给水和灭火系统，配置相应的灭火器类型和数量。</w:t>
            </w:r>
          </w:p>
          <w:p>
            <w:pPr>
              <w:adjustRightInd w:val="0"/>
              <w:snapToGrid w:val="0"/>
              <w:rPr>
                <w:rFonts w:hint="eastAsia"/>
                <w:bCs/>
                <w:color w:val="auto"/>
                <w:szCs w:val="21"/>
                <w:highlight w:val="none"/>
              </w:rPr>
            </w:pPr>
            <w:r>
              <w:rPr>
                <w:rFonts w:hint="eastAsia"/>
                <w:bCs/>
                <w:color w:val="auto"/>
                <w:szCs w:val="21"/>
                <w:highlight w:val="none"/>
              </w:rPr>
              <w:t>②设置火灾报警装置、消防设施，消防用电设施和火灾报警装置采用双电源供电。</w:t>
            </w:r>
          </w:p>
          <w:p>
            <w:pPr>
              <w:adjustRightInd w:val="0"/>
              <w:snapToGrid w:val="0"/>
              <w:rPr>
                <w:rFonts w:hint="eastAsia"/>
                <w:bCs/>
                <w:color w:val="auto"/>
                <w:szCs w:val="21"/>
                <w:highlight w:val="none"/>
              </w:rPr>
            </w:pPr>
            <w:r>
              <w:rPr>
                <w:rFonts w:hint="eastAsia"/>
                <w:bCs/>
                <w:color w:val="auto"/>
                <w:szCs w:val="21"/>
                <w:highlight w:val="none"/>
              </w:rPr>
              <w:t>③防雷、防静电接地，电气接地、弱电接地连成同一接地网。</w:t>
            </w:r>
          </w:p>
          <w:p>
            <w:pPr>
              <w:adjustRightInd w:val="0"/>
              <w:snapToGrid w:val="0"/>
              <w:rPr>
                <w:rFonts w:hint="eastAsia"/>
                <w:bCs/>
                <w:color w:val="auto"/>
                <w:szCs w:val="21"/>
                <w:highlight w:val="none"/>
              </w:rPr>
            </w:pPr>
            <w:r>
              <w:rPr>
                <w:rFonts w:hint="eastAsia"/>
                <w:bCs/>
                <w:color w:val="auto"/>
                <w:szCs w:val="21"/>
                <w:highlight w:val="none"/>
              </w:rPr>
              <w:t>④厂区内设置严禁烟火的标示，并配置灭火器，同时要求员工不准携带火柴、打火机或其它火种进入生产区，不得随意丢弃烟头等。</w:t>
            </w:r>
          </w:p>
          <w:p>
            <w:pPr>
              <w:adjustRightInd w:val="0"/>
              <w:snapToGrid w:val="0"/>
              <w:rPr>
                <w:rFonts w:hint="eastAsia"/>
                <w:bCs/>
                <w:color w:val="auto"/>
                <w:szCs w:val="21"/>
                <w:highlight w:val="none"/>
              </w:rPr>
            </w:pPr>
            <w:r>
              <w:rPr>
                <w:rFonts w:hint="eastAsia"/>
                <w:bCs/>
                <w:color w:val="auto"/>
                <w:szCs w:val="21"/>
                <w:highlight w:val="none"/>
              </w:rPr>
              <w:t>⑤定期检查厂区电路，防止电路老化引起火灾事故。</w:t>
            </w:r>
          </w:p>
          <w:p>
            <w:pPr>
              <w:adjustRightInd w:val="0"/>
              <w:snapToGrid w:val="0"/>
              <w:rPr>
                <w:bCs/>
                <w:color w:val="auto"/>
                <w:szCs w:val="21"/>
                <w:highlight w:val="none"/>
              </w:rPr>
            </w:pPr>
            <w:r>
              <w:rPr>
                <w:rFonts w:hint="eastAsia"/>
                <w:bCs/>
                <w:color w:val="auto"/>
                <w:szCs w:val="21"/>
                <w:highlight w:val="none"/>
              </w:rPr>
              <w:t>⑥定期检查天然气管道，防止管道老化引起爆炸等事故。</w:t>
            </w:r>
          </w:p>
          <w:p>
            <w:pPr>
              <w:adjustRightInd w:val="0"/>
              <w:snapToGrid w:val="0"/>
              <w:rPr>
                <w:rFonts w:hint="eastAsia"/>
                <w:bCs/>
                <w:color w:val="auto"/>
                <w:szCs w:val="21"/>
                <w:highlight w:val="none"/>
              </w:rPr>
            </w:pPr>
            <w:r>
              <w:rPr>
                <w:rFonts w:hint="eastAsia"/>
                <w:bCs/>
                <w:color w:val="auto"/>
                <w:szCs w:val="21"/>
                <w:highlight w:val="none"/>
              </w:rPr>
              <w:t xml:space="preserve">⑦设置必要的事故照明，疏散指示标志及疏导灯设施。 </w:t>
            </w:r>
          </w:p>
          <w:p>
            <w:pPr>
              <w:adjustRightInd w:val="0"/>
              <w:snapToGrid w:val="0"/>
              <w:rPr>
                <w:rFonts w:hint="eastAsia"/>
                <w:bCs/>
                <w:color w:val="auto"/>
                <w:szCs w:val="21"/>
                <w:highlight w:val="none"/>
              </w:rPr>
            </w:pPr>
            <w:r>
              <w:rPr>
                <w:rFonts w:hint="eastAsia"/>
                <w:bCs/>
                <w:color w:val="auto"/>
                <w:szCs w:val="21"/>
                <w:highlight w:val="none"/>
              </w:rPr>
              <w:t>⑧雨水管网设置截断措施，发生火灾事故时立即关闭出厂雨水管道，关闭雨水截止阀，以杜绝事故废水外流。消防废水通过管道进入事故存液池，处理后排入市政管网，禁止直接排放消防废水。</w:t>
            </w:r>
          </w:p>
          <w:p>
            <w:pPr>
              <w:adjustRightInd w:val="0"/>
              <w:snapToGrid w:val="0"/>
              <w:rPr>
                <w:rFonts w:hint="eastAsia"/>
                <w:bCs/>
                <w:color w:val="auto"/>
                <w:szCs w:val="21"/>
                <w:highlight w:val="none"/>
              </w:rPr>
            </w:pPr>
            <w:r>
              <w:rPr>
                <w:rFonts w:hint="eastAsia"/>
                <w:bCs/>
                <w:color w:val="auto"/>
                <w:szCs w:val="21"/>
                <w:highlight w:val="none"/>
              </w:rPr>
              <w:t>（2）泄漏风险防范措施</w:t>
            </w:r>
          </w:p>
          <w:p>
            <w:pPr>
              <w:adjustRightInd w:val="0"/>
              <w:snapToGrid w:val="0"/>
              <w:rPr>
                <w:bCs/>
                <w:color w:val="auto"/>
                <w:szCs w:val="21"/>
                <w:highlight w:val="none"/>
              </w:rPr>
            </w:pPr>
            <w:r>
              <w:rPr>
                <w:rFonts w:hint="eastAsia"/>
                <w:bCs/>
                <w:color w:val="auto"/>
                <w:szCs w:val="21"/>
                <w:highlight w:val="none"/>
              </w:rPr>
              <w:t>①严格按照相关设计规范和要求落实防护设施，制定安全操作规章制度，加强安全意识教育，加强监督管理，严禁烟火，消除事故隐患。</w:t>
            </w:r>
          </w:p>
          <w:p>
            <w:pPr>
              <w:adjustRightInd w:val="0"/>
              <w:snapToGrid w:val="0"/>
              <w:rPr>
                <w:bCs/>
                <w:color w:val="auto"/>
                <w:szCs w:val="21"/>
                <w:highlight w:val="none"/>
              </w:rPr>
            </w:pPr>
            <w:r>
              <w:rPr>
                <w:rFonts w:hint="eastAsia"/>
                <w:bCs/>
                <w:color w:val="auto"/>
                <w:szCs w:val="21"/>
                <w:highlight w:val="none"/>
              </w:rPr>
              <w:t>②做好化学试剂品及危化品的管理：按照国务院令（2011年）第591号《危险化学品安全管理条例》相关要求加强安全防护；明确化学试剂管理部门、负责人，分类存放，定期检查其完好性，如发现损坏，需及时更换。</w:t>
            </w:r>
          </w:p>
          <w:p>
            <w:pPr>
              <w:adjustRightInd w:val="0"/>
              <w:snapToGrid w:val="0"/>
              <w:rPr>
                <w:rFonts w:hint="eastAsia"/>
                <w:bCs/>
                <w:color w:val="auto"/>
                <w:szCs w:val="21"/>
                <w:highlight w:val="none"/>
              </w:rPr>
            </w:pPr>
            <w:r>
              <w:rPr>
                <w:rFonts w:hint="eastAsia"/>
                <w:bCs/>
                <w:color w:val="auto"/>
                <w:szCs w:val="21"/>
                <w:highlight w:val="none"/>
              </w:rPr>
              <w:t>③各类化学品和危险废物按要求分类存放并设置警示标识；涉及到有毒有害物质储存的房间地面（危废暂存间等）按照本报告提出的分区防渗要求，采用防渗硬化处理，并设置10cm围堰；危废采用专用容器储存且下方设置防渗托盘，并设置</w:t>
            </w:r>
            <w:r>
              <w:rPr>
                <w:rFonts w:hint="eastAsia"/>
                <w:color w:val="auto"/>
                <w:highlight w:val="none"/>
                <w:lang w:val="en-US" w:eastAsia="zh-CN"/>
              </w:rPr>
              <w:t>应急事故池</w:t>
            </w:r>
            <w:r>
              <w:rPr>
                <w:rFonts w:hint="eastAsia"/>
                <w:bCs/>
                <w:color w:val="auto"/>
                <w:szCs w:val="21"/>
                <w:highlight w:val="none"/>
              </w:rPr>
              <w:t>作应急收容设施。</w:t>
            </w:r>
          </w:p>
          <w:p>
            <w:pPr>
              <w:adjustRightInd w:val="0"/>
              <w:snapToGrid w:val="0"/>
              <w:rPr>
                <w:bCs/>
                <w:color w:val="auto"/>
                <w:szCs w:val="21"/>
                <w:highlight w:val="none"/>
              </w:rPr>
            </w:pPr>
            <w:r>
              <w:rPr>
                <w:rFonts w:hint="eastAsia"/>
                <w:bCs/>
                <w:color w:val="auto"/>
                <w:szCs w:val="21"/>
                <w:highlight w:val="none"/>
              </w:rPr>
              <w:t>④存放危险化学品的房间必须通过消防、安全验收，配备专业技术人员负责管理，同时配备必要的个人防护用品。</w:t>
            </w:r>
          </w:p>
          <w:p>
            <w:pPr>
              <w:adjustRightInd w:val="0"/>
              <w:snapToGrid w:val="0"/>
              <w:rPr>
                <w:rFonts w:hint="eastAsia"/>
                <w:bCs/>
                <w:color w:val="auto"/>
                <w:szCs w:val="21"/>
                <w:highlight w:val="none"/>
              </w:rPr>
            </w:pPr>
            <w:r>
              <w:rPr>
                <w:rFonts w:hint="eastAsia"/>
                <w:bCs/>
                <w:color w:val="auto"/>
                <w:szCs w:val="21"/>
                <w:highlight w:val="none"/>
              </w:rPr>
              <w:t>⑤加强各类化学品的运输、装卸、使用、贮存管理，避免跑冒滴漏。危化品运输应由专业运输资质的单位采用专用车辆进行，运输路线需按规定行驶。</w:t>
            </w:r>
          </w:p>
          <w:p>
            <w:pPr>
              <w:adjustRightInd w:val="0"/>
              <w:snapToGrid w:val="0"/>
              <w:rPr>
                <w:bCs/>
                <w:color w:val="auto"/>
                <w:szCs w:val="21"/>
                <w:highlight w:val="none"/>
              </w:rPr>
            </w:pPr>
            <w:r>
              <w:rPr>
                <w:rFonts w:hint="eastAsia"/>
                <w:bCs/>
                <w:color w:val="auto"/>
                <w:szCs w:val="21"/>
                <w:highlight w:val="none"/>
              </w:rPr>
              <w:t>⑥定期检查天然气管道，防止管道老化引起泄露等事故。</w:t>
            </w:r>
          </w:p>
          <w:p>
            <w:pPr>
              <w:adjustRightInd w:val="0"/>
              <w:snapToGrid w:val="0"/>
              <w:rPr>
                <w:rFonts w:hint="eastAsia"/>
                <w:bCs/>
                <w:color w:val="auto"/>
                <w:szCs w:val="21"/>
                <w:highlight w:val="none"/>
              </w:rPr>
            </w:pPr>
            <w:r>
              <w:rPr>
                <w:rFonts w:hint="eastAsia"/>
                <w:bCs/>
                <w:color w:val="auto"/>
                <w:szCs w:val="21"/>
                <w:highlight w:val="none"/>
              </w:rPr>
              <w:t xml:space="preserve">⑦加强作业时巡视检查。建立系统规范的评估、审批、作业、监护、救援、应急程序、事故报告等管理制度。 </w:t>
            </w:r>
          </w:p>
          <w:p>
            <w:pPr>
              <w:adjustRightInd w:val="0"/>
              <w:snapToGrid w:val="0"/>
              <w:rPr>
                <w:bCs/>
                <w:color w:val="auto"/>
                <w:szCs w:val="21"/>
                <w:highlight w:val="none"/>
              </w:rPr>
            </w:pPr>
            <w:r>
              <w:rPr>
                <w:rFonts w:hint="eastAsia"/>
                <w:bCs/>
                <w:color w:val="auto"/>
                <w:szCs w:val="21"/>
                <w:highlight w:val="none"/>
              </w:rPr>
              <w:t xml:space="preserve">⑧厂区雨水排放管网末端设置截止阀，事故状态下，立即关闭截止阀，确保事故状态下各类废水不外排；加强环保设施日常检修和管理，若生产过程中出现事故性排放或废气处理设施故障，应停车检修。 </w:t>
            </w:r>
          </w:p>
          <w:p>
            <w:pPr>
              <w:adjustRightInd w:val="0"/>
              <w:snapToGrid w:val="0"/>
              <w:rPr>
                <w:bCs/>
                <w:color w:val="auto"/>
                <w:szCs w:val="21"/>
                <w:highlight w:val="none"/>
              </w:rPr>
            </w:pPr>
            <w:r>
              <w:rPr>
                <w:rFonts w:hint="eastAsia"/>
                <w:bCs/>
                <w:color w:val="auto"/>
                <w:szCs w:val="21"/>
                <w:highlight w:val="none"/>
              </w:rPr>
              <w:t>（3）</w:t>
            </w:r>
            <w:r>
              <w:rPr>
                <w:bCs/>
                <w:color w:val="auto"/>
                <w:szCs w:val="21"/>
                <w:highlight w:val="none"/>
              </w:rPr>
              <w:t>其</w:t>
            </w:r>
            <w:r>
              <w:rPr>
                <w:rFonts w:hint="eastAsia"/>
                <w:bCs/>
                <w:color w:val="auto"/>
                <w:szCs w:val="21"/>
                <w:highlight w:val="none"/>
              </w:rPr>
              <w:t>他风险防范措施</w:t>
            </w:r>
          </w:p>
          <w:p>
            <w:pPr>
              <w:adjustRightInd w:val="0"/>
              <w:snapToGrid w:val="0"/>
              <w:rPr>
                <w:bCs/>
                <w:color w:val="auto"/>
                <w:szCs w:val="21"/>
                <w:highlight w:val="none"/>
              </w:rPr>
            </w:pPr>
            <w:r>
              <w:rPr>
                <w:bCs/>
                <w:color w:val="auto"/>
                <w:szCs w:val="21"/>
                <w:highlight w:val="none"/>
              </w:rPr>
              <w:t>①企业必须建立完善的安全卫生管理体系。应按职业安全卫生管理体系的需要，设置必要的安全卫生管理机构，配备相应的专（兼）职管理、检查、安全卫生教育、检测人员。企业必须建立健全各种安全管理制度和规程，建立各种安全管理台账和记录。</w:t>
            </w:r>
          </w:p>
          <w:p>
            <w:pPr>
              <w:adjustRightInd w:val="0"/>
              <w:snapToGrid w:val="0"/>
              <w:rPr>
                <w:bCs/>
                <w:color w:val="auto"/>
                <w:szCs w:val="21"/>
                <w:highlight w:val="none"/>
              </w:rPr>
            </w:pPr>
            <w:r>
              <w:rPr>
                <w:bCs/>
                <w:color w:val="auto"/>
                <w:szCs w:val="21"/>
                <w:highlight w:val="none"/>
              </w:rPr>
              <w:t>②按照有关规定配备劳动防护设施，发放劳动防护用品。劳动防护设施和用品应定期检查、更换。</w:t>
            </w:r>
          </w:p>
          <w:p>
            <w:pPr>
              <w:adjustRightInd w:val="0"/>
              <w:snapToGrid w:val="0"/>
              <w:rPr>
                <w:bCs/>
                <w:color w:val="auto"/>
                <w:szCs w:val="21"/>
                <w:highlight w:val="none"/>
              </w:rPr>
            </w:pPr>
            <w:r>
              <w:rPr>
                <w:bCs/>
                <w:color w:val="auto"/>
                <w:szCs w:val="21"/>
                <w:highlight w:val="none"/>
              </w:rPr>
              <w:t>③制定完善事故应急预案，发生灾害后按有关规定第一时间上报，如发生泄漏事故，及时处理，将灾害损失降至最低。</w:t>
            </w:r>
          </w:p>
          <w:p>
            <w:pPr>
              <w:adjustRightInd w:val="0"/>
              <w:snapToGrid w:val="0"/>
              <w:rPr>
                <w:bCs/>
                <w:color w:val="auto"/>
                <w:szCs w:val="21"/>
                <w:highlight w:val="none"/>
              </w:rPr>
            </w:pPr>
            <w:r>
              <w:rPr>
                <w:bCs/>
                <w:color w:val="auto"/>
                <w:szCs w:val="21"/>
                <w:highlight w:val="none"/>
              </w:rPr>
              <w:t>④成立应急安全领导小组，明确分工，在出现事故时，及时消除事故隐患</w:t>
            </w:r>
            <w:r>
              <w:rPr>
                <w:rFonts w:hint="eastAsia"/>
                <w:bCs/>
                <w:color w:val="auto"/>
                <w:szCs w:val="21"/>
                <w:highlight w:val="none"/>
              </w:rPr>
              <w:t>。</w:t>
            </w:r>
          </w:p>
          <w:p>
            <w:pPr>
              <w:adjustRightInd w:val="0"/>
              <w:snapToGrid w:val="0"/>
              <w:rPr>
                <w:bCs/>
                <w:color w:val="auto"/>
                <w:szCs w:val="21"/>
                <w:highlight w:val="none"/>
              </w:rPr>
            </w:pPr>
            <w:r>
              <w:rPr>
                <w:bCs/>
                <w:color w:val="auto"/>
                <w:szCs w:val="21"/>
                <w:highlight w:val="none"/>
              </w:rPr>
              <w:t>⑤采用现代化安全管理方法，推行安全科学管理，不断提高安全管理水平和预控能力，防止各种事故的发生。</w:t>
            </w:r>
          </w:p>
          <w:p>
            <w:pPr>
              <w:adjustRightInd w:val="0"/>
              <w:snapToGrid w:val="0"/>
              <w:rPr>
                <w:rFonts w:hint="eastAsia" w:ascii="Times New Roman" w:hAnsi="Times New Roman" w:eastAsia="宋体"/>
                <w:color w:val="auto"/>
                <w:kern w:val="2"/>
                <w:sz w:val="21"/>
                <w:szCs w:val="24"/>
                <w:highlight w:val="none"/>
                <w:lang w:val="en-US" w:eastAsia="zh-CN" w:bidi="ar-SA"/>
              </w:rPr>
            </w:pPr>
            <w:r>
              <w:rPr>
                <w:rFonts w:hint="eastAsia"/>
                <w:bCs/>
                <w:color w:val="auto"/>
                <w:szCs w:val="21"/>
                <w:highlight w:val="none"/>
              </w:rPr>
              <w:t>⑥加强职工管理，进行必要的安全消防教育，并做好个人防护，加强职工培训，提高应急处理能力。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3" w:type="dxa"/>
            <w:noWrap w:val="0"/>
            <w:vAlign w:val="center"/>
          </w:tcPr>
          <w:p>
            <w:pPr>
              <w:adjustRightInd w:val="0"/>
              <w:snapToGrid w:val="0"/>
              <w:jc w:val="center"/>
              <w:rPr>
                <w:rFonts w:hint="eastAsia" w:ascii="宋体" w:hAnsi="宋体" w:cs="宋体"/>
                <w:color w:val="auto"/>
                <w:spacing w:val="-8"/>
                <w:szCs w:val="21"/>
                <w:highlight w:val="none"/>
              </w:rPr>
            </w:pPr>
            <w:r>
              <w:rPr>
                <w:rFonts w:hint="eastAsia" w:ascii="宋体" w:hAnsi="宋体" w:cs="宋体"/>
                <w:color w:val="auto"/>
                <w:spacing w:val="-8"/>
                <w:szCs w:val="21"/>
                <w:highlight w:val="none"/>
              </w:rPr>
              <w:t>其他环境管理要求</w:t>
            </w:r>
          </w:p>
        </w:tc>
        <w:tc>
          <w:tcPr>
            <w:tcW w:w="7217" w:type="dxa"/>
            <w:gridSpan w:val="4"/>
            <w:noWrap w:val="0"/>
            <w:vAlign w:val="center"/>
          </w:tcPr>
          <w:p>
            <w:pPr>
              <w:adjustRightInd w:val="0"/>
              <w:snapToGrid w:val="0"/>
              <w:rPr>
                <w:rFonts w:hint="eastAsia"/>
                <w:bCs/>
                <w:color w:val="auto"/>
                <w:szCs w:val="21"/>
                <w:highlight w:val="none"/>
              </w:rPr>
            </w:pPr>
            <w:r>
              <w:rPr>
                <w:rFonts w:hint="eastAsia"/>
                <w:bCs/>
                <w:color w:val="auto"/>
                <w:szCs w:val="21"/>
                <w:highlight w:val="none"/>
              </w:rPr>
              <w:t>1、要求建设单位严格按报告表提出的污染治理设施及环保对策措施逐项实施，做到达标排放，并满足当地环境质量及总量控制要求。项目建成后，应及时开展竣工环境保护验收。</w:t>
            </w:r>
          </w:p>
          <w:p>
            <w:pPr>
              <w:adjustRightInd w:val="0"/>
              <w:snapToGrid w:val="0"/>
              <w:rPr>
                <w:rFonts w:hint="default" w:ascii="Times New Roman" w:hAnsi="Times New Roman" w:cs="Times New Roman"/>
                <w:bCs/>
                <w:color w:val="auto"/>
                <w:szCs w:val="21"/>
                <w:highlight w:val="none"/>
              </w:rPr>
            </w:pPr>
            <w:r>
              <w:rPr>
                <w:rFonts w:hint="eastAsia"/>
                <w:bCs/>
                <w:color w:val="auto"/>
                <w:szCs w:val="21"/>
                <w:highlight w:val="none"/>
              </w:rPr>
              <w:t>2、加强环境监测与管理。建设单位应设专人负责环境保护工作，负责厂区监测与管</w:t>
            </w:r>
            <w:r>
              <w:rPr>
                <w:rFonts w:hint="default" w:ascii="Times New Roman" w:hAnsi="Times New Roman" w:cs="Times New Roman"/>
                <w:bCs/>
                <w:color w:val="auto"/>
                <w:szCs w:val="21"/>
                <w:highlight w:val="none"/>
              </w:rPr>
              <w:t>理：一是确保污染防治设施持续、正常运行，达标排放；二是接受当地生态环境局的监督和管理，若出现环保问题，及时报告、处理，避免污染物事故性排放。</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3、排污口设置管理</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①各污染物排放口，按国家《环境保护图形标志》（GB15562.1-1995）和（GB15562.2-1995）的规定，设置国家环境保护总局统一制作的环境保护图形标志牌。</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②污染物排放口的环保图形标志牌应设置在排污口附近且醒目处，标志牌设置高度为其上缘距地面</w:t>
            </w:r>
            <w:r>
              <w:rPr>
                <w:rFonts w:hint="default" w:ascii="Times New Roman" w:hAnsi="Times New Roman" w:eastAsia="TimesNewRomanPSMT" w:cs="Times New Roman"/>
                <w:color w:val="auto"/>
                <w:highlight w:val="none"/>
              </w:rPr>
              <w:t>2m</w:t>
            </w:r>
            <w:r>
              <w:rPr>
                <w:rFonts w:hint="default" w:ascii="Times New Roman" w:hAnsi="Times New Roman" w:cs="Times New Roman"/>
                <w:color w:val="auto"/>
                <w:highlight w:val="none"/>
              </w:rPr>
              <w:t>；排污口附近</w:t>
            </w:r>
            <w:r>
              <w:rPr>
                <w:rFonts w:hint="default" w:ascii="Times New Roman" w:hAnsi="Times New Roman" w:eastAsia="TimesNewRomanPSMT" w:cs="Times New Roman"/>
                <w:color w:val="auto"/>
                <w:highlight w:val="none"/>
              </w:rPr>
              <w:t>1m</w:t>
            </w:r>
            <w:r>
              <w:rPr>
                <w:rFonts w:hint="default" w:ascii="Times New Roman" w:hAnsi="Times New Roman" w:cs="Times New Roman"/>
                <w:color w:val="auto"/>
                <w:highlight w:val="none"/>
              </w:rPr>
              <w:t>范围内有建筑物的，设平面式标志牌，无建筑物的设立式标志牌。</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③规范化排污口的有关设置（如图形标志牌、监控装置等）属环保设施，排污单位必须负责日常的维护保养，任何单位和个人不得擅自拆除，如需变更的须报环境监管部门同意并办理变更手续。</w:t>
            </w:r>
          </w:p>
          <w:p>
            <w:pPr>
              <w:rPr>
                <w:rFonts w:hint="default" w:ascii="Times New Roman" w:hAnsi="Times New Roman" w:cs="Times New Roman"/>
                <w:color w:val="auto"/>
                <w:highlight w:val="none"/>
              </w:rPr>
            </w:pPr>
            <w:r>
              <w:rPr>
                <w:rFonts w:hint="default" w:ascii="Times New Roman" w:hAnsi="Times New Roman" w:eastAsia="TimesNewRomanPSMT" w:cs="Times New Roman"/>
                <w:color w:val="auto"/>
                <w:highlight w:val="none"/>
              </w:rPr>
              <w:t>4</w:t>
            </w:r>
            <w:r>
              <w:rPr>
                <w:rFonts w:hint="default" w:ascii="Times New Roman" w:hAnsi="Times New Roman" w:cs="Times New Roman"/>
                <w:color w:val="auto"/>
                <w:highlight w:val="none"/>
              </w:rPr>
              <w:t>、排污口建档管理</w:t>
            </w:r>
          </w:p>
          <w:p>
            <w:pPr>
              <w:adjustRightInd w:val="0"/>
              <w:snapToGrid w:val="0"/>
              <w:rPr>
                <w:rFonts w:hint="eastAsia" w:ascii="宋体" w:hAnsi="宋体"/>
                <w:color w:val="auto"/>
                <w:highlight w:val="none"/>
              </w:rPr>
            </w:pPr>
            <w:r>
              <w:rPr>
                <w:rFonts w:hint="default" w:ascii="Times New Roman" w:hAnsi="Times New Roman" w:cs="Times New Roman"/>
                <w:color w:val="auto"/>
                <w:highlight w:val="none"/>
              </w:rPr>
              <w:t>①要求使用国家环境保护总局统一印制的《中华人民共和国规范化排污口标志牌登记证》，并</w:t>
            </w:r>
            <w:r>
              <w:rPr>
                <w:rFonts w:hint="eastAsia" w:ascii="宋体" w:hAnsi="宋体"/>
                <w:color w:val="auto"/>
                <w:highlight w:val="none"/>
              </w:rPr>
              <w:t>按要求填写有关内容。</w:t>
            </w:r>
          </w:p>
          <w:p>
            <w:pPr>
              <w:rPr>
                <w:rFonts w:hint="eastAsia" w:ascii="宋体" w:hAnsi="宋体"/>
                <w:color w:val="auto"/>
                <w:highlight w:val="none"/>
              </w:rPr>
            </w:pPr>
            <w:r>
              <w:rPr>
                <w:rFonts w:hint="eastAsia" w:ascii="宋体" w:hAnsi="宋体"/>
                <w:color w:val="auto"/>
                <w:highlight w:val="none"/>
              </w:rPr>
              <w:t>②根据排污口管理档案内容要求，本项目建成投产后，应将主要污染物种类、数量、浓度、排放去向、达标情况及设施运行情况记录于档案。</w:t>
            </w: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color w:val="auto"/>
                <w:highlight w:val="none"/>
              </w:rPr>
            </w:pPr>
          </w:p>
          <w:p>
            <w:pPr>
              <w:rPr>
                <w:rFonts w:hint="eastAsia" w:ascii="宋体" w:hAnsi="宋体" w:eastAsia="宋体"/>
                <w:color w:val="auto"/>
                <w:kern w:val="2"/>
                <w:sz w:val="21"/>
                <w:szCs w:val="24"/>
                <w:highlight w:val="none"/>
                <w:lang w:val="en-US" w:eastAsia="zh-CN" w:bidi="ar-SA"/>
              </w:rPr>
            </w:pPr>
          </w:p>
        </w:tc>
      </w:tr>
    </w:tbl>
    <w:p>
      <w:pPr>
        <w:pStyle w:val="19"/>
        <w:jc w:val="center"/>
        <w:outlineLvl w:val="0"/>
        <w:rPr>
          <w:rFonts w:ascii="黑体" w:hAnsi="黑体" w:eastAsia="黑体"/>
          <w:snapToGrid w:val="0"/>
          <w:color w:val="auto"/>
          <w:sz w:val="30"/>
          <w:szCs w:val="30"/>
          <w:highlight w:val="none"/>
        </w:rPr>
      </w:pPr>
      <w:r>
        <w:rPr>
          <w:snapToGrid w:val="0"/>
          <w:color w:val="auto"/>
          <w:highlight w:val="none"/>
        </w:rPr>
        <w:br w:type="page"/>
      </w:r>
      <w:r>
        <w:rPr>
          <w:rFonts w:hint="eastAsia" w:ascii="黑体" w:hAnsi="黑体" w:eastAsia="黑体"/>
          <w:snapToGrid w:val="0"/>
          <w:color w:val="auto"/>
          <w:sz w:val="30"/>
          <w:szCs w:val="30"/>
          <w:highlight w:val="none"/>
        </w:rPr>
        <w:t>六、结论</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6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cs="宋体"/>
                <w:color w:val="auto"/>
                <w:sz w:val="24"/>
                <w:highlight w:val="none"/>
              </w:rPr>
            </w:pPr>
            <w:r>
              <w:rPr>
                <w:color w:val="auto"/>
                <w:sz w:val="24"/>
                <w:highlight w:val="none"/>
              </w:rPr>
              <w:t>本项目的建设符合国家产业政策和当地规划，符</w:t>
            </w:r>
            <w:r>
              <w:rPr>
                <w:rFonts w:hint="eastAsia" w:ascii="宋体" w:hAnsi="宋体" w:cs="宋体"/>
                <w:color w:val="auto"/>
                <w:sz w:val="24"/>
                <w:highlight w:val="none"/>
              </w:rPr>
              <w:t>合“三线一单”要</w:t>
            </w:r>
            <w:r>
              <w:rPr>
                <w:color w:val="auto"/>
                <w:sz w:val="24"/>
                <w:highlight w:val="none"/>
              </w:rPr>
              <w:t>求，选址无明显环境制约因素，总图布置合理。建设单位严格落实本环评提出的污染防治措施及风险防范措施后可实现废水、废气、噪声的达标排放，固废的合理处置，环境风险在可接受范围。因此，从环境保护角度而言，项目的建设是可行的。</w:t>
            </w:r>
          </w:p>
          <w:p>
            <w:pPr>
              <w:spacing w:line="360" w:lineRule="auto"/>
              <w:rPr>
                <w:rFonts w:ascii="宋体" w:cs="宋体"/>
                <w:color w:val="auto"/>
                <w:sz w:val="24"/>
                <w:highlight w:val="none"/>
              </w:rPr>
            </w:pPr>
          </w:p>
          <w:p>
            <w:pPr>
              <w:spacing w:line="360" w:lineRule="auto"/>
              <w:rPr>
                <w:rFonts w:ascii="宋体" w:cs="宋体"/>
                <w:color w:val="auto"/>
                <w:sz w:val="24"/>
                <w:highlight w:val="none"/>
              </w:rPr>
            </w:pPr>
          </w:p>
          <w:p>
            <w:pPr>
              <w:spacing w:line="360" w:lineRule="auto"/>
              <w:rPr>
                <w:rFonts w:ascii="宋体" w:cs="宋体"/>
                <w:color w:val="auto"/>
                <w:sz w:val="24"/>
                <w:highlight w:val="none"/>
              </w:rPr>
            </w:pPr>
          </w:p>
          <w:p>
            <w:pPr>
              <w:spacing w:line="360" w:lineRule="auto"/>
              <w:rPr>
                <w:rFonts w:ascii="宋体" w:cs="宋体"/>
                <w:color w:val="auto"/>
                <w:sz w:val="24"/>
                <w:highlight w:val="none"/>
              </w:rPr>
            </w:pPr>
          </w:p>
          <w:p>
            <w:pPr>
              <w:spacing w:line="360" w:lineRule="auto"/>
              <w:rPr>
                <w:rFonts w:ascii="宋体" w:cs="宋体"/>
                <w:color w:val="auto"/>
                <w:sz w:val="24"/>
                <w:highlight w:val="none"/>
              </w:rPr>
            </w:pPr>
          </w:p>
          <w:p>
            <w:pPr>
              <w:spacing w:line="360" w:lineRule="auto"/>
              <w:rPr>
                <w:rFonts w:ascii="宋体" w:cs="宋体"/>
                <w:color w:val="auto"/>
                <w:sz w:val="24"/>
                <w:highlight w:val="none"/>
              </w:rPr>
            </w:pPr>
          </w:p>
          <w:p>
            <w:pPr>
              <w:spacing w:line="360" w:lineRule="auto"/>
              <w:rPr>
                <w:rFonts w:ascii="宋体" w:cs="宋体"/>
                <w:color w:val="auto"/>
                <w:sz w:val="24"/>
                <w:highlight w:val="none"/>
              </w:rPr>
            </w:pPr>
          </w:p>
          <w:p>
            <w:pPr>
              <w:spacing w:line="360" w:lineRule="auto"/>
              <w:rPr>
                <w:rFonts w:ascii="宋体" w:cs="宋体"/>
                <w:color w:val="auto"/>
                <w:sz w:val="24"/>
                <w:highlight w:val="none"/>
              </w:rPr>
            </w:pPr>
          </w:p>
          <w:p>
            <w:pPr>
              <w:spacing w:line="360" w:lineRule="auto"/>
              <w:rPr>
                <w:rFonts w:ascii="宋体" w:cs="宋体"/>
                <w:color w:val="auto"/>
                <w:sz w:val="24"/>
                <w:highlight w:val="none"/>
              </w:rPr>
            </w:pPr>
          </w:p>
          <w:p>
            <w:pPr>
              <w:spacing w:line="360" w:lineRule="auto"/>
              <w:rPr>
                <w:rFonts w:ascii="宋体" w:cs="宋体"/>
                <w:color w:val="auto"/>
                <w:sz w:val="24"/>
                <w:highlight w:val="none"/>
              </w:rPr>
            </w:pPr>
          </w:p>
          <w:p>
            <w:pPr>
              <w:spacing w:line="360" w:lineRule="auto"/>
              <w:rPr>
                <w:rFonts w:ascii="宋体" w:cs="宋体"/>
                <w:color w:val="auto"/>
                <w:sz w:val="24"/>
                <w:highlight w:val="none"/>
              </w:rPr>
            </w:pPr>
          </w:p>
          <w:p>
            <w:pPr>
              <w:spacing w:line="360" w:lineRule="auto"/>
              <w:rPr>
                <w:rFonts w:ascii="宋体" w:cs="宋体"/>
                <w:color w:val="auto"/>
                <w:sz w:val="24"/>
                <w:highlight w:val="none"/>
              </w:rPr>
            </w:pPr>
          </w:p>
          <w:p>
            <w:pPr>
              <w:spacing w:line="360" w:lineRule="auto"/>
              <w:rPr>
                <w:rFonts w:ascii="宋体" w:cs="宋体"/>
                <w:color w:val="auto"/>
                <w:sz w:val="24"/>
                <w:highlight w:val="none"/>
              </w:rPr>
            </w:pPr>
          </w:p>
          <w:p>
            <w:pPr>
              <w:spacing w:line="360" w:lineRule="auto"/>
              <w:rPr>
                <w:rFonts w:ascii="宋体" w:cs="宋体"/>
                <w:color w:val="auto"/>
                <w:sz w:val="24"/>
                <w:highlight w:val="none"/>
              </w:rPr>
            </w:pPr>
          </w:p>
          <w:p>
            <w:pPr>
              <w:spacing w:line="360" w:lineRule="auto"/>
              <w:rPr>
                <w:rFonts w:ascii="宋体" w:cs="宋体"/>
                <w:color w:val="auto"/>
                <w:sz w:val="24"/>
                <w:highlight w:val="none"/>
              </w:rPr>
            </w:pPr>
          </w:p>
          <w:p>
            <w:pPr>
              <w:spacing w:line="360" w:lineRule="auto"/>
              <w:rPr>
                <w:rFonts w:ascii="宋体" w:cs="宋体"/>
                <w:color w:val="auto"/>
                <w:sz w:val="24"/>
                <w:highlight w:val="none"/>
              </w:rPr>
            </w:pPr>
          </w:p>
          <w:p>
            <w:pPr>
              <w:spacing w:line="360" w:lineRule="auto"/>
              <w:rPr>
                <w:rFonts w:ascii="宋体" w:cs="宋体"/>
                <w:color w:val="auto"/>
                <w:sz w:val="24"/>
                <w:highlight w:val="none"/>
              </w:rPr>
            </w:pPr>
          </w:p>
          <w:p>
            <w:pPr>
              <w:spacing w:line="360" w:lineRule="auto"/>
              <w:rPr>
                <w:rFonts w:ascii="宋体" w:cs="宋体"/>
                <w:color w:val="auto"/>
                <w:sz w:val="24"/>
                <w:highlight w:val="none"/>
              </w:rPr>
            </w:pPr>
          </w:p>
          <w:p>
            <w:pPr>
              <w:spacing w:line="360" w:lineRule="auto"/>
              <w:rPr>
                <w:rFonts w:ascii="宋体" w:cs="宋体"/>
                <w:color w:val="auto"/>
                <w:sz w:val="24"/>
                <w:highlight w:val="none"/>
              </w:rPr>
            </w:pPr>
          </w:p>
          <w:p>
            <w:pPr>
              <w:spacing w:line="360" w:lineRule="auto"/>
              <w:rPr>
                <w:rFonts w:ascii="宋体" w:cs="宋体"/>
                <w:color w:val="auto"/>
                <w:sz w:val="24"/>
                <w:highlight w:val="none"/>
              </w:rPr>
            </w:pPr>
          </w:p>
          <w:p>
            <w:pPr>
              <w:spacing w:line="360" w:lineRule="auto"/>
              <w:rPr>
                <w:rFonts w:ascii="宋体" w:cs="宋体"/>
                <w:color w:val="auto"/>
                <w:sz w:val="24"/>
                <w:highlight w:val="none"/>
              </w:rPr>
            </w:pPr>
          </w:p>
          <w:p>
            <w:pPr>
              <w:spacing w:line="360" w:lineRule="auto"/>
              <w:rPr>
                <w:rFonts w:ascii="宋体" w:cs="宋体"/>
                <w:color w:val="auto"/>
                <w:sz w:val="24"/>
                <w:highlight w:val="none"/>
              </w:rPr>
            </w:pPr>
          </w:p>
        </w:tc>
      </w:tr>
    </w:tbl>
    <w:p>
      <w:pPr>
        <w:rPr>
          <w:rFonts w:ascii="宋体"/>
          <w:color w:val="auto"/>
          <w:highlight w:val="none"/>
        </w:rPr>
        <w:sectPr>
          <w:pgSz w:w="11906" w:h="16838"/>
          <w:pgMar w:top="1701" w:right="1531" w:bottom="1701" w:left="1531" w:header="851" w:footer="851" w:gutter="0"/>
          <w:cols w:space="720" w:num="1"/>
          <w:docGrid w:linePitch="312" w:charSpace="0"/>
        </w:sectPr>
      </w:pPr>
    </w:p>
    <w:p>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p>
    <w:p>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方正小标宋_GBK" w:hAnsi="黑体" w:eastAsia="方正小标宋_GBK"/>
          <w:snapToGrid w:val="0"/>
          <w:color w:val="auto"/>
          <w:sz w:val="38"/>
          <w:szCs w:val="38"/>
          <w:highlight w:val="none"/>
        </w:rPr>
      </w:pPr>
      <w:r>
        <w:rPr>
          <w:rFonts w:hint="eastAsia" w:ascii="方正小标宋_GBK" w:hAnsi="黑体" w:eastAsia="方正小标宋_GBK"/>
          <w:snapToGrid w:val="0"/>
          <w:color w:val="auto"/>
          <w:sz w:val="38"/>
          <w:szCs w:val="38"/>
          <w:highlight w:val="none"/>
          <w:u w:val="none"/>
        </w:rPr>
        <w:t>建设项目污染物排放量汇总表</w:t>
      </w:r>
    </w:p>
    <w:tbl>
      <w:tblPr>
        <w:tblStyle w:val="21"/>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1380"/>
        <w:gridCol w:w="1695"/>
        <w:gridCol w:w="1380"/>
        <w:gridCol w:w="1710"/>
        <w:gridCol w:w="1545"/>
        <w:gridCol w:w="1650"/>
        <w:gridCol w:w="1830"/>
        <w:gridCol w:w="12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02" w:type="dxa"/>
            <w:tcBorders>
              <w:tl2br w:val="single" w:color="auto" w:sz="4" w:space="0"/>
            </w:tcBorders>
            <w:noWrap w:val="0"/>
            <w:tcMar>
              <w:left w:w="28" w:type="dxa"/>
              <w:right w:w="28" w:type="dxa"/>
            </w:tcMar>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jc w:val="right"/>
              <w:textAlignment w:val="auto"/>
              <w:rPr>
                <w:rFonts w:hint="default" w:ascii="Times New Roman" w:hAnsi="Times New Roman" w:eastAsia="宋体" w:cs="Times New Roman"/>
                <w:b w:val="0"/>
                <w:bCs/>
                <w:snapToGrid w:val="0"/>
                <w:color w:val="auto"/>
                <w:spacing w:val="-6"/>
                <w:kern w:val="21"/>
                <w:sz w:val="24"/>
                <w:szCs w:val="24"/>
                <w:highlight w:val="none"/>
              </w:rPr>
            </w:pPr>
            <w:r>
              <w:rPr>
                <w:rFonts w:hint="default" w:ascii="Times New Roman" w:hAnsi="Times New Roman" w:eastAsia="宋体" w:cs="Times New Roman"/>
                <w:b w:val="0"/>
                <w:bCs/>
                <w:snapToGrid w:val="0"/>
                <w:color w:val="auto"/>
                <w:spacing w:val="-6"/>
                <w:kern w:val="21"/>
                <w:sz w:val="24"/>
                <w:szCs w:val="24"/>
                <w:highlight w:val="none"/>
              </w:rPr>
              <w:t>项目</w:t>
            </w:r>
          </w:p>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jc w:val="left"/>
              <w:textAlignment w:val="auto"/>
              <w:rPr>
                <w:rFonts w:hint="default" w:ascii="Times New Roman" w:hAnsi="Times New Roman" w:eastAsia="宋体" w:cs="Times New Roman"/>
                <w:b w:val="0"/>
                <w:bCs/>
                <w:snapToGrid w:val="0"/>
                <w:color w:val="auto"/>
                <w:spacing w:val="-6"/>
                <w:kern w:val="21"/>
                <w:sz w:val="24"/>
                <w:szCs w:val="24"/>
                <w:highlight w:val="none"/>
              </w:rPr>
            </w:pPr>
            <w:r>
              <w:rPr>
                <w:rFonts w:hint="default" w:ascii="Times New Roman" w:hAnsi="Times New Roman" w:eastAsia="宋体" w:cs="Times New Roman"/>
                <w:b w:val="0"/>
                <w:bCs/>
                <w:snapToGrid w:val="0"/>
                <w:color w:val="auto"/>
                <w:spacing w:val="-6"/>
                <w:kern w:val="21"/>
                <w:sz w:val="24"/>
                <w:szCs w:val="24"/>
                <w:highlight w:val="none"/>
              </w:rPr>
              <w:t>分类</w:t>
            </w:r>
          </w:p>
        </w:tc>
        <w:tc>
          <w:tcPr>
            <w:tcW w:w="1380" w:type="dxa"/>
            <w:noWrap w:val="0"/>
            <w:tcMar>
              <w:left w:w="28" w:type="dxa"/>
              <w:right w:w="28" w:type="dxa"/>
            </w:tcMar>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spacing w:val="-6"/>
                <w:kern w:val="21"/>
                <w:sz w:val="24"/>
                <w:szCs w:val="24"/>
                <w:highlight w:val="none"/>
              </w:rPr>
            </w:pPr>
            <w:r>
              <w:rPr>
                <w:rFonts w:hint="default" w:ascii="Times New Roman" w:hAnsi="Times New Roman" w:eastAsia="宋体" w:cs="Times New Roman"/>
                <w:b w:val="0"/>
                <w:bCs/>
                <w:snapToGrid w:val="0"/>
                <w:color w:val="auto"/>
                <w:spacing w:val="-6"/>
                <w:kern w:val="21"/>
                <w:sz w:val="24"/>
                <w:szCs w:val="24"/>
                <w:highlight w:val="none"/>
              </w:rPr>
              <w:t>污染物名称</w:t>
            </w:r>
          </w:p>
        </w:tc>
        <w:tc>
          <w:tcPr>
            <w:tcW w:w="1695" w:type="dxa"/>
            <w:noWrap w:val="0"/>
            <w:tcMar>
              <w:left w:w="28" w:type="dxa"/>
              <w:right w:w="28" w:type="dxa"/>
            </w:tcMar>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spacing w:val="-6"/>
                <w:kern w:val="21"/>
                <w:sz w:val="24"/>
                <w:szCs w:val="24"/>
                <w:highlight w:val="none"/>
              </w:rPr>
            </w:pPr>
            <w:r>
              <w:rPr>
                <w:rFonts w:hint="default" w:ascii="Times New Roman" w:hAnsi="Times New Roman" w:eastAsia="宋体" w:cs="Times New Roman"/>
                <w:b w:val="0"/>
                <w:bCs/>
                <w:snapToGrid w:val="0"/>
                <w:color w:val="auto"/>
                <w:spacing w:val="-6"/>
                <w:kern w:val="21"/>
                <w:sz w:val="24"/>
                <w:szCs w:val="24"/>
                <w:highlight w:val="none"/>
              </w:rPr>
              <w:t>现有工程排放量（固体废物产生量）</w:t>
            </w:r>
            <w:r>
              <w:rPr>
                <w:rFonts w:hint="default" w:ascii="Times New Roman" w:hAnsi="Times New Roman" w:eastAsia="宋体" w:cs="Times New Roman"/>
                <w:b w:val="0"/>
                <w:bCs/>
                <w:snapToGrid w:val="0"/>
                <w:color w:val="auto"/>
                <w:spacing w:val="-6"/>
                <w:kern w:val="21"/>
                <w:sz w:val="24"/>
                <w:szCs w:val="24"/>
                <w:highlight w:val="none"/>
              </w:rPr>
              <w:fldChar w:fldCharType="begin"/>
            </w:r>
            <w:r>
              <w:rPr>
                <w:rFonts w:hint="default" w:ascii="Times New Roman" w:hAnsi="Times New Roman" w:eastAsia="宋体" w:cs="Times New Roman"/>
                <w:b w:val="0"/>
                <w:bCs/>
                <w:snapToGrid w:val="0"/>
                <w:color w:val="auto"/>
                <w:spacing w:val="-6"/>
                <w:kern w:val="21"/>
                <w:sz w:val="24"/>
                <w:szCs w:val="24"/>
                <w:highlight w:val="none"/>
              </w:rPr>
              <w:instrText xml:space="preserve"> = 1 \* GB3 \* MERGEFORMAT </w:instrText>
            </w:r>
            <w:r>
              <w:rPr>
                <w:rFonts w:hint="default" w:ascii="Times New Roman" w:hAnsi="Times New Roman" w:eastAsia="宋体" w:cs="Times New Roman"/>
                <w:b w:val="0"/>
                <w:bCs/>
                <w:snapToGrid w:val="0"/>
                <w:color w:val="auto"/>
                <w:spacing w:val="-6"/>
                <w:kern w:val="21"/>
                <w:sz w:val="24"/>
                <w:szCs w:val="24"/>
                <w:highlight w:val="none"/>
              </w:rPr>
              <w:fldChar w:fldCharType="separate"/>
            </w:r>
            <w:r>
              <w:rPr>
                <w:rFonts w:hint="default" w:ascii="Times New Roman" w:hAnsi="Times New Roman" w:eastAsia="宋体" w:cs="Times New Roman"/>
                <w:b w:val="0"/>
                <w:bCs/>
                <w:color w:val="auto"/>
                <w:kern w:val="2"/>
                <w:sz w:val="24"/>
                <w:szCs w:val="24"/>
                <w:highlight w:val="none"/>
              </w:rPr>
              <w:t>①</w:t>
            </w:r>
            <w:r>
              <w:rPr>
                <w:rFonts w:hint="default" w:ascii="Times New Roman" w:hAnsi="Times New Roman" w:eastAsia="宋体" w:cs="Times New Roman"/>
                <w:b w:val="0"/>
                <w:bCs/>
                <w:snapToGrid w:val="0"/>
                <w:color w:val="auto"/>
                <w:spacing w:val="-6"/>
                <w:kern w:val="21"/>
                <w:sz w:val="24"/>
                <w:szCs w:val="24"/>
                <w:highlight w:val="none"/>
              </w:rPr>
              <w:fldChar w:fldCharType="end"/>
            </w:r>
          </w:p>
        </w:tc>
        <w:tc>
          <w:tcPr>
            <w:tcW w:w="1380" w:type="dxa"/>
            <w:noWrap w:val="0"/>
            <w:tcMar>
              <w:left w:w="28" w:type="dxa"/>
              <w:right w:w="28" w:type="dxa"/>
            </w:tcMar>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spacing w:val="-6"/>
                <w:kern w:val="21"/>
                <w:sz w:val="24"/>
                <w:szCs w:val="24"/>
                <w:highlight w:val="none"/>
              </w:rPr>
            </w:pPr>
            <w:r>
              <w:rPr>
                <w:rFonts w:hint="default" w:ascii="Times New Roman" w:hAnsi="Times New Roman" w:eastAsia="宋体" w:cs="Times New Roman"/>
                <w:b w:val="0"/>
                <w:bCs/>
                <w:snapToGrid w:val="0"/>
                <w:color w:val="auto"/>
                <w:spacing w:val="-6"/>
                <w:kern w:val="21"/>
                <w:sz w:val="24"/>
                <w:szCs w:val="24"/>
                <w:highlight w:val="none"/>
              </w:rPr>
              <w:t>现有工程许可排放量</w:t>
            </w:r>
            <w:r>
              <w:rPr>
                <w:rFonts w:hint="default" w:ascii="Times New Roman" w:hAnsi="Times New Roman" w:eastAsia="宋体" w:cs="Times New Roman"/>
                <w:b w:val="0"/>
                <w:bCs/>
                <w:snapToGrid w:val="0"/>
                <w:color w:val="auto"/>
                <w:spacing w:val="-6"/>
                <w:kern w:val="21"/>
                <w:sz w:val="24"/>
                <w:szCs w:val="24"/>
                <w:highlight w:val="none"/>
              </w:rPr>
              <w:fldChar w:fldCharType="begin"/>
            </w:r>
            <w:r>
              <w:rPr>
                <w:rFonts w:hint="default" w:ascii="Times New Roman" w:hAnsi="Times New Roman" w:eastAsia="宋体" w:cs="Times New Roman"/>
                <w:b w:val="0"/>
                <w:bCs/>
                <w:snapToGrid w:val="0"/>
                <w:color w:val="auto"/>
                <w:spacing w:val="-6"/>
                <w:kern w:val="21"/>
                <w:sz w:val="24"/>
                <w:szCs w:val="24"/>
                <w:highlight w:val="none"/>
              </w:rPr>
              <w:instrText xml:space="preserve"> = 2 \* GB3 \* MERGEFORMAT </w:instrText>
            </w:r>
            <w:r>
              <w:rPr>
                <w:rFonts w:hint="default" w:ascii="Times New Roman" w:hAnsi="Times New Roman" w:eastAsia="宋体" w:cs="Times New Roman"/>
                <w:b w:val="0"/>
                <w:bCs/>
                <w:snapToGrid w:val="0"/>
                <w:color w:val="auto"/>
                <w:spacing w:val="-6"/>
                <w:kern w:val="21"/>
                <w:sz w:val="24"/>
                <w:szCs w:val="24"/>
                <w:highlight w:val="none"/>
              </w:rPr>
              <w:fldChar w:fldCharType="separate"/>
            </w:r>
            <w:r>
              <w:rPr>
                <w:rFonts w:hint="default" w:ascii="Times New Roman" w:hAnsi="Times New Roman" w:eastAsia="宋体" w:cs="Times New Roman"/>
                <w:b w:val="0"/>
                <w:bCs/>
                <w:snapToGrid w:val="0"/>
                <w:color w:val="auto"/>
                <w:spacing w:val="-6"/>
                <w:kern w:val="21"/>
                <w:sz w:val="24"/>
                <w:szCs w:val="24"/>
                <w:highlight w:val="none"/>
              </w:rPr>
              <w:t>②</w:t>
            </w:r>
            <w:r>
              <w:rPr>
                <w:rFonts w:hint="default" w:ascii="Times New Roman" w:hAnsi="Times New Roman" w:eastAsia="宋体" w:cs="Times New Roman"/>
                <w:b w:val="0"/>
                <w:bCs/>
                <w:snapToGrid w:val="0"/>
                <w:color w:val="auto"/>
                <w:spacing w:val="-6"/>
                <w:kern w:val="21"/>
                <w:sz w:val="24"/>
                <w:szCs w:val="24"/>
                <w:highlight w:val="none"/>
              </w:rPr>
              <w:fldChar w:fldCharType="end"/>
            </w:r>
          </w:p>
        </w:tc>
        <w:tc>
          <w:tcPr>
            <w:tcW w:w="1710" w:type="dxa"/>
            <w:noWrap w:val="0"/>
            <w:tcMar>
              <w:left w:w="28" w:type="dxa"/>
              <w:right w:w="28" w:type="dxa"/>
            </w:tcMar>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spacing w:val="-6"/>
                <w:kern w:val="21"/>
                <w:sz w:val="24"/>
                <w:szCs w:val="24"/>
                <w:highlight w:val="none"/>
              </w:rPr>
            </w:pPr>
            <w:r>
              <w:rPr>
                <w:rFonts w:hint="default" w:ascii="Times New Roman" w:hAnsi="Times New Roman" w:eastAsia="宋体" w:cs="Times New Roman"/>
                <w:b w:val="0"/>
                <w:bCs/>
                <w:snapToGrid w:val="0"/>
                <w:color w:val="auto"/>
                <w:spacing w:val="-6"/>
                <w:kern w:val="21"/>
                <w:sz w:val="24"/>
                <w:szCs w:val="24"/>
                <w:highlight w:val="none"/>
              </w:rPr>
              <w:t>在建工程排放量（固体废物产生量）</w:t>
            </w:r>
            <w:r>
              <w:rPr>
                <w:rFonts w:hint="default" w:ascii="Times New Roman" w:hAnsi="Times New Roman" w:eastAsia="宋体" w:cs="Times New Roman"/>
                <w:b w:val="0"/>
                <w:bCs/>
                <w:snapToGrid w:val="0"/>
                <w:color w:val="auto"/>
                <w:spacing w:val="-6"/>
                <w:kern w:val="21"/>
                <w:sz w:val="24"/>
                <w:szCs w:val="24"/>
                <w:highlight w:val="none"/>
              </w:rPr>
              <w:fldChar w:fldCharType="begin"/>
            </w:r>
            <w:r>
              <w:rPr>
                <w:rFonts w:hint="default" w:ascii="Times New Roman" w:hAnsi="Times New Roman" w:eastAsia="宋体" w:cs="Times New Roman"/>
                <w:b w:val="0"/>
                <w:bCs/>
                <w:snapToGrid w:val="0"/>
                <w:color w:val="auto"/>
                <w:spacing w:val="-6"/>
                <w:kern w:val="21"/>
                <w:sz w:val="24"/>
                <w:szCs w:val="24"/>
                <w:highlight w:val="none"/>
              </w:rPr>
              <w:instrText xml:space="preserve"> = 3 \* GB3 \* MERGEFORMAT </w:instrText>
            </w:r>
            <w:r>
              <w:rPr>
                <w:rFonts w:hint="default" w:ascii="Times New Roman" w:hAnsi="Times New Roman" w:eastAsia="宋体" w:cs="Times New Roman"/>
                <w:b w:val="0"/>
                <w:bCs/>
                <w:snapToGrid w:val="0"/>
                <w:color w:val="auto"/>
                <w:spacing w:val="-6"/>
                <w:kern w:val="21"/>
                <w:sz w:val="24"/>
                <w:szCs w:val="24"/>
                <w:highlight w:val="none"/>
              </w:rPr>
              <w:fldChar w:fldCharType="separate"/>
            </w:r>
            <w:r>
              <w:rPr>
                <w:rFonts w:hint="default" w:ascii="Times New Roman" w:hAnsi="Times New Roman" w:eastAsia="宋体" w:cs="Times New Roman"/>
                <w:b w:val="0"/>
                <w:bCs/>
                <w:color w:val="auto"/>
                <w:kern w:val="2"/>
                <w:sz w:val="24"/>
                <w:szCs w:val="24"/>
                <w:highlight w:val="none"/>
              </w:rPr>
              <w:t>③</w:t>
            </w:r>
            <w:r>
              <w:rPr>
                <w:rFonts w:hint="default" w:ascii="Times New Roman" w:hAnsi="Times New Roman" w:eastAsia="宋体" w:cs="Times New Roman"/>
                <w:b w:val="0"/>
                <w:bCs/>
                <w:snapToGrid w:val="0"/>
                <w:color w:val="auto"/>
                <w:spacing w:val="-6"/>
                <w:kern w:val="21"/>
                <w:sz w:val="24"/>
                <w:szCs w:val="24"/>
                <w:highlight w:val="none"/>
              </w:rPr>
              <w:fldChar w:fldCharType="end"/>
            </w:r>
          </w:p>
        </w:tc>
        <w:tc>
          <w:tcPr>
            <w:tcW w:w="1545" w:type="dxa"/>
            <w:noWrap w:val="0"/>
            <w:tcMar>
              <w:left w:w="28" w:type="dxa"/>
              <w:right w:w="28" w:type="dxa"/>
            </w:tcMar>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spacing w:val="-6"/>
                <w:kern w:val="21"/>
                <w:sz w:val="24"/>
                <w:szCs w:val="24"/>
                <w:highlight w:val="none"/>
              </w:rPr>
            </w:pPr>
            <w:r>
              <w:rPr>
                <w:rFonts w:hint="default" w:ascii="Times New Roman" w:hAnsi="Times New Roman" w:eastAsia="宋体" w:cs="Times New Roman"/>
                <w:b w:val="0"/>
                <w:bCs/>
                <w:snapToGrid w:val="0"/>
                <w:color w:val="auto"/>
                <w:spacing w:val="-6"/>
                <w:kern w:val="21"/>
                <w:sz w:val="24"/>
                <w:szCs w:val="24"/>
                <w:highlight w:val="none"/>
              </w:rPr>
              <w:t>本项目排放量（固体废物产生量）</w:t>
            </w:r>
            <w:r>
              <w:rPr>
                <w:rFonts w:hint="default" w:ascii="Times New Roman" w:hAnsi="Times New Roman" w:eastAsia="宋体" w:cs="Times New Roman"/>
                <w:b w:val="0"/>
                <w:bCs/>
                <w:snapToGrid w:val="0"/>
                <w:color w:val="auto"/>
                <w:spacing w:val="-6"/>
                <w:kern w:val="21"/>
                <w:sz w:val="24"/>
                <w:szCs w:val="24"/>
                <w:highlight w:val="none"/>
              </w:rPr>
              <w:fldChar w:fldCharType="begin"/>
            </w:r>
            <w:r>
              <w:rPr>
                <w:rFonts w:hint="default" w:ascii="Times New Roman" w:hAnsi="Times New Roman" w:eastAsia="宋体" w:cs="Times New Roman"/>
                <w:b w:val="0"/>
                <w:bCs/>
                <w:snapToGrid w:val="0"/>
                <w:color w:val="auto"/>
                <w:spacing w:val="-6"/>
                <w:kern w:val="21"/>
                <w:sz w:val="24"/>
                <w:szCs w:val="24"/>
                <w:highlight w:val="none"/>
              </w:rPr>
              <w:instrText xml:space="preserve"> = 4 \* GB3 \* MERGEFORMAT </w:instrText>
            </w:r>
            <w:r>
              <w:rPr>
                <w:rFonts w:hint="default" w:ascii="Times New Roman" w:hAnsi="Times New Roman" w:eastAsia="宋体" w:cs="Times New Roman"/>
                <w:b w:val="0"/>
                <w:bCs/>
                <w:snapToGrid w:val="0"/>
                <w:color w:val="auto"/>
                <w:spacing w:val="-6"/>
                <w:kern w:val="21"/>
                <w:sz w:val="24"/>
                <w:szCs w:val="24"/>
                <w:highlight w:val="none"/>
              </w:rPr>
              <w:fldChar w:fldCharType="separate"/>
            </w:r>
            <w:r>
              <w:rPr>
                <w:rFonts w:hint="default" w:ascii="Times New Roman" w:hAnsi="Times New Roman" w:eastAsia="宋体" w:cs="Times New Roman"/>
                <w:b w:val="0"/>
                <w:bCs/>
                <w:color w:val="auto"/>
                <w:kern w:val="2"/>
                <w:sz w:val="24"/>
                <w:szCs w:val="24"/>
                <w:highlight w:val="none"/>
              </w:rPr>
              <w:t>④</w:t>
            </w:r>
            <w:r>
              <w:rPr>
                <w:rFonts w:hint="default" w:ascii="Times New Roman" w:hAnsi="Times New Roman" w:eastAsia="宋体" w:cs="Times New Roman"/>
                <w:b w:val="0"/>
                <w:bCs/>
                <w:snapToGrid w:val="0"/>
                <w:color w:val="auto"/>
                <w:spacing w:val="-6"/>
                <w:kern w:val="21"/>
                <w:sz w:val="24"/>
                <w:szCs w:val="24"/>
                <w:highlight w:val="none"/>
              </w:rPr>
              <w:fldChar w:fldCharType="end"/>
            </w:r>
          </w:p>
        </w:tc>
        <w:tc>
          <w:tcPr>
            <w:tcW w:w="1650" w:type="dxa"/>
            <w:noWrap w:val="0"/>
            <w:tcMar>
              <w:left w:w="28" w:type="dxa"/>
              <w:right w:w="28" w:type="dxa"/>
            </w:tcMar>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spacing w:val="-16"/>
                <w:kern w:val="21"/>
                <w:sz w:val="24"/>
                <w:szCs w:val="24"/>
                <w:highlight w:val="none"/>
              </w:rPr>
            </w:pPr>
            <w:r>
              <w:rPr>
                <w:rFonts w:hint="default" w:ascii="Times New Roman" w:hAnsi="Times New Roman" w:eastAsia="宋体" w:cs="Times New Roman"/>
                <w:b w:val="0"/>
                <w:bCs/>
                <w:snapToGrid w:val="0"/>
                <w:color w:val="auto"/>
                <w:spacing w:val="-16"/>
                <w:kern w:val="21"/>
                <w:sz w:val="24"/>
                <w:szCs w:val="24"/>
                <w:highlight w:val="none"/>
              </w:rPr>
              <w:t>以新带老削减量（新建项目不填）</w:t>
            </w:r>
            <w:r>
              <w:rPr>
                <w:rFonts w:hint="default" w:ascii="Times New Roman" w:hAnsi="Times New Roman" w:eastAsia="宋体" w:cs="Times New Roman"/>
                <w:b w:val="0"/>
                <w:bCs/>
                <w:snapToGrid w:val="0"/>
                <w:color w:val="auto"/>
                <w:spacing w:val="-16"/>
                <w:kern w:val="21"/>
                <w:sz w:val="24"/>
                <w:szCs w:val="24"/>
                <w:highlight w:val="none"/>
              </w:rPr>
              <w:fldChar w:fldCharType="begin"/>
            </w:r>
            <w:r>
              <w:rPr>
                <w:rFonts w:hint="default" w:ascii="Times New Roman" w:hAnsi="Times New Roman" w:eastAsia="宋体" w:cs="Times New Roman"/>
                <w:b w:val="0"/>
                <w:bCs/>
                <w:snapToGrid w:val="0"/>
                <w:color w:val="auto"/>
                <w:spacing w:val="-16"/>
                <w:kern w:val="21"/>
                <w:sz w:val="24"/>
                <w:szCs w:val="24"/>
                <w:highlight w:val="none"/>
              </w:rPr>
              <w:instrText xml:space="preserve"> = 5 \* GB3 \* MERGEFORMAT </w:instrText>
            </w:r>
            <w:r>
              <w:rPr>
                <w:rFonts w:hint="default" w:ascii="Times New Roman" w:hAnsi="Times New Roman" w:eastAsia="宋体" w:cs="Times New Roman"/>
                <w:b w:val="0"/>
                <w:bCs/>
                <w:snapToGrid w:val="0"/>
                <w:color w:val="auto"/>
                <w:spacing w:val="-16"/>
                <w:kern w:val="21"/>
                <w:sz w:val="24"/>
                <w:szCs w:val="24"/>
                <w:highlight w:val="none"/>
              </w:rPr>
              <w:fldChar w:fldCharType="separate"/>
            </w:r>
            <w:r>
              <w:rPr>
                <w:rFonts w:hint="default" w:ascii="Times New Roman" w:hAnsi="Times New Roman" w:eastAsia="宋体" w:cs="Times New Roman"/>
                <w:b w:val="0"/>
                <w:bCs/>
                <w:color w:val="auto"/>
                <w:kern w:val="2"/>
                <w:sz w:val="24"/>
                <w:szCs w:val="24"/>
                <w:highlight w:val="none"/>
              </w:rPr>
              <w:t>⑤</w:t>
            </w:r>
            <w:r>
              <w:rPr>
                <w:rFonts w:hint="default" w:ascii="Times New Roman" w:hAnsi="Times New Roman" w:eastAsia="宋体" w:cs="Times New Roman"/>
                <w:b w:val="0"/>
                <w:bCs/>
                <w:snapToGrid w:val="0"/>
                <w:color w:val="auto"/>
                <w:spacing w:val="-16"/>
                <w:kern w:val="21"/>
                <w:sz w:val="24"/>
                <w:szCs w:val="24"/>
                <w:highlight w:val="none"/>
              </w:rPr>
              <w:fldChar w:fldCharType="end"/>
            </w:r>
          </w:p>
        </w:tc>
        <w:tc>
          <w:tcPr>
            <w:tcW w:w="1830" w:type="dxa"/>
            <w:noWrap w:val="0"/>
            <w:tcMar>
              <w:left w:w="28" w:type="dxa"/>
              <w:right w:w="28" w:type="dxa"/>
            </w:tcMar>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spacing w:val="-16"/>
                <w:kern w:val="21"/>
                <w:sz w:val="24"/>
                <w:szCs w:val="24"/>
                <w:highlight w:val="none"/>
              </w:rPr>
            </w:pPr>
            <w:r>
              <w:rPr>
                <w:rFonts w:hint="default" w:ascii="Times New Roman" w:hAnsi="Times New Roman" w:eastAsia="宋体" w:cs="Times New Roman"/>
                <w:b w:val="0"/>
                <w:bCs/>
                <w:snapToGrid w:val="0"/>
                <w:color w:val="auto"/>
                <w:spacing w:val="-16"/>
                <w:kern w:val="21"/>
                <w:sz w:val="24"/>
                <w:szCs w:val="24"/>
                <w:highlight w:val="none"/>
              </w:rPr>
              <w:t>本项目建成后全厂排放量（固体废物产生量）</w:t>
            </w:r>
            <w:r>
              <w:rPr>
                <w:rFonts w:hint="default" w:ascii="Times New Roman" w:hAnsi="Times New Roman" w:eastAsia="宋体" w:cs="Times New Roman"/>
                <w:b w:val="0"/>
                <w:bCs/>
                <w:snapToGrid w:val="0"/>
                <w:color w:val="auto"/>
                <w:spacing w:val="-16"/>
                <w:kern w:val="21"/>
                <w:sz w:val="24"/>
                <w:szCs w:val="24"/>
                <w:highlight w:val="none"/>
              </w:rPr>
              <w:fldChar w:fldCharType="begin"/>
            </w:r>
            <w:r>
              <w:rPr>
                <w:rFonts w:hint="default" w:ascii="Times New Roman" w:hAnsi="Times New Roman" w:eastAsia="宋体" w:cs="Times New Roman"/>
                <w:b w:val="0"/>
                <w:bCs/>
                <w:snapToGrid w:val="0"/>
                <w:color w:val="auto"/>
                <w:spacing w:val="-16"/>
                <w:kern w:val="21"/>
                <w:sz w:val="24"/>
                <w:szCs w:val="24"/>
                <w:highlight w:val="none"/>
              </w:rPr>
              <w:instrText xml:space="preserve"> = 6 \* GB3 \* MERGEFORMAT </w:instrText>
            </w:r>
            <w:r>
              <w:rPr>
                <w:rFonts w:hint="default" w:ascii="Times New Roman" w:hAnsi="Times New Roman" w:eastAsia="宋体" w:cs="Times New Roman"/>
                <w:b w:val="0"/>
                <w:bCs/>
                <w:snapToGrid w:val="0"/>
                <w:color w:val="auto"/>
                <w:spacing w:val="-16"/>
                <w:kern w:val="21"/>
                <w:sz w:val="24"/>
                <w:szCs w:val="24"/>
                <w:highlight w:val="none"/>
              </w:rPr>
              <w:fldChar w:fldCharType="separate"/>
            </w:r>
            <w:r>
              <w:rPr>
                <w:rFonts w:hint="default" w:ascii="Times New Roman" w:hAnsi="Times New Roman" w:eastAsia="宋体" w:cs="Times New Roman"/>
                <w:b w:val="0"/>
                <w:bCs/>
                <w:color w:val="auto"/>
                <w:kern w:val="2"/>
                <w:sz w:val="24"/>
                <w:szCs w:val="24"/>
                <w:highlight w:val="none"/>
              </w:rPr>
              <w:t>⑥</w:t>
            </w:r>
            <w:r>
              <w:rPr>
                <w:rFonts w:hint="default" w:ascii="Times New Roman" w:hAnsi="Times New Roman" w:eastAsia="宋体" w:cs="Times New Roman"/>
                <w:b w:val="0"/>
                <w:bCs/>
                <w:snapToGrid w:val="0"/>
                <w:color w:val="auto"/>
                <w:spacing w:val="-16"/>
                <w:kern w:val="21"/>
                <w:sz w:val="24"/>
                <w:szCs w:val="24"/>
                <w:highlight w:val="none"/>
              </w:rPr>
              <w:fldChar w:fldCharType="end"/>
            </w:r>
          </w:p>
        </w:tc>
        <w:tc>
          <w:tcPr>
            <w:tcW w:w="1296" w:type="dxa"/>
            <w:noWrap w:val="0"/>
            <w:tcMar>
              <w:left w:w="28" w:type="dxa"/>
              <w:right w:w="28" w:type="dxa"/>
            </w:tcMar>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spacing w:val="-6"/>
                <w:kern w:val="21"/>
                <w:sz w:val="24"/>
                <w:szCs w:val="24"/>
                <w:highlight w:val="none"/>
              </w:rPr>
            </w:pPr>
            <w:r>
              <w:rPr>
                <w:rFonts w:hint="default" w:ascii="Times New Roman" w:hAnsi="Times New Roman" w:eastAsia="宋体" w:cs="Times New Roman"/>
                <w:b w:val="0"/>
                <w:bCs/>
                <w:snapToGrid w:val="0"/>
                <w:color w:val="auto"/>
                <w:spacing w:val="-6"/>
                <w:kern w:val="21"/>
                <w:sz w:val="24"/>
                <w:szCs w:val="24"/>
                <w:highlight w:val="none"/>
              </w:rPr>
              <w:t>变化量</w:t>
            </w:r>
            <w:r>
              <w:rPr>
                <w:rFonts w:hint="default" w:ascii="Times New Roman" w:hAnsi="Times New Roman" w:eastAsia="宋体" w:cs="Times New Roman"/>
                <w:b w:val="0"/>
                <w:bCs/>
                <w:snapToGrid w:val="0"/>
                <w:color w:val="auto"/>
                <w:spacing w:val="-6"/>
                <w:kern w:val="21"/>
                <w:sz w:val="24"/>
                <w:szCs w:val="24"/>
                <w:highlight w:val="none"/>
              </w:rPr>
              <w:fldChar w:fldCharType="begin"/>
            </w:r>
            <w:r>
              <w:rPr>
                <w:rFonts w:hint="default" w:ascii="Times New Roman" w:hAnsi="Times New Roman" w:eastAsia="宋体" w:cs="Times New Roman"/>
                <w:b w:val="0"/>
                <w:bCs/>
                <w:snapToGrid w:val="0"/>
                <w:color w:val="auto"/>
                <w:spacing w:val="-6"/>
                <w:kern w:val="21"/>
                <w:sz w:val="24"/>
                <w:szCs w:val="24"/>
                <w:highlight w:val="none"/>
              </w:rPr>
              <w:instrText xml:space="preserve"> = 7 \* GB3 \* MERGEFORMAT </w:instrText>
            </w:r>
            <w:r>
              <w:rPr>
                <w:rFonts w:hint="default" w:ascii="Times New Roman" w:hAnsi="Times New Roman" w:eastAsia="宋体" w:cs="Times New Roman"/>
                <w:b w:val="0"/>
                <w:bCs/>
                <w:snapToGrid w:val="0"/>
                <w:color w:val="auto"/>
                <w:spacing w:val="-6"/>
                <w:kern w:val="21"/>
                <w:sz w:val="24"/>
                <w:szCs w:val="24"/>
                <w:highlight w:val="none"/>
              </w:rPr>
              <w:fldChar w:fldCharType="separate"/>
            </w:r>
            <w:r>
              <w:rPr>
                <w:rFonts w:hint="default" w:ascii="Times New Roman" w:hAnsi="Times New Roman" w:eastAsia="宋体" w:cs="Times New Roman"/>
                <w:b w:val="0"/>
                <w:bCs/>
                <w:color w:val="auto"/>
                <w:kern w:val="2"/>
                <w:sz w:val="24"/>
                <w:szCs w:val="24"/>
                <w:highlight w:val="none"/>
              </w:rPr>
              <w:t>⑦</w:t>
            </w:r>
            <w:r>
              <w:rPr>
                <w:rFonts w:hint="default" w:ascii="Times New Roman" w:hAnsi="Times New Roman" w:eastAsia="宋体" w:cs="Times New Roman"/>
                <w:b w:val="0"/>
                <w:bCs/>
                <w:snapToGrid w:val="0"/>
                <w:color w:val="auto"/>
                <w:spacing w:val="-6"/>
                <w:kern w:val="21"/>
                <w:sz w:val="24"/>
                <w:szCs w:val="24"/>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restar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r>
              <w:rPr>
                <w:rFonts w:hint="default" w:ascii="Times New Roman" w:hAnsi="Times New Roman" w:eastAsia="宋体" w:cs="Times New Roman"/>
                <w:b w:val="0"/>
                <w:bCs/>
                <w:snapToGrid w:val="0"/>
                <w:color w:val="auto"/>
                <w:kern w:val="21"/>
                <w:sz w:val="24"/>
                <w:szCs w:val="24"/>
                <w:highlight w:val="none"/>
              </w:rPr>
              <w:t>废气</w:t>
            </w: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lang w:val="en-US" w:eastAsia="zh-CN"/>
              </w:rPr>
            </w:pPr>
            <w:r>
              <w:rPr>
                <w:rFonts w:hint="eastAsia" w:ascii="Times New Roman" w:hAnsi="Times New Roman" w:eastAsia="宋体" w:cs="Times New Roman"/>
                <w:b w:val="0"/>
                <w:bCs/>
                <w:snapToGrid w:val="0"/>
                <w:color w:val="auto"/>
                <w:kern w:val="21"/>
                <w:sz w:val="24"/>
                <w:szCs w:val="24"/>
                <w:highlight w:val="none"/>
                <w:lang w:val="en-US" w:eastAsia="zh-CN"/>
              </w:rPr>
              <w:t>颗粒物</w:t>
            </w:r>
          </w:p>
        </w:tc>
        <w:tc>
          <w:tcPr>
            <w:tcW w:w="1695"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lang w:val="en-US" w:eastAsia="zh-CN"/>
              </w:rPr>
            </w:pPr>
            <w:r>
              <w:rPr>
                <w:rFonts w:hint="eastAsia" w:ascii="Times New Roman" w:hAnsi="Times New Roman" w:eastAsia="宋体" w:cs="Times New Roman"/>
                <w:b w:val="0"/>
                <w:bCs/>
                <w:snapToGrid w:val="0"/>
                <w:color w:val="auto"/>
                <w:kern w:val="21"/>
                <w:sz w:val="24"/>
                <w:szCs w:val="24"/>
                <w:highlight w:val="none"/>
                <w:lang w:val="en-US" w:eastAsia="zh-CN"/>
              </w:rPr>
              <w:t>0.0828t/a</w:t>
            </w: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71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eastAsia" w:ascii="Times New Roman" w:hAnsi="Times New Roman" w:eastAsia="宋体" w:cs="Times New Roman"/>
                <w:b w:val="0"/>
                <w:bCs/>
                <w:snapToGrid w:val="0"/>
                <w:color w:val="auto"/>
                <w:kern w:val="21"/>
                <w:sz w:val="24"/>
                <w:szCs w:val="24"/>
                <w:highlight w:val="none"/>
                <w:lang w:val="en-US" w:eastAsia="zh-CN"/>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545"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cs="Times New Roman"/>
                <w:b w:val="0"/>
                <w:bCs/>
                <w:snapToGrid w:val="0"/>
                <w:color w:val="auto"/>
                <w:kern w:val="21"/>
                <w:sz w:val="24"/>
                <w:szCs w:val="24"/>
                <w:highlight w:val="none"/>
                <w:lang w:val="en-US" w:eastAsia="zh-CN" w:bidi="ar-SA"/>
              </w:rPr>
              <w:t>0.0414</w:t>
            </w:r>
            <w:r>
              <w:rPr>
                <w:rFonts w:hint="eastAsia" w:ascii="Times New Roman" w:hAnsi="Times New Roman" w:eastAsia="宋体" w:cs="Times New Roman"/>
                <w:b w:val="0"/>
                <w:bCs/>
                <w:snapToGrid w:val="0"/>
                <w:color w:val="auto"/>
                <w:kern w:val="21"/>
                <w:sz w:val="24"/>
                <w:szCs w:val="24"/>
                <w:highlight w:val="none"/>
                <w:lang w:val="en-US" w:eastAsia="zh-CN" w:bidi="ar-SA"/>
              </w:rPr>
              <w:t>t/a</w:t>
            </w:r>
          </w:p>
        </w:tc>
        <w:tc>
          <w:tcPr>
            <w:tcW w:w="165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eastAsia"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bidi="ar-SA"/>
              </w:rPr>
              <w:t>0</w:t>
            </w:r>
          </w:p>
        </w:tc>
        <w:tc>
          <w:tcPr>
            <w:tcW w:w="183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cs="Times New Roman"/>
                <w:b w:val="0"/>
                <w:bCs/>
                <w:snapToGrid w:val="0"/>
                <w:color w:val="auto"/>
                <w:kern w:val="21"/>
                <w:sz w:val="24"/>
                <w:szCs w:val="24"/>
                <w:highlight w:val="none"/>
                <w:lang w:val="en-US" w:eastAsia="zh-CN" w:bidi="ar-SA"/>
              </w:rPr>
              <w:t>0.1242</w:t>
            </w:r>
            <w:r>
              <w:rPr>
                <w:rFonts w:hint="eastAsia" w:ascii="Times New Roman" w:hAnsi="Times New Roman" w:eastAsia="宋体" w:cs="Times New Roman"/>
                <w:b w:val="0"/>
                <w:bCs/>
                <w:snapToGrid w:val="0"/>
                <w:color w:val="auto"/>
                <w:kern w:val="21"/>
                <w:sz w:val="24"/>
                <w:szCs w:val="24"/>
                <w:highlight w:val="none"/>
                <w:lang w:val="en-US" w:eastAsia="zh-CN" w:bidi="ar-SA"/>
              </w:rPr>
              <w:t>t/a</w:t>
            </w:r>
          </w:p>
        </w:tc>
        <w:tc>
          <w:tcPr>
            <w:tcW w:w="1296"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cs="Times New Roman"/>
                <w:b w:val="0"/>
                <w:bCs/>
                <w:snapToGrid w:val="0"/>
                <w:color w:val="auto"/>
                <w:kern w:val="21"/>
                <w:sz w:val="24"/>
                <w:szCs w:val="24"/>
                <w:highlight w:val="none"/>
                <w:lang w:val="en-US" w:eastAsia="zh-CN" w:bidi="ar-SA"/>
              </w:rPr>
              <w:t>+0.0414</w:t>
            </w:r>
            <w:r>
              <w:rPr>
                <w:rFonts w:hint="eastAsia" w:ascii="Times New Roman" w:hAnsi="Times New Roman" w:eastAsia="宋体" w:cs="Times New Roman"/>
                <w:b w:val="0"/>
                <w:bCs/>
                <w:snapToGrid w:val="0"/>
                <w:color w:val="auto"/>
                <w:kern w:val="21"/>
                <w:sz w:val="24"/>
                <w:szCs w:val="24"/>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lang w:val="en-US" w:eastAsia="zh-CN"/>
              </w:rPr>
            </w:pPr>
            <w:r>
              <w:rPr>
                <w:rFonts w:hint="eastAsia" w:ascii="Times New Roman" w:hAnsi="Times New Roman" w:eastAsia="宋体" w:cs="Times New Roman"/>
                <w:b w:val="0"/>
                <w:bCs/>
                <w:snapToGrid w:val="0"/>
                <w:color w:val="auto"/>
                <w:kern w:val="21"/>
                <w:sz w:val="24"/>
                <w:szCs w:val="24"/>
                <w:highlight w:val="none"/>
                <w:lang w:val="en-US" w:eastAsia="zh-CN"/>
              </w:rPr>
              <w:t>SO</w:t>
            </w:r>
            <w:r>
              <w:rPr>
                <w:rFonts w:hint="eastAsia" w:ascii="Times New Roman" w:hAnsi="Times New Roman" w:eastAsia="宋体" w:cs="Times New Roman"/>
                <w:b w:val="0"/>
                <w:bCs/>
                <w:snapToGrid w:val="0"/>
                <w:color w:val="auto"/>
                <w:kern w:val="21"/>
                <w:sz w:val="24"/>
                <w:szCs w:val="24"/>
                <w:highlight w:val="none"/>
                <w:vertAlign w:val="subscript"/>
                <w:lang w:val="en-US" w:eastAsia="zh-CN"/>
              </w:rPr>
              <w:t>2</w:t>
            </w:r>
          </w:p>
        </w:tc>
        <w:tc>
          <w:tcPr>
            <w:tcW w:w="1695"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lang w:val="en-US" w:eastAsia="zh-CN"/>
              </w:rPr>
            </w:pPr>
            <w:r>
              <w:rPr>
                <w:rFonts w:hint="eastAsia" w:ascii="Times New Roman" w:hAnsi="Times New Roman" w:eastAsia="宋体" w:cs="Times New Roman"/>
                <w:b w:val="0"/>
                <w:bCs/>
                <w:snapToGrid w:val="0"/>
                <w:color w:val="auto"/>
                <w:kern w:val="21"/>
                <w:sz w:val="24"/>
                <w:szCs w:val="24"/>
                <w:highlight w:val="none"/>
                <w:lang w:val="en-US" w:eastAsia="zh-CN"/>
              </w:rPr>
              <w:t>0.09t/a</w:t>
            </w: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71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eastAsia" w:ascii="Times New Roman" w:hAnsi="Times New Roman" w:eastAsia="宋体" w:cs="Times New Roman"/>
                <w:b w:val="0"/>
                <w:bCs/>
                <w:snapToGrid w:val="0"/>
                <w:color w:val="auto"/>
                <w:kern w:val="21"/>
                <w:sz w:val="24"/>
                <w:szCs w:val="24"/>
                <w:highlight w:val="none"/>
                <w:lang w:val="en-US" w:eastAsia="zh-CN"/>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545" w:type="dxa"/>
            <w:noWrap w:val="0"/>
            <w:vAlign w:val="center"/>
          </w:tcPr>
          <w:p>
            <w:pPr>
              <w:adjustRightInd w:val="0"/>
              <w:snapToGrid w:val="0"/>
              <w:jc w:val="center"/>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bidi="ar-SA"/>
              </w:rPr>
              <w:t>0.</w:t>
            </w:r>
            <w:r>
              <w:rPr>
                <w:rFonts w:hint="eastAsia" w:cs="Times New Roman"/>
                <w:b w:val="0"/>
                <w:bCs/>
                <w:snapToGrid w:val="0"/>
                <w:color w:val="auto"/>
                <w:kern w:val="21"/>
                <w:sz w:val="24"/>
                <w:szCs w:val="24"/>
                <w:highlight w:val="none"/>
                <w:lang w:val="en-US" w:eastAsia="zh-CN" w:bidi="ar-SA"/>
              </w:rPr>
              <w:t>2</w:t>
            </w:r>
            <w:r>
              <w:rPr>
                <w:rFonts w:hint="eastAsia" w:ascii="Times New Roman" w:hAnsi="Times New Roman" w:eastAsia="宋体" w:cs="Times New Roman"/>
                <w:b w:val="0"/>
                <w:bCs/>
                <w:snapToGrid w:val="0"/>
                <w:color w:val="auto"/>
                <w:kern w:val="21"/>
                <w:sz w:val="24"/>
                <w:szCs w:val="24"/>
                <w:highlight w:val="none"/>
                <w:lang w:val="en-US" w:eastAsia="zh-CN" w:bidi="ar-SA"/>
              </w:rPr>
              <w:t>t/a</w:t>
            </w:r>
          </w:p>
        </w:tc>
        <w:tc>
          <w:tcPr>
            <w:tcW w:w="165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eastAsia"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bidi="ar-SA"/>
              </w:rPr>
              <w:t>0</w:t>
            </w:r>
          </w:p>
        </w:tc>
        <w:tc>
          <w:tcPr>
            <w:tcW w:w="18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bidi="ar-SA"/>
              </w:rPr>
              <w:t>0.</w:t>
            </w:r>
            <w:r>
              <w:rPr>
                <w:rFonts w:hint="eastAsia" w:cs="Times New Roman"/>
                <w:b w:val="0"/>
                <w:bCs/>
                <w:snapToGrid w:val="0"/>
                <w:color w:val="auto"/>
                <w:kern w:val="21"/>
                <w:sz w:val="24"/>
                <w:szCs w:val="24"/>
                <w:highlight w:val="none"/>
                <w:lang w:val="en-US" w:eastAsia="zh-CN" w:bidi="ar-SA"/>
              </w:rPr>
              <w:t>29</w:t>
            </w:r>
            <w:r>
              <w:rPr>
                <w:rFonts w:hint="eastAsia" w:ascii="Times New Roman" w:hAnsi="Times New Roman" w:eastAsia="宋体" w:cs="Times New Roman"/>
                <w:b w:val="0"/>
                <w:bCs/>
                <w:snapToGrid w:val="0"/>
                <w:color w:val="auto"/>
                <w:kern w:val="21"/>
                <w:sz w:val="24"/>
                <w:szCs w:val="24"/>
                <w:highlight w:val="none"/>
                <w:lang w:val="en-US" w:eastAsia="zh-CN" w:bidi="ar-SA"/>
              </w:rPr>
              <w:t>t/a</w:t>
            </w:r>
          </w:p>
        </w:tc>
        <w:tc>
          <w:tcPr>
            <w:tcW w:w="1296" w:type="dxa"/>
            <w:noWrap w:val="0"/>
            <w:vAlign w:val="center"/>
          </w:tcPr>
          <w:p>
            <w:pPr>
              <w:adjustRightInd w:val="0"/>
              <w:snapToGrid w:val="0"/>
              <w:jc w:val="center"/>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cs="Times New Roman"/>
                <w:b w:val="0"/>
                <w:bCs/>
                <w:snapToGrid w:val="0"/>
                <w:color w:val="auto"/>
                <w:kern w:val="21"/>
                <w:sz w:val="24"/>
                <w:szCs w:val="24"/>
                <w:highlight w:val="none"/>
                <w:lang w:val="en-US" w:eastAsia="zh-CN" w:bidi="ar-SA"/>
              </w:rPr>
              <w:t>+</w:t>
            </w:r>
            <w:r>
              <w:rPr>
                <w:rFonts w:hint="eastAsia" w:ascii="Times New Roman" w:hAnsi="Times New Roman" w:eastAsia="宋体" w:cs="Times New Roman"/>
                <w:b w:val="0"/>
                <w:bCs/>
                <w:snapToGrid w:val="0"/>
                <w:color w:val="auto"/>
                <w:kern w:val="21"/>
                <w:sz w:val="24"/>
                <w:szCs w:val="24"/>
                <w:highlight w:val="none"/>
                <w:lang w:val="en-US" w:eastAsia="zh-CN" w:bidi="ar-SA"/>
              </w:rPr>
              <w:t>0.</w:t>
            </w:r>
            <w:r>
              <w:rPr>
                <w:rFonts w:hint="eastAsia" w:cs="Times New Roman"/>
                <w:b w:val="0"/>
                <w:bCs/>
                <w:snapToGrid w:val="0"/>
                <w:color w:val="auto"/>
                <w:kern w:val="21"/>
                <w:sz w:val="24"/>
                <w:szCs w:val="24"/>
                <w:highlight w:val="none"/>
                <w:lang w:val="en-US" w:eastAsia="zh-CN" w:bidi="ar-SA"/>
              </w:rPr>
              <w:t>2</w:t>
            </w:r>
            <w:r>
              <w:rPr>
                <w:rFonts w:hint="eastAsia" w:ascii="Times New Roman" w:hAnsi="Times New Roman" w:eastAsia="宋体" w:cs="Times New Roman"/>
                <w:b w:val="0"/>
                <w:bCs/>
                <w:snapToGrid w:val="0"/>
                <w:color w:val="auto"/>
                <w:kern w:val="21"/>
                <w:sz w:val="24"/>
                <w:szCs w:val="24"/>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lang w:val="en-US" w:eastAsia="zh-CN"/>
              </w:rPr>
            </w:pPr>
            <w:r>
              <w:rPr>
                <w:rFonts w:hint="eastAsia" w:ascii="Times New Roman" w:hAnsi="Times New Roman" w:eastAsia="宋体" w:cs="Times New Roman"/>
                <w:b w:val="0"/>
                <w:bCs/>
                <w:snapToGrid w:val="0"/>
                <w:color w:val="auto"/>
                <w:kern w:val="21"/>
                <w:sz w:val="24"/>
                <w:szCs w:val="24"/>
                <w:highlight w:val="none"/>
                <w:lang w:val="en-US" w:eastAsia="zh-CN"/>
              </w:rPr>
              <w:t>NOx</w:t>
            </w:r>
          </w:p>
        </w:tc>
        <w:tc>
          <w:tcPr>
            <w:tcW w:w="1695"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lang w:val="en-US" w:eastAsia="zh-CN"/>
              </w:rPr>
            </w:pPr>
            <w:r>
              <w:rPr>
                <w:rFonts w:hint="eastAsia" w:ascii="Times New Roman" w:hAnsi="Times New Roman" w:eastAsia="宋体" w:cs="Times New Roman"/>
                <w:b w:val="0"/>
                <w:bCs/>
                <w:snapToGrid w:val="0"/>
                <w:color w:val="auto"/>
                <w:kern w:val="21"/>
                <w:sz w:val="24"/>
                <w:szCs w:val="24"/>
                <w:highlight w:val="none"/>
                <w:lang w:val="en-US" w:eastAsia="zh-CN"/>
              </w:rPr>
              <w:t>0.576t/a</w:t>
            </w: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71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eastAsia" w:ascii="Times New Roman" w:hAnsi="Times New Roman" w:eastAsia="宋体" w:cs="Times New Roman"/>
                <w:b w:val="0"/>
                <w:bCs/>
                <w:snapToGrid w:val="0"/>
                <w:color w:val="auto"/>
                <w:kern w:val="21"/>
                <w:sz w:val="24"/>
                <w:szCs w:val="24"/>
                <w:highlight w:val="none"/>
                <w:lang w:val="en-US" w:eastAsia="zh-CN"/>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545" w:type="dxa"/>
            <w:noWrap w:val="0"/>
            <w:vAlign w:val="center"/>
          </w:tcPr>
          <w:p>
            <w:pPr>
              <w:adjustRightInd w:val="0"/>
              <w:snapToGrid w:val="0"/>
              <w:jc w:val="center"/>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cs="Times New Roman"/>
                <w:b w:val="0"/>
                <w:bCs/>
                <w:snapToGrid w:val="0"/>
                <w:color w:val="auto"/>
                <w:kern w:val="21"/>
                <w:sz w:val="24"/>
                <w:szCs w:val="24"/>
                <w:highlight w:val="none"/>
                <w:lang w:val="en-US" w:eastAsia="zh-CN" w:bidi="ar-SA"/>
              </w:rPr>
              <w:t>0.7949</w:t>
            </w:r>
            <w:r>
              <w:rPr>
                <w:rFonts w:hint="eastAsia" w:ascii="Times New Roman" w:hAnsi="Times New Roman" w:eastAsia="宋体" w:cs="Times New Roman"/>
                <w:b w:val="0"/>
                <w:bCs/>
                <w:snapToGrid w:val="0"/>
                <w:color w:val="auto"/>
                <w:kern w:val="21"/>
                <w:sz w:val="24"/>
                <w:szCs w:val="24"/>
                <w:highlight w:val="none"/>
                <w:lang w:val="en-US" w:eastAsia="zh-CN" w:bidi="ar-SA"/>
              </w:rPr>
              <w:t>t/a</w:t>
            </w:r>
          </w:p>
        </w:tc>
        <w:tc>
          <w:tcPr>
            <w:tcW w:w="165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eastAsia"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bidi="ar-SA"/>
              </w:rPr>
              <w:t>0</w:t>
            </w:r>
          </w:p>
        </w:tc>
        <w:tc>
          <w:tcPr>
            <w:tcW w:w="18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cs="Times New Roman"/>
                <w:b w:val="0"/>
                <w:bCs/>
                <w:snapToGrid w:val="0"/>
                <w:color w:val="auto"/>
                <w:kern w:val="21"/>
                <w:sz w:val="24"/>
                <w:szCs w:val="24"/>
                <w:highlight w:val="none"/>
                <w:lang w:val="en-US" w:eastAsia="zh-CN" w:bidi="ar-SA"/>
              </w:rPr>
              <w:t>1.3709</w:t>
            </w:r>
            <w:r>
              <w:rPr>
                <w:rFonts w:hint="eastAsia" w:ascii="Times New Roman" w:hAnsi="Times New Roman" w:eastAsia="宋体" w:cs="Times New Roman"/>
                <w:b w:val="0"/>
                <w:bCs/>
                <w:snapToGrid w:val="0"/>
                <w:color w:val="auto"/>
                <w:kern w:val="21"/>
                <w:sz w:val="24"/>
                <w:szCs w:val="24"/>
                <w:highlight w:val="none"/>
                <w:lang w:val="en-US" w:eastAsia="zh-CN" w:bidi="ar-SA"/>
              </w:rPr>
              <w:t>t/a</w:t>
            </w:r>
          </w:p>
        </w:tc>
        <w:tc>
          <w:tcPr>
            <w:tcW w:w="1296" w:type="dxa"/>
            <w:noWrap w:val="0"/>
            <w:vAlign w:val="center"/>
          </w:tcPr>
          <w:p>
            <w:pPr>
              <w:adjustRightInd w:val="0"/>
              <w:snapToGrid w:val="0"/>
              <w:jc w:val="center"/>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cs="Times New Roman"/>
                <w:b w:val="0"/>
                <w:bCs/>
                <w:snapToGrid w:val="0"/>
                <w:color w:val="auto"/>
                <w:kern w:val="21"/>
                <w:sz w:val="24"/>
                <w:szCs w:val="24"/>
                <w:highlight w:val="none"/>
                <w:lang w:val="en-US" w:eastAsia="zh-CN" w:bidi="ar-SA"/>
              </w:rPr>
              <w:t>+0.7949</w:t>
            </w:r>
            <w:r>
              <w:rPr>
                <w:rFonts w:hint="eastAsia" w:ascii="Times New Roman" w:hAnsi="Times New Roman" w:eastAsia="宋体" w:cs="Times New Roman"/>
                <w:b w:val="0"/>
                <w:bCs/>
                <w:snapToGrid w:val="0"/>
                <w:color w:val="auto"/>
                <w:kern w:val="21"/>
                <w:sz w:val="24"/>
                <w:szCs w:val="24"/>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lang w:val="en-US" w:eastAsia="zh-CN"/>
              </w:rPr>
            </w:pPr>
            <w:r>
              <w:rPr>
                <w:rFonts w:hint="eastAsia" w:ascii="Times New Roman" w:hAnsi="Times New Roman" w:eastAsia="宋体" w:cs="Times New Roman"/>
                <w:b w:val="0"/>
                <w:bCs/>
                <w:snapToGrid w:val="0"/>
                <w:color w:val="auto"/>
                <w:kern w:val="21"/>
                <w:sz w:val="24"/>
                <w:szCs w:val="24"/>
                <w:highlight w:val="none"/>
                <w:lang w:val="en-US" w:eastAsia="zh-CN"/>
              </w:rPr>
              <w:t>油炸油烟</w:t>
            </w:r>
          </w:p>
        </w:tc>
        <w:tc>
          <w:tcPr>
            <w:tcW w:w="1695"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lang w:val="en-US" w:eastAsia="zh-CN"/>
              </w:rPr>
            </w:pPr>
            <w:r>
              <w:rPr>
                <w:rFonts w:hint="eastAsia" w:cs="Times New Roman"/>
                <w:b w:val="0"/>
                <w:bCs/>
                <w:snapToGrid w:val="0"/>
                <w:color w:val="auto"/>
                <w:kern w:val="21"/>
                <w:sz w:val="24"/>
                <w:szCs w:val="24"/>
                <w:highlight w:val="none"/>
                <w:lang w:val="en-US" w:eastAsia="zh-CN"/>
              </w:rPr>
              <w:t>0.0117</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71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eastAsia" w:ascii="Times New Roman" w:hAnsi="Times New Roman" w:eastAsia="宋体" w:cs="Times New Roman"/>
                <w:b w:val="0"/>
                <w:bCs/>
                <w:snapToGrid w:val="0"/>
                <w:color w:val="auto"/>
                <w:kern w:val="21"/>
                <w:sz w:val="24"/>
                <w:szCs w:val="24"/>
                <w:highlight w:val="none"/>
                <w:lang w:val="en-US" w:eastAsia="zh-CN"/>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54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cs="Times New Roman"/>
                <w:b w:val="0"/>
                <w:bCs/>
                <w:snapToGrid w:val="0"/>
                <w:color w:val="auto"/>
                <w:kern w:val="21"/>
                <w:sz w:val="24"/>
                <w:szCs w:val="24"/>
                <w:highlight w:val="none"/>
                <w:lang w:val="en-US" w:eastAsia="zh-CN" w:bidi="ar-SA"/>
              </w:rPr>
              <w:t>0.0023</w:t>
            </w:r>
            <w:r>
              <w:rPr>
                <w:rFonts w:hint="eastAsia" w:ascii="Times New Roman" w:hAnsi="Times New Roman" w:eastAsia="宋体" w:cs="Times New Roman"/>
                <w:b w:val="0"/>
                <w:bCs/>
                <w:snapToGrid w:val="0"/>
                <w:color w:val="auto"/>
                <w:kern w:val="21"/>
                <w:sz w:val="24"/>
                <w:szCs w:val="24"/>
                <w:highlight w:val="none"/>
                <w:lang w:val="en-US" w:eastAsia="zh-CN" w:bidi="ar-SA"/>
              </w:rPr>
              <w:t>t/a</w:t>
            </w:r>
          </w:p>
        </w:tc>
        <w:tc>
          <w:tcPr>
            <w:tcW w:w="165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eastAsia"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bidi="ar-SA"/>
              </w:rPr>
              <w:t>0</w:t>
            </w:r>
          </w:p>
        </w:tc>
        <w:tc>
          <w:tcPr>
            <w:tcW w:w="18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bidi="ar-SA"/>
              </w:rPr>
              <w:t>0.</w:t>
            </w:r>
            <w:r>
              <w:rPr>
                <w:rFonts w:hint="eastAsia" w:cs="Times New Roman"/>
                <w:b w:val="0"/>
                <w:bCs/>
                <w:snapToGrid w:val="0"/>
                <w:color w:val="auto"/>
                <w:kern w:val="21"/>
                <w:sz w:val="24"/>
                <w:szCs w:val="24"/>
                <w:highlight w:val="none"/>
                <w:lang w:val="en-US" w:eastAsia="zh-CN" w:bidi="ar-SA"/>
              </w:rPr>
              <w:t>014</w:t>
            </w:r>
            <w:r>
              <w:rPr>
                <w:rFonts w:hint="eastAsia" w:ascii="Times New Roman" w:hAnsi="Times New Roman" w:eastAsia="宋体" w:cs="Times New Roman"/>
                <w:b w:val="0"/>
                <w:bCs/>
                <w:snapToGrid w:val="0"/>
                <w:color w:val="auto"/>
                <w:kern w:val="21"/>
                <w:sz w:val="24"/>
                <w:szCs w:val="24"/>
                <w:highlight w:val="none"/>
                <w:lang w:val="en-US" w:eastAsia="zh-CN" w:bidi="ar-SA"/>
              </w:rPr>
              <w:t>t/a</w:t>
            </w:r>
          </w:p>
        </w:tc>
        <w:tc>
          <w:tcPr>
            <w:tcW w:w="12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bidi="ar-SA"/>
              </w:rPr>
              <w:t>+0.00</w:t>
            </w:r>
            <w:r>
              <w:rPr>
                <w:rFonts w:hint="eastAsia" w:cs="Times New Roman"/>
                <w:b w:val="0"/>
                <w:bCs/>
                <w:snapToGrid w:val="0"/>
                <w:color w:val="auto"/>
                <w:kern w:val="21"/>
                <w:sz w:val="24"/>
                <w:szCs w:val="24"/>
                <w:highlight w:val="none"/>
                <w:lang w:val="en-US" w:eastAsia="zh-CN" w:bidi="ar-SA"/>
              </w:rPr>
              <w:t>23</w:t>
            </w:r>
            <w:r>
              <w:rPr>
                <w:rFonts w:hint="eastAsia" w:ascii="Times New Roman" w:hAnsi="Times New Roman" w:eastAsia="宋体" w:cs="Times New Roman"/>
                <w:b w:val="0"/>
                <w:bCs/>
                <w:snapToGrid w:val="0"/>
                <w:color w:val="auto"/>
                <w:kern w:val="21"/>
                <w:sz w:val="24"/>
                <w:szCs w:val="24"/>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eastAsia" w:ascii="Times New Roman" w:hAnsi="Times New Roman" w:eastAsia="宋体" w:cs="Times New Roman"/>
                <w:b w:val="0"/>
                <w:bCs/>
                <w:snapToGrid w:val="0"/>
                <w:color w:val="auto"/>
                <w:kern w:val="21"/>
                <w:sz w:val="24"/>
                <w:szCs w:val="24"/>
                <w:highlight w:val="none"/>
                <w:lang w:eastAsia="zh-CN"/>
              </w:rPr>
            </w:pPr>
            <w:r>
              <w:rPr>
                <w:rFonts w:hint="eastAsia" w:ascii="Times New Roman" w:hAnsi="Times New Roman" w:eastAsia="宋体" w:cs="Times New Roman"/>
                <w:b w:val="0"/>
                <w:bCs/>
                <w:snapToGrid w:val="0"/>
                <w:color w:val="auto"/>
                <w:kern w:val="21"/>
                <w:sz w:val="24"/>
                <w:szCs w:val="24"/>
                <w:highlight w:val="none"/>
                <w:lang w:eastAsia="zh-CN"/>
              </w:rPr>
              <w:t>食堂油烟</w:t>
            </w:r>
          </w:p>
        </w:tc>
        <w:tc>
          <w:tcPr>
            <w:tcW w:w="1695"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lang w:val="en-US" w:eastAsia="zh-CN"/>
              </w:rPr>
            </w:pPr>
            <w:r>
              <w:rPr>
                <w:rFonts w:hint="eastAsia" w:ascii="Times New Roman" w:hAnsi="Times New Roman" w:eastAsia="宋体" w:cs="Times New Roman"/>
                <w:b w:val="0"/>
                <w:bCs/>
                <w:snapToGrid w:val="0"/>
                <w:color w:val="auto"/>
                <w:kern w:val="21"/>
                <w:sz w:val="24"/>
                <w:szCs w:val="24"/>
                <w:highlight w:val="none"/>
                <w:lang w:val="en-US" w:eastAsia="zh-CN"/>
              </w:rPr>
              <w:t>0.006t/a</w:t>
            </w: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71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lang w:val="en-US" w:eastAsia="zh-CN"/>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545"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lang w:val="en-US" w:eastAsia="zh-CN"/>
              </w:rPr>
            </w:pPr>
            <w:r>
              <w:rPr>
                <w:rFonts w:hint="eastAsia" w:ascii="Times New Roman" w:hAnsi="Times New Roman" w:eastAsia="宋体" w:cs="Times New Roman"/>
                <w:b w:val="0"/>
                <w:bCs/>
                <w:snapToGrid w:val="0"/>
                <w:color w:val="auto"/>
                <w:kern w:val="21"/>
                <w:sz w:val="24"/>
                <w:szCs w:val="24"/>
                <w:highlight w:val="none"/>
                <w:lang w:val="en-US" w:eastAsia="zh-CN"/>
              </w:rPr>
              <w:t>0.002t/a</w:t>
            </w:r>
          </w:p>
        </w:tc>
        <w:tc>
          <w:tcPr>
            <w:tcW w:w="165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eastAsia" w:ascii="Times New Roman" w:hAnsi="Times New Roman" w:eastAsia="宋体" w:cs="Times New Roman"/>
                <w:b w:val="0"/>
                <w:bCs/>
                <w:snapToGrid w:val="0"/>
                <w:color w:val="auto"/>
                <w:kern w:val="21"/>
                <w:sz w:val="24"/>
                <w:szCs w:val="24"/>
                <w:highlight w:val="none"/>
                <w:lang w:val="en-US" w:eastAsia="zh-CN"/>
              </w:rPr>
            </w:pPr>
            <w:r>
              <w:rPr>
                <w:rFonts w:hint="eastAsia" w:ascii="Times New Roman" w:hAnsi="Times New Roman" w:eastAsia="宋体" w:cs="Times New Roman"/>
                <w:b w:val="0"/>
                <w:bCs/>
                <w:snapToGrid w:val="0"/>
                <w:color w:val="auto"/>
                <w:kern w:val="21"/>
                <w:sz w:val="24"/>
                <w:szCs w:val="24"/>
                <w:highlight w:val="none"/>
                <w:lang w:val="en-US" w:eastAsia="zh-CN"/>
              </w:rPr>
              <w:t>0</w:t>
            </w:r>
          </w:p>
        </w:tc>
        <w:tc>
          <w:tcPr>
            <w:tcW w:w="183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lang w:val="en-US" w:eastAsia="zh-CN"/>
              </w:rPr>
            </w:pPr>
            <w:r>
              <w:rPr>
                <w:rFonts w:hint="eastAsia" w:ascii="Times New Roman" w:hAnsi="Times New Roman" w:eastAsia="宋体" w:cs="Times New Roman"/>
                <w:b w:val="0"/>
                <w:bCs/>
                <w:snapToGrid w:val="0"/>
                <w:color w:val="auto"/>
                <w:kern w:val="21"/>
                <w:sz w:val="24"/>
                <w:szCs w:val="24"/>
                <w:highlight w:val="none"/>
                <w:lang w:val="en-US" w:eastAsia="zh-CN"/>
              </w:rPr>
              <w:t>0.008t/a</w:t>
            </w:r>
          </w:p>
        </w:tc>
        <w:tc>
          <w:tcPr>
            <w:tcW w:w="1296"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lang w:val="en-US" w:eastAsia="zh-CN"/>
              </w:rPr>
            </w:pPr>
            <w:r>
              <w:rPr>
                <w:rFonts w:hint="eastAsia" w:ascii="Times New Roman" w:hAnsi="Times New Roman" w:eastAsia="宋体" w:cs="Times New Roman"/>
                <w:b w:val="0"/>
                <w:bCs/>
                <w:snapToGrid w:val="0"/>
                <w:color w:val="auto"/>
                <w:kern w:val="21"/>
                <w:sz w:val="24"/>
                <w:szCs w:val="24"/>
                <w:highlight w:val="none"/>
                <w:lang w:val="en-US" w:eastAsia="zh-CN"/>
              </w:rPr>
              <w:t>+0.002t/a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restar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r>
              <w:rPr>
                <w:rFonts w:hint="default" w:ascii="Times New Roman" w:hAnsi="Times New Roman" w:eastAsia="宋体" w:cs="Times New Roman"/>
                <w:b w:val="0"/>
                <w:bCs/>
                <w:snapToGrid w:val="0"/>
                <w:color w:val="auto"/>
                <w:kern w:val="21"/>
                <w:sz w:val="24"/>
                <w:szCs w:val="24"/>
                <w:highlight w:val="none"/>
              </w:rPr>
              <w:t>废水</w:t>
            </w:r>
          </w:p>
        </w:tc>
        <w:tc>
          <w:tcPr>
            <w:tcW w:w="1380" w:type="dxa"/>
            <w:noWrap w:val="0"/>
            <w:vAlign w:val="center"/>
          </w:tcPr>
          <w:p>
            <w:pPr>
              <w:pStyle w:val="10"/>
              <w:adjustRightInd/>
              <w:snapToGrid/>
              <w:spacing w:line="240" w:lineRule="auto"/>
              <w:ind w:left="0" w:leftChars="0" w:right="0" w:rightChars="0" w:firstLine="0" w:firstLineChars="0"/>
              <w:jc w:val="center"/>
              <w:rPr>
                <w:rFonts w:hint="default" w:ascii="Times New Roman"/>
                <w:color w:val="auto"/>
                <w:sz w:val="24"/>
                <w:szCs w:val="24"/>
                <w:highlight w:val="none"/>
                <w:lang w:val="en-US" w:eastAsia="zh-CN"/>
              </w:rPr>
            </w:pPr>
            <w:r>
              <w:rPr>
                <w:rFonts w:hint="eastAsia" w:ascii="Times New Roman"/>
                <w:color w:val="auto"/>
                <w:sz w:val="24"/>
                <w:szCs w:val="24"/>
                <w:highlight w:val="none"/>
                <w:lang w:val="en-US" w:eastAsia="zh-CN"/>
              </w:rPr>
              <w:t>废水量</w:t>
            </w:r>
          </w:p>
        </w:tc>
        <w:tc>
          <w:tcPr>
            <w:tcW w:w="16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lang w:val="en-US" w:eastAsia="zh-CN"/>
              </w:rPr>
              <w:t>75000</w:t>
            </w:r>
            <w:r>
              <w:rPr>
                <w:rFonts w:hint="eastAsia" w:cs="Times New Roman"/>
                <w:color w:val="auto"/>
                <w:sz w:val="24"/>
                <w:szCs w:val="24"/>
                <w:highlight w:val="none"/>
                <w:lang w:val="en-US" w:eastAsia="zh-CN"/>
              </w:rPr>
              <w:t>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vertAlign w:val="baseline"/>
                <w:lang w:val="en-US" w:eastAsia="zh-CN"/>
              </w:rPr>
              <w:t>/a</w:t>
            </w:r>
          </w:p>
        </w:tc>
        <w:tc>
          <w:tcPr>
            <w:tcW w:w="138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141640m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vertAlign w:val="baseline"/>
                <w:lang w:val="en-US" w:eastAsia="zh-CN"/>
              </w:rPr>
              <w:t>/a</w:t>
            </w:r>
          </w:p>
        </w:tc>
        <w:tc>
          <w:tcPr>
            <w:tcW w:w="171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textAlignment w:val="auto"/>
              <w:rPr>
                <w:rFonts w:hint="default" w:ascii="Times New Roman" w:hAnsi="Times New Roman" w:eastAsia="宋体" w:cs="Times New Roman"/>
                <w:b w:val="0"/>
                <w:bCs/>
                <w:snapToGrid w:val="0"/>
                <w:color w:val="auto"/>
                <w:kern w:val="21"/>
                <w:sz w:val="24"/>
                <w:szCs w:val="24"/>
                <w:highlight w:val="none"/>
                <w:lang w:val="en-US" w:eastAsia="zh-CN"/>
              </w:rPr>
            </w:pPr>
            <w:r>
              <w:rPr>
                <w:rFonts w:hint="eastAsia" w:cs="Times New Roman"/>
                <w:b w:val="0"/>
                <w:bCs/>
                <w:snapToGrid w:val="0"/>
                <w:color w:val="auto"/>
                <w:kern w:val="21"/>
                <w:sz w:val="24"/>
                <w:szCs w:val="24"/>
                <w:highlight w:val="none"/>
                <w:lang w:val="en-US" w:eastAsia="zh-CN"/>
              </w:rPr>
              <w:t>/</w:t>
            </w:r>
          </w:p>
        </w:tc>
        <w:tc>
          <w:tcPr>
            <w:tcW w:w="154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27722.3m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vertAlign w:val="baseline"/>
                <w:lang w:val="en-US" w:eastAsia="zh-CN"/>
              </w:rPr>
              <w:t>/a</w:t>
            </w:r>
          </w:p>
        </w:tc>
        <w:tc>
          <w:tcPr>
            <w:tcW w:w="165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textAlignment w:val="auto"/>
              <w:rPr>
                <w:rFonts w:hint="default" w:ascii="Times New Roman" w:hAnsi="Times New Roman" w:eastAsia="宋体" w:cs="Times New Roman"/>
                <w:b w:val="0"/>
                <w:bCs/>
                <w:snapToGrid w:val="0"/>
                <w:color w:val="auto"/>
                <w:kern w:val="21"/>
                <w:sz w:val="24"/>
                <w:szCs w:val="24"/>
                <w:highlight w:val="none"/>
                <w:lang w:val="en-US" w:eastAsia="zh-CN"/>
              </w:rPr>
            </w:pPr>
            <w:r>
              <w:rPr>
                <w:rFonts w:hint="eastAsia" w:cs="Times New Roman"/>
                <w:b w:val="0"/>
                <w:bCs/>
                <w:snapToGrid w:val="0"/>
                <w:color w:val="auto"/>
                <w:kern w:val="21"/>
                <w:sz w:val="24"/>
                <w:szCs w:val="24"/>
                <w:highlight w:val="none"/>
                <w:lang w:val="en-US" w:eastAsia="zh-CN"/>
              </w:rPr>
              <w:t>0</w:t>
            </w:r>
          </w:p>
        </w:tc>
        <w:tc>
          <w:tcPr>
            <w:tcW w:w="183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lang w:val="en-US" w:eastAsia="zh-CN"/>
              </w:rPr>
            </w:pPr>
            <w:r>
              <w:rPr>
                <w:rFonts w:hint="eastAsia" w:ascii="Times New Roman" w:hAnsi="Times New Roman" w:eastAsia="宋体" w:cs="Times New Roman"/>
                <w:b w:val="0"/>
                <w:bCs/>
                <w:snapToGrid w:val="0"/>
                <w:color w:val="auto"/>
                <w:kern w:val="21"/>
                <w:sz w:val="24"/>
                <w:szCs w:val="24"/>
                <w:highlight w:val="none"/>
                <w:lang w:val="en-US" w:eastAsia="zh-CN"/>
              </w:rPr>
              <w:t>102722.3</w:t>
            </w:r>
            <w:r>
              <w:rPr>
                <w:rFonts w:hint="eastAsia" w:cs="Times New Roman"/>
                <w:b w:val="0"/>
                <w:bCs/>
                <w:color w:val="auto"/>
                <w:sz w:val="24"/>
                <w:szCs w:val="24"/>
                <w:highlight w:val="none"/>
                <w:lang w:val="en-US" w:eastAsia="zh-CN"/>
              </w:rPr>
              <w:t>m</w:t>
            </w:r>
            <w:r>
              <w:rPr>
                <w:rFonts w:hint="eastAsia" w:cs="Times New Roman"/>
                <w:b w:val="0"/>
                <w:bCs/>
                <w:color w:val="auto"/>
                <w:sz w:val="24"/>
                <w:szCs w:val="24"/>
                <w:highlight w:val="none"/>
                <w:vertAlign w:val="superscript"/>
                <w:lang w:val="en-US" w:eastAsia="zh-CN"/>
              </w:rPr>
              <w:t>3</w:t>
            </w:r>
            <w:r>
              <w:rPr>
                <w:rFonts w:hint="eastAsia" w:cs="Times New Roman"/>
                <w:b w:val="0"/>
                <w:bCs/>
                <w:color w:val="auto"/>
                <w:sz w:val="24"/>
                <w:szCs w:val="24"/>
                <w:highlight w:val="none"/>
                <w:vertAlign w:val="baseline"/>
                <w:lang w:val="en-US" w:eastAsia="zh-CN"/>
              </w:rPr>
              <w:t>/a</w:t>
            </w:r>
          </w:p>
        </w:tc>
        <w:tc>
          <w:tcPr>
            <w:tcW w:w="1296"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eastAsia" w:ascii="Times New Roman" w:hAnsi="Times New Roman" w:eastAsia="宋体" w:cs="Times New Roman"/>
                <w:b w:val="0"/>
                <w:bCs/>
                <w:snapToGrid w:val="0"/>
                <w:color w:val="auto"/>
                <w:kern w:val="21"/>
                <w:sz w:val="24"/>
                <w:szCs w:val="24"/>
                <w:highlight w:val="none"/>
                <w:lang w:val="en-US" w:eastAsia="zh-CN"/>
              </w:rPr>
            </w:pPr>
            <w:r>
              <w:rPr>
                <w:rFonts w:hint="eastAsia" w:ascii="Times New Roman" w:hAnsi="Times New Roman" w:eastAsia="宋体" w:cs="Times New Roman"/>
                <w:b w:val="0"/>
                <w:bCs/>
                <w:snapToGrid w:val="0"/>
                <w:color w:val="auto"/>
                <w:kern w:val="21"/>
                <w:sz w:val="24"/>
                <w:szCs w:val="24"/>
                <w:highlight w:val="none"/>
                <w:lang w:val="en-US" w:eastAsia="zh-CN" w:bidi="ar-SA"/>
              </w:rPr>
              <w:t>+27722.3</w:t>
            </w:r>
            <w:r>
              <w:rPr>
                <w:rFonts w:hint="eastAsia" w:cs="Times New Roman"/>
                <w:b w:val="0"/>
                <w:bCs/>
                <w:color w:val="auto"/>
                <w:sz w:val="24"/>
                <w:szCs w:val="24"/>
                <w:highlight w:val="none"/>
                <w:lang w:val="en-US" w:eastAsia="zh-CN"/>
              </w:rPr>
              <w:t>m</w:t>
            </w:r>
            <w:r>
              <w:rPr>
                <w:rFonts w:hint="eastAsia" w:cs="Times New Roman"/>
                <w:b w:val="0"/>
                <w:bCs/>
                <w:color w:val="auto"/>
                <w:sz w:val="24"/>
                <w:szCs w:val="24"/>
                <w:highlight w:val="none"/>
                <w:vertAlign w:val="superscript"/>
                <w:lang w:val="en-US" w:eastAsia="zh-CN"/>
              </w:rPr>
              <w:t>3</w:t>
            </w:r>
            <w:r>
              <w:rPr>
                <w:rFonts w:hint="eastAsia" w:cs="Times New Roman"/>
                <w:b w:val="0"/>
                <w:bCs/>
                <w:color w:val="auto"/>
                <w:sz w:val="24"/>
                <w:szCs w:val="24"/>
                <w:highlight w:val="none"/>
                <w:vertAlign w:val="baseline"/>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p>
        </w:tc>
        <w:tc>
          <w:tcPr>
            <w:tcW w:w="1380" w:type="dxa"/>
            <w:noWrap w:val="0"/>
            <w:vAlign w:val="center"/>
          </w:tcPr>
          <w:p>
            <w:pPr>
              <w:pStyle w:val="10"/>
              <w:adjustRightInd/>
              <w:snapToGrid/>
              <w:spacing w:line="240" w:lineRule="auto"/>
              <w:ind w:left="0" w:leftChars="0" w:right="0" w:rightChars="0" w:firstLine="0" w:firstLineChars="0"/>
              <w:jc w:val="center"/>
              <w:rPr>
                <w:rFonts w:hint="default" w:ascii="Times New Roman" w:hAnsi="Times New Roman" w:eastAsia="宋体" w:cs="Times New Roman"/>
                <w:b w:val="0"/>
                <w:bCs/>
                <w:snapToGrid w:val="0"/>
                <w:color w:val="auto"/>
                <w:kern w:val="21"/>
                <w:sz w:val="24"/>
                <w:szCs w:val="24"/>
                <w:highlight w:val="none"/>
              </w:rPr>
            </w:pPr>
            <w:r>
              <w:rPr>
                <w:rFonts w:hint="eastAsia" w:ascii="Times New Roman"/>
                <w:color w:val="auto"/>
                <w:sz w:val="24"/>
                <w:szCs w:val="24"/>
                <w:highlight w:val="none"/>
                <w:lang w:val="en-US" w:eastAsia="zh-CN"/>
              </w:rPr>
              <w:t>COD</w:t>
            </w:r>
          </w:p>
        </w:tc>
        <w:tc>
          <w:tcPr>
            <w:tcW w:w="1695" w:type="dxa"/>
            <w:noWrap w:val="0"/>
            <w:vAlign w:val="center"/>
          </w:tcPr>
          <w:p>
            <w:pPr>
              <w:adjustRightInd w:val="0"/>
              <w:snapToGrid w:val="0"/>
              <w:jc w:val="center"/>
              <w:rPr>
                <w:rFonts w:hint="default" w:ascii="Times New Roman" w:hAnsi="Times New Roman" w:eastAsia="宋体" w:cs="Times New Roman"/>
                <w:b w:val="0"/>
                <w:bCs/>
                <w:snapToGrid w:val="0"/>
                <w:color w:val="auto"/>
                <w:kern w:val="21"/>
                <w:sz w:val="24"/>
                <w:szCs w:val="24"/>
                <w:highlight w:val="none"/>
              </w:rPr>
            </w:pPr>
            <w:r>
              <w:rPr>
                <w:rFonts w:hint="eastAsia" w:cs="Times New Roman"/>
                <w:color w:val="auto"/>
                <w:sz w:val="24"/>
                <w:szCs w:val="24"/>
                <w:highlight w:val="none"/>
                <w:lang w:val="en-US" w:eastAsia="zh-CN"/>
              </w:rPr>
              <w:t>10.275</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380" w:type="dxa"/>
            <w:noWrap w:val="0"/>
            <w:vAlign w:val="center"/>
          </w:tcPr>
          <w:p>
            <w:pPr>
              <w:adjustRightInd w:val="0"/>
              <w:snapToGrid w:val="0"/>
              <w:jc w:val="center"/>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72.5</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71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545" w:type="dxa"/>
            <w:noWrap w:val="0"/>
            <w:vAlign w:val="center"/>
          </w:tcPr>
          <w:p>
            <w:pPr>
              <w:adjustRightInd w:val="0"/>
              <w:snapToGrid w:val="0"/>
              <w:jc w:val="center"/>
              <w:rPr>
                <w:rFonts w:hint="default" w:ascii="Times New Roman" w:hAnsi="Times New Roman" w:eastAsia="宋体" w:cs="Times New Roman"/>
                <w:b w:val="0"/>
                <w:bCs/>
                <w:snapToGrid w:val="0"/>
                <w:color w:val="auto"/>
                <w:kern w:val="21"/>
                <w:sz w:val="24"/>
                <w:szCs w:val="24"/>
                <w:highlight w:val="none"/>
              </w:rPr>
            </w:pPr>
            <w:r>
              <w:rPr>
                <w:rFonts w:hint="default" w:ascii="Times New Roman" w:hAnsi="Times New Roman" w:eastAsia="宋体" w:cs="Times New Roman"/>
                <w:color w:val="auto"/>
                <w:sz w:val="24"/>
                <w:szCs w:val="24"/>
                <w:highlight w:val="none"/>
                <w:lang w:val="en-US" w:eastAsia="zh-CN"/>
              </w:rPr>
              <w:t>13.</w:t>
            </w:r>
            <w:r>
              <w:rPr>
                <w:rFonts w:hint="eastAsia" w:cs="Times New Roman"/>
                <w:color w:val="auto"/>
                <w:sz w:val="24"/>
                <w:szCs w:val="24"/>
                <w:highlight w:val="none"/>
                <w:lang w:val="en-US" w:eastAsia="zh-CN"/>
              </w:rPr>
              <w:t>8612</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65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0</w:t>
            </w:r>
          </w:p>
        </w:tc>
        <w:tc>
          <w:tcPr>
            <w:tcW w:w="18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21"/>
                <w:sz w:val="24"/>
                <w:szCs w:val="24"/>
                <w:highlight w:val="none"/>
              </w:rPr>
            </w:pPr>
            <w:r>
              <w:rPr>
                <w:rFonts w:hint="eastAsia" w:cs="Times New Roman"/>
                <w:i w:val="0"/>
                <w:iCs w:val="0"/>
                <w:color w:val="auto"/>
                <w:kern w:val="0"/>
                <w:sz w:val="24"/>
                <w:szCs w:val="24"/>
                <w:highlight w:val="none"/>
                <w:u w:val="none"/>
                <w:lang w:val="en-US" w:eastAsia="zh-CN" w:bidi="ar"/>
              </w:rPr>
              <w:t>24.1362</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296" w:type="dxa"/>
            <w:noWrap w:val="0"/>
            <w:vAlign w:val="center"/>
          </w:tcPr>
          <w:p>
            <w:pPr>
              <w:adjustRightInd w:val="0"/>
              <w:snapToGrid w:val="0"/>
              <w:jc w:val="center"/>
              <w:rPr>
                <w:rFonts w:hint="default" w:ascii="Times New Roman" w:hAnsi="Times New Roman" w:eastAsia="宋体" w:cs="Times New Roman"/>
                <w:b w:val="0"/>
                <w:bCs/>
                <w:snapToGrid w:val="0"/>
                <w:color w:val="auto"/>
                <w:kern w:val="21"/>
                <w:sz w:val="24"/>
                <w:szCs w:val="24"/>
                <w:highlight w:val="none"/>
              </w:rPr>
            </w:pP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13.</w:t>
            </w:r>
            <w:r>
              <w:rPr>
                <w:rFonts w:hint="eastAsia" w:cs="Times New Roman"/>
                <w:color w:val="auto"/>
                <w:sz w:val="24"/>
                <w:szCs w:val="24"/>
                <w:highlight w:val="none"/>
                <w:lang w:val="en-US" w:eastAsia="zh-CN"/>
              </w:rPr>
              <w:t>8612</w:t>
            </w:r>
            <w:r>
              <w:rPr>
                <w:rFonts w:hint="eastAsia" w:ascii="Times New Roman" w:hAnsi="Times New Roman" w:eastAsia="宋体" w:cs="Times New Roman"/>
                <w:b w:val="0"/>
                <w:bCs/>
                <w:snapToGrid w:val="0"/>
                <w:color w:val="auto"/>
                <w:kern w:val="21"/>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p>
        </w:tc>
        <w:tc>
          <w:tcPr>
            <w:tcW w:w="1380" w:type="dxa"/>
            <w:noWrap w:val="0"/>
            <w:vAlign w:val="center"/>
          </w:tcPr>
          <w:p>
            <w:pPr>
              <w:pStyle w:val="10"/>
              <w:adjustRightInd/>
              <w:snapToGrid/>
              <w:spacing w:line="240" w:lineRule="auto"/>
              <w:ind w:left="0" w:leftChars="0" w:right="0" w:rightChars="0" w:firstLine="0" w:firstLineChars="0"/>
              <w:jc w:val="center"/>
              <w:rPr>
                <w:rFonts w:hint="default" w:ascii="Times New Roman" w:hAnsi="Times New Roman" w:eastAsia="宋体" w:cs="Times New Roman"/>
                <w:b w:val="0"/>
                <w:bCs/>
                <w:snapToGrid w:val="0"/>
                <w:color w:val="auto"/>
                <w:kern w:val="21"/>
                <w:sz w:val="24"/>
                <w:szCs w:val="24"/>
                <w:highlight w:val="none"/>
              </w:rPr>
            </w:pPr>
            <w:r>
              <w:rPr>
                <w:rFonts w:hint="eastAsia" w:ascii="Times New Roman"/>
                <w:color w:val="auto"/>
                <w:sz w:val="24"/>
                <w:szCs w:val="24"/>
                <w:highlight w:val="none"/>
              </w:rPr>
              <w:t>NH</w:t>
            </w:r>
            <w:r>
              <w:rPr>
                <w:rFonts w:hint="eastAsia" w:ascii="Times New Roman"/>
                <w:color w:val="auto"/>
                <w:sz w:val="24"/>
                <w:szCs w:val="24"/>
                <w:highlight w:val="none"/>
                <w:vertAlign w:val="subscript"/>
              </w:rPr>
              <w:t>3</w:t>
            </w:r>
            <w:r>
              <w:rPr>
                <w:rFonts w:hint="eastAsia" w:ascii="Times New Roman"/>
                <w:color w:val="auto"/>
                <w:sz w:val="24"/>
                <w:szCs w:val="24"/>
                <w:highlight w:val="none"/>
              </w:rPr>
              <w:t>-N</w:t>
            </w:r>
          </w:p>
        </w:tc>
        <w:tc>
          <w:tcPr>
            <w:tcW w:w="1695" w:type="dxa"/>
            <w:noWrap w:val="0"/>
            <w:vAlign w:val="center"/>
          </w:tcPr>
          <w:p>
            <w:pPr>
              <w:adjustRightInd w:val="0"/>
              <w:snapToGrid w:val="0"/>
              <w:jc w:val="center"/>
              <w:rPr>
                <w:rFonts w:hint="default" w:ascii="Times New Roman" w:hAnsi="Times New Roman" w:eastAsia="宋体" w:cs="Times New Roman"/>
                <w:b w:val="0"/>
                <w:bCs/>
                <w:snapToGrid w:val="0"/>
                <w:color w:val="auto"/>
                <w:kern w:val="21"/>
                <w:sz w:val="24"/>
                <w:szCs w:val="24"/>
                <w:highlight w:val="none"/>
              </w:rPr>
            </w:pPr>
            <w:r>
              <w:rPr>
                <w:rFonts w:hint="eastAsia" w:cs="Times New Roman"/>
                <w:color w:val="auto"/>
                <w:sz w:val="24"/>
                <w:szCs w:val="24"/>
                <w:highlight w:val="none"/>
                <w:lang w:val="en-US" w:eastAsia="zh-CN"/>
              </w:rPr>
              <w:t>1.29</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380" w:type="dxa"/>
            <w:noWrap w:val="0"/>
            <w:vAlign w:val="center"/>
          </w:tcPr>
          <w:p>
            <w:pPr>
              <w:adjustRightInd w:val="0"/>
              <w:snapToGrid w:val="0"/>
              <w:jc w:val="center"/>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6.525</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71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545" w:type="dxa"/>
            <w:noWrap w:val="0"/>
            <w:vAlign w:val="center"/>
          </w:tcPr>
          <w:p>
            <w:pPr>
              <w:adjustRightInd w:val="0"/>
              <w:snapToGrid w:val="0"/>
              <w:jc w:val="center"/>
              <w:rPr>
                <w:rFonts w:hint="default" w:ascii="Times New Roman" w:hAnsi="Times New Roman" w:eastAsia="宋体" w:cs="Times New Roman"/>
                <w:b w:val="0"/>
                <w:bCs/>
                <w:snapToGrid w:val="0"/>
                <w:color w:val="auto"/>
                <w:kern w:val="21"/>
                <w:sz w:val="24"/>
                <w:szCs w:val="24"/>
                <w:highlight w:val="none"/>
              </w:rPr>
            </w:pPr>
            <w:r>
              <w:rPr>
                <w:rFonts w:hint="eastAsia"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2475</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65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0</w:t>
            </w:r>
          </w:p>
        </w:tc>
        <w:tc>
          <w:tcPr>
            <w:tcW w:w="18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21"/>
                <w:sz w:val="24"/>
                <w:szCs w:val="24"/>
                <w:highlight w:val="none"/>
              </w:rPr>
            </w:pPr>
            <w:r>
              <w:rPr>
                <w:rFonts w:hint="eastAsia" w:cs="Times New Roman"/>
                <w:b w:val="0"/>
                <w:bCs/>
                <w:snapToGrid w:val="0"/>
                <w:color w:val="auto"/>
                <w:kern w:val="21"/>
                <w:sz w:val="24"/>
                <w:szCs w:val="24"/>
                <w:highlight w:val="none"/>
                <w:lang w:val="en-US" w:eastAsia="zh-CN"/>
              </w:rPr>
              <w:t>2.5375</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296" w:type="dxa"/>
            <w:noWrap w:val="0"/>
            <w:vAlign w:val="center"/>
          </w:tcPr>
          <w:p>
            <w:pPr>
              <w:adjustRightInd w:val="0"/>
              <w:snapToGrid w:val="0"/>
              <w:jc w:val="center"/>
              <w:rPr>
                <w:rFonts w:hint="default" w:ascii="Times New Roman" w:hAnsi="Times New Roman" w:eastAsia="宋体" w:cs="Times New Roman"/>
                <w:b w:val="0"/>
                <w:bCs/>
                <w:snapToGrid w:val="0"/>
                <w:color w:val="auto"/>
                <w:kern w:val="21"/>
                <w:sz w:val="24"/>
                <w:szCs w:val="24"/>
                <w:highlight w:val="none"/>
              </w:rPr>
            </w:pP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2475</w:t>
            </w:r>
            <w:r>
              <w:rPr>
                <w:rFonts w:hint="eastAsia" w:ascii="Times New Roman" w:hAnsi="Times New Roman" w:eastAsia="宋体" w:cs="Times New Roman"/>
                <w:b w:val="0"/>
                <w:bCs/>
                <w:snapToGrid w:val="0"/>
                <w:color w:val="auto"/>
                <w:kern w:val="21"/>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p>
        </w:tc>
        <w:tc>
          <w:tcPr>
            <w:tcW w:w="1380" w:type="dxa"/>
            <w:noWrap w:val="0"/>
            <w:vAlign w:val="center"/>
          </w:tcPr>
          <w:p>
            <w:pPr>
              <w:pStyle w:val="10"/>
              <w:adjustRightInd/>
              <w:snapToGrid/>
              <w:spacing w:line="240" w:lineRule="auto"/>
              <w:ind w:left="0" w:leftChars="0" w:right="0" w:rightChars="0" w:firstLine="0" w:firstLineChars="0"/>
              <w:jc w:val="center"/>
              <w:rPr>
                <w:rFonts w:hint="default" w:ascii="Times New Roman" w:hAnsi="Times New Roman" w:eastAsia="宋体" w:cs="Times New Roman"/>
                <w:b w:val="0"/>
                <w:bCs/>
                <w:snapToGrid w:val="0"/>
                <w:color w:val="auto"/>
                <w:kern w:val="21"/>
                <w:sz w:val="24"/>
                <w:szCs w:val="24"/>
                <w:highlight w:val="none"/>
              </w:rPr>
            </w:pPr>
            <w:r>
              <w:rPr>
                <w:rFonts w:hint="eastAsia" w:ascii="Times New Roman"/>
                <w:color w:val="auto"/>
                <w:sz w:val="24"/>
                <w:szCs w:val="24"/>
                <w:highlight w:val="none"/>
                <w:lang w:val="en-US" w:eastAsia="zh-CN"/>
              </w:rPr>
              <w:t>TP</w:t>
            </w:r>
          </w:p>
        </w:tc>
        <w:tc>
          <w:tcPr>
            <w:tcW w:w="1695" w:type="dxa"/>
            <w:noWrap w:val="0"/>
            <w:vAlign w:val="center"/>
          </w:tcPr>
          <w:p>
            <w:pPr>
              <w:adjustRightInd w:val="0"/>
              <w:snapToGrid w:val="0"/>
              <w:jc w:val="center"/>
              <w:rPr>
                <w:rFonts w:hint="default" w:ascii="Times New Roman" w:hAnsi="Times New Roman" w:eastAsia="宋体" w:cs="Times New Roman"/>
                <w:b w:val="0"/>
                <w:bCs/>
                <w:snapToGrid w:val="0"/>
                <w:color w:val="auto"/>
                <w:kern w:val="21"/>
                <w:sz w:val="24"/>
                <w:szCs w:val="24"/>
                <w:highlight w:val="none"/>
              </w:rPr>
            </w:pPr>
            <w:r>
              <w:rPr>
                <w:rFonts w:hint="eastAsia" w:cs="Times New Roman"/>
                <w:color w:val="auto"/>
                <w:sz w:val="24"/>
                <w:szCs w:val="24"/>
                <w:highlight w:val="none"/>
                <w:lang w:val="en-US" w:eastAsia="zh-CN"/>
              </w:rPr>
              <w:t>0.2408</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71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545" w:type="dxa"/>
            <w:noWrap w:val="0"/>
            <w:vAlign w:val="center"/>
          </w:tcPr>
          <w:p>
            <w:pPr>
              <w:adjustRightInd w:val="0"/>
              <w:snapToGrid w:val="0"/>
              <w:jc w:val="center"/>
              <w:rPr>
                <w:rFonts w:hint="default" w:ascii="Times New Roman" w:hAnsi="Times New Roman" w:eastAsia="宋体" w:cs="Times New Roman"/>
                <w:b w:val="0"/>
                <w:bCs/>
                <w:snapToGrid w:val="0"/>
                <w:color w:val="auto"/>
                <w:kern w:val="21"/>
                <w:sz w:val="24"/>
                <w:szCs w:val="24"/>
                <w:highlight w:val="none"/>
              </w:rPr>
            </w:pPr>
            <w:r>
              <w:rPr>
                <w:rFonts w:hint="eastAsia" w:ascii="Times New Roman" w:hAnsi="Times New Roman" w:eastAsia="宋体" w:cs="Times New Roman"/>
                <w:color w:val="auto"/>
                <w:sz w:val="24"/>
                <w:szCs w:val="24"/>
                <w:highlight w:val="none"/>
                <w:lang w:val="en-US" w:eastAsia="zh-CN"/>
              </w:rPr>
              <w:t>0.2</w:t>
            </w:r>
            <w:r>
              <w:rPr>
                <w:rFonts w:hint="eastAsia" w:cs="Times New Roman"/>
                <w:color w:val="auto"/>
                <w:sz w:val="24"/>
                <w:szCs w:val="24"/>
                <w:highlight w:val="none"/>
                <w:lang w:val="en-US" w:eastAsia="zh-CN"/>
              </w:rPr>
              <w:t>218</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65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0</w:t>
            </w:r>
          </w:p>
        </w:tc>
        <w:tc>
          <w:tcPr>
            <w:tcW w:w="18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21"/>
                <w:sz w:val="24"/>
                <w:szCs w:val="24"/>
                <w:highlight w:val="none"/>
              </w:rPr>
            </w:pPr>
            <w:r>
              <w:rPr>
                <w:rFonts w:hint="eastAsia" w:cs="Times New Roman"/>
                <w:i w:val="0"/>
                <w:iCs w:val="0"/>
                <w:color w:val="auto"/>
                <w:kern w:val="0"/>
                <w:sz w:val="24"/>
                <w:szCs w:val="24"/>
                <w:highlight w:val="none"/>
                <w:u w:val="none"/>
                <w:lang w:val="en-US" w:eastAsia="zh-CN" w:bidi="ar"/>
              </w:rPr>
              <w:t>0.4626</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296" w:type="dxa"/>
            <w:noWrap w:val="0"/>
            <w:vAlign w:val="center"/>
          </w:tcPr>
          <w:p>
            <w:pPr>
              <w:adjustRightInd w:val="0"/>
              <w:snapToGrid w:val="0"/>
              <w:jc w:val="center"/>
              <w:rPr>
                <w:rFonts w:hint="default" w:ascii="Times New Roman" w:hAnsi="Times New Roman" w:eastAsia="宋体" w:cs="Times New Roman"/>
                <w:b w:val="0"/>
                <w:bCs/>
                <w:snapToGrid w:val="0"/>
                <w:color w:val="auto"/>
                <w:kern w:val="21"/>
                <w:sz w:val="24"/>
                <w:szCs w:val="24"/>
                <w:highlight w:val="none"/>
              </w:rPr>
            </w:pP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0.2</w:t>
            </w:r>
            <w:r>
              <w:rPr>
                <w:rFonts w:hint="eastAsia" w:cs="Times New Roman"/>
                <w:color w:val="auto"/>
                <w:sz w:val="24"/>
                <w:szCs w:val="24"/>
                <w:highlight w:val="none"/>
                <w:lang w:val="en-US" w:eastAsia="zh-CN"/>
              </w:rPr>
              <w:t>218</w:t>
            </w:r>
            <w:r>
              <w:rPr>
                <w:rFonts w:hint="eastAsia" w:ascii="Times New Roman" w:hAnsi="Times New Roman" w:eastAsia="宋体" w:cs="Times New Roman"/>
                <w:b w:val="0"/>
                <w:bCs/>
                <w:snapToGrid w:val="0"/>
                <w:color w:val="auto"/>
                <w:kern w:val="21"/>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restar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r>
              <w:rPr>
                <w:rFonts w:hint="default" w:ascii="Times New Roman" w:hAnsi="Times New Roman" w:eastAsia="宋体" w:cs="Times New Roman"/>
                <w:b w:val="0"/>
                <w:bCs/>
                <w:snapToGrid w:val="0"/>
                <w:color w:val="auto"/>
                <w:kern w:val="21"/>
                <w:sz w:val="24"/>
                <w:szCs w:val="24"/>
                <w:highlight w:val="none"/>
              </w:rPr>
              <w:t>一般工业固体废物</w:t>
            </w:r>
          </w:p>
        </w:tc>
        <w:tc>
          <w:tcPr>
            <w:tcW w:w="138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生活垃圾</w:t>
            </w:r>
          </w:p>
        </w:tc>
        <w:tc>
          <w:tcPr>
            <w:tcW w:w="16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19.8</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71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54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12</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65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p>
        </w:tc>
        <w:tc>
          <w:tcPr>
            <w:tcW w:w="183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31.8</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296"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+12</w:t>
            </w:r>
            <w:r>
              <w:rPr>
                <w:rFonts w:hint="eastAsia" w:ascii="Times New Roman" w:hAnsi="Times New Roman" w:eastAsia="宋体" w:cs="Times New Roman"/>
                <w:b w:val="0"/>
                <w:bCs/>
                <w:snapToGrid w:val="0"/>
                <w:color w:val="auto"/>
                <w:kern w:val="21"/>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p>
        </w:tc>
        <w:tc>
          <w:tcPr>
            <w:tcW w:w="138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废包装材料</w:t>
            </w:r>
          </w:p>
        </w:tc>
        <w:tc>
          <w:tcPr>
            <w:tcW w:w="16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10.2</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71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54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65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p>
        </w:tc>
        <w:tc>
          <w:tcPr>
            <w:tcW w:w="183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15.2</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296"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b w:val="0"/>
                <w:bCs/>
                <w:snapToGrid w:val="0"/>
                <w:color w:val="auto"/>
                <w:kern w:val="21"/>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p>
        </w:tc>
        <w:tc>
          <w:tcPr>
            <w:tcW w:w="138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不合格品</w:t>
            </w:r>
          </w:p>
        </w:tc>
        <w:tc>
          <w:tcPr>
            <w:tcW w:w="16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4</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71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54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1.75</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65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p>
        </w:tc>
        <w:tc>
          <w:tcPr>
            <w:tcW w:w="183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5.75</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296"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1.75</w:t>
            </w:r>
            <w:r>
              <w:rPr>
                <w:rFonts w:hint="eastAsia" w:ascii="Times New Roman" w:hAnsi="Times New Roman" w:eastAsia="宋体" w:cs="Times New Roman"/>
                <w:b w:val="0"/>
                <w:bCs/>
                <w:snapToGrid w:val="0"/>
                <w:color w:val="auto"/>
                <w:kern w:val="21"/>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p>
        </w:tc>
        <w:tc>
          <w:tcPr>
            <w:tcW w:w="138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餐厨垃圾及隔油池废油</w:t>
            </w:r>
          </w:p>
        </w:tc>
        <w:tc>
          <w:tcPr>
            <w:tcW w:w="16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71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54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12.8</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65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p>
        </w:tc>
        <w:tc>
          <w:tcPr>
            <w:tcW w:w="183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32.8</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296"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+12.8</w:t>
            </w:r>
            <w:r>
              <w:rPr>
                <w:rFonts w:hint="eastAsia" w:ascii="Times New Roman" w:hAnsi="Times New Roman" w:eastAsia="宋体" w:cs="Times New Roman"/>
                <w:b w:val="0"/>
                <w:bCs/>
                <w:snapToGrid w:val="0"/>
                <w:color w:val="auto"/>
                <w:kern w:val="21"/>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p>
        </w:tc>
        <w:tc>
          <w:tcPr>
            <w:tcW w:w="138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废植物油</w:t>
            </w:r>
          </w:p>
        </w:tc>
        <w:tc>
          <w:tcPr>
            <w:tcW w:w="16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25</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71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54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15</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65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p>
        </w:tc>
        <w:tc>
          <w:tcPr>
            <w:tcW w:w="183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40</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296"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+15</w:t>
            </w:r>
            <w:r>
              <w:rPr>
                <w:rFonts w:hint="eastAsia" w:ascii="Times New Roman" w:hAnsi="Times New Roman" w:eastAsia="宋体" w:cs="Times New Roman"/>
                <w:b w:val="0"/>
                <w:bCs/>
                <w:snapToGrid w:val="0"/>
                <w:color w:val="auto"/>
                <w:kern w:val="21"/>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p>
        </w:tc>
        <w:tc>
          <w:tcPr>
            <w:tcW w:w="138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废油纸</w:t>
            </w:r>
          </w:p>
        </w:tc>
        <w:tc>
          <w:tcPr>
            <w:tcW w:w="16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0.1</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71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54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0.05</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65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p>
        </w:tc>
        <w:tc>
          <w:tcPr>
            <w:tcW w:w="183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0.15</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296"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+0.05</w:t>
            </w:r>
            <w:r>
              <w:rPr>
                <w:rFonts w:hint="eastAsia" w:ascii="Times New Roman" w:hAnsi="Times New Roman" w:eastAsia="宋体" w:cs="Times New Roman"/>
                <w:b w:val="0"/>
                <w:bCs/>
                <w:snapToGrid w:val="0"/>
                <w:color w:val="auto"/>
                <w:kern w:val="21"/>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p>
        </w:tc>
        <w:tc>
          <w:tcPr>
            <w:tcW w:w="138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栅渣</w:t>
            </w:r>
          </w:p>
        </w:tc>
        <w:tc>
          <w:tcPr>
            <w:tcW w:w="16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71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54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65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p>
        </w:tc>
        <w:tc>
          <w:tcPr>
            <w:tcW w:w="183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296"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b w:val="0"/>
                <w:bCs/>
                <w:snapToGrid w:val="0"/>
                <w:color w:val="auto"/>
                <w:kern w:val="21"/>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p>
        </w:tc>
        <w:tc>
          <w:tcPr>
            <w:tcW w:w="138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污泥</w:t>
            </w:r>
          </w:p>
        </w:tc>
        <w:tc>
          <w:tcPr>
            <w:tcW w:w="16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6</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71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54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val="0"/>
                <w:bCs/>
                <w:snapToGrid w:val="0"/>
                <w:color w:val="auto"/>
                <w:kern w:val="21"/>
                <w:sz w:val="24"/>
                <w:szCs w:val="24"/>
                <w:highlight w:val="none"/>
                <w:lang w:val="en-US" w:eastAsia="zh-CN"/>
              </w:rPr>
              <w:t>2.2</w:t>
            </w:r>
            <w:r>
              <w:rPr>
                <w:rFonts w:hint="eastAsia" w:cs="Times New Roman"/>
                <w:b w:val="0"/>
                <w:bCs/>
                <w:snapToGrid w:val="0"/>
                <w:color w:val="auto"/>
                <w:kern w:val="21"/>
                <w:sz w:val="24"/>
                <w:szCs w:val="24"/>
                <w:highlight w:val="none"/>
                <w:lang w:val="en-US" w:eastAsia="zh-CN"/>
              </w:rPr>
              <w:t>2</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65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p>
        </w:tc>
        <w:tc>
          <w:tcPr>
            <w:tcW w:w="183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b w:val="0"/>
                <w:bCs/>
                <w:snapToGrid w:val="0"/>
                <w:color w:val="auto"/>
                <w:kern w:val="21"/>
                <w:sz w:val="24"/>
                <w:szCs w:val="24"/>
                <w:highlight w:val="none"/>
                <w:lang w:val="en-US" w:eastAsia="zh-CN"/>
              </w:rPr>
              <w:t>8.22</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296"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+2.2</w:t>
            </w:r>
            <w:r>
              <w:rPr>
                <w:rFonts w:hint="eastAsia" w:cs="Times New Roman"/>
                <w:color w:val="auto"/>
                <w:sz w:val="24"/>
                <w:szCs w:val="24"/>
                <w:highlight w:val="none"/>
                <w:lang w:val="en-US" w:eastAsia="zh-CN"/>
              </w:rPr>
              <w:t>2</w:t>
            </w:r>
            <w:r>
              <w:rPr>
                <w:rFonts w:hint="eastAsia" w:ascii="Times New Roman" w:hAnsi="Times New Roman" w:eastAsia="宋体" w:cs="Times New Roman"/>
                <w:b w:val="0"/>
                <w:bCs/>
                <w:snapToGrid w:val="0"/>
                <w:color w:val="auto"/>
                <w:kern w:val="21"/>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p>
        </w:tc>
        <w:tc>
          <w:tcPr>
            <w:tcW w:w="138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废离子交换树脂</w:t>
            </w:r>
          </w:p>
        </w:tc>
        <w:tc>
          <w:tcPr>
            <w:tcW w:w="16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71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54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0.5</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65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p>
        </w:tc>
        <w:tc>
          <w:tcPr>
            <w:tcW w:w="183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1.5</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296"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+0.5</w:t>
            </w:r>
            <w:r>
              <w:rPr>
                <w:rFonts w:hint="eastAsia" w:ascii="Times New Roman" w:hAnsi="Times New Roman" w:eastAsia="宋体" w:cs="Times New Roman"/>
                <w:b w:val="0"/>
                <w:bCs/>
                <w:snapToGrid w:val="0"/>
                <w:color w:val="auto"/>
                <w:kern w:val="21"/>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restart"/>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r>
              <w:rPr>
                <w:rFonts w:hint="default" w:ascii="Times New Roman" w:hAnsi="Times New Roman" w:eastAsia="宋体" w:cs="Times New Roman"/>
                <w:b w:val="0"/>
                <w:bCs/>
                <w:snapToGrid w:val="0"/>
                <w:color w:val="auto"/>
                <w:kern w:val="21"/>
                <w:sz w:val="24"/>
                <w:szCs w:val="24"/>
                <w:highlight w:val="none"/>
              </w:rPr>
              <w:t>危险废物</w:t>
            </w:r>
          </w:p>
        </w:tc>
        <w:tc>
          <w:tcPr>
            <w:tcW w:w="138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废机油</w:t>
            </w:r>
          </w:p>
        </w:tc>
        <w:tc>
          <w:tcPr>
            <w:tcW w:w="16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0.07</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71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54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0.03</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65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p>
        </w:tc>
        <w:tc>
          <w:tcPr>
            <w:tcW w:w="183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0.1</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296"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+0.03</w:t>
            </w:r>
            <w:r>
              <w:rPr>
                <w:rFonts w:hint="eastAsia" w:ascii="Times New Roman" w:hAnsi="Times New Roman" w:eastAsia="宋体" w:cs="Times New Roman"/>
                <w:b w:val="0"/>
                <w:bCs/>
                <w:snapToGrid w:val="0"/>
                <w:color w:val="auto"/>
                <w:kern w:val="21"/>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continue"/>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p>
        </w:tc>
        <w:tc>
          <w:tcPr>
            <w:tcW w:w="138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废机油桶</w:t>
            </w:r>
          </w:p>
        </w:tc>
        <w:tc>
          <w:tcPr>
            <w:tcW w:w="169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0.02</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38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710" w:type="dxa"/>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154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0.01</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65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p>
        </w:tc>
        <w:tc>
          <w:tcPr>
            <w:tcW w:w="1830"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0.03</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1296"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+0.01</w:t>
            </w:r>
            <w:r>
              <w:rPr>
                <w:rFonts w:hint="eastAsia" w:ascii="Times New Roman" w:hAnsi="Times New Roman" w:eastAsia="宋体" w:cs="Times New Roman"/>
                <w:b w:val="0"/>
                <w:bCs/>
                <w:snapToGrid w:val="0"/>
                <w:color w:val="auto"/>
                <w:kern w:val="21"/>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continue"/>
            <w:noWrap w:val="0"/>
            <w:vAlign w:val="top"/>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废含油抹布、手套</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0.02</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0" w:type="auto"/>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0" w:type="auto"/>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snapToGrid w:val="0"/>
                <w:color w:val="auto"/>
                <w:kern w:val="21"/>
                <w:sz w:val="24"/>
                <w:szCs w:val="24"/>
                <w:highlight w:val="none"/>
                <w:lang w:val="en-US" w:eastAsia="zh-CN" w:bidi="ar-SA"/>
              </w:rPr>
            </w:pPr>
            <w:r>
              <w:rPr>
                <w:rFonts w:hint="eastAsia" w:ascii="Times New Roman" w:hAnsi="Times New Roman" w:eastAsia="宋体" w:cs="Times New Roman"/>
                <w:b w:val="0"/>
                <w:bCs/>
                <w:snapToGrid w:val="0"/>
                <w:color w:val="auto"/>
                <w:kern w:val="21"/>
                <w:sz w:val="24"/>
                <w:szCs w:val="24"/>
                <w:highlight w:val="none"/>
                <w:lang w:val="en-US" w:eastAsia="zh-CN"/>
              </w:rPr>
              <w:t>/</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0.01</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0.03</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+0.01</w:t>
            </w:r>
            <w:r>
              <w:rPr>
                <w:rFonts w:hint="eastAsia" w:ascii="Times New Roman" w:hAnsi="Times New Roman" w:eastAsia="宋体" w:cs="Times New Roman"/>
                <w:b w:val="0"/>
                <w:bCs/>
                <w:snapToGrid w:val="0"/>
                <w:color w:val="auto"/>
                <w:kern w:val="21"/>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continue"/>
            <w:noWrap w:val="0"/>
            <w:vAlign w:val="top"/>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废无尘布</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0.02</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0" w:type="auto"/>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0.01</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0.03</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+0.01</w:t>
            </w:r>
            <w:r>
              <w:rPr>
                <w:rFonts w:hint="eastAsia" w:ascii="Times New Roman" w:hAnsi="Times New Roman" w:eastAsia="宋体" w:cs="Times New Roman"/>
                <w:b w:val="0"/>
                <w:bCs/>
                <w:snapToGrid w:val="0"/>
                <w:color w:val="auto"/>
                <w:kern w:val="21"/>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continue"/>
            <w:noWrap w:val="0"/>
            <w:vAlign w:val="top"/>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沾染危险物质的废包装物</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0.3</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0" w:type="auto"/>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0.15</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0.45</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+0.15</w:t>
            </w:r>
            <w:r>
              <w:rPr>
                <w:rFonts w:hint="eastAsia" w:ascii="Times New Roman" w:hAnsi="Times New Roman" w:eastAsia="宋体" w:cs="Times New Roman"/>
                <w:b w:val="0"/>
                <w:bCs/>
                <w:snapToGrid w:val="0"/>
                <w:color w:val="auto"/>
                <w:kern w:val="21"/>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2" w:type="dxa"/>
            <w:vMerge w:val="continue"/>
            <w:noWrap w:val="0"/>
            <w:vAlign w:val="top"/>
          </w:tcPr>
          <w:p>
            <w:pPr>
              <w:pStyle w:val="41"/>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textAlignment w:val="auto"/>
              <w:rPr>
                <w:rFonts w:hint="default" w:ascii="Times New Roman" w:hAnsi="Times New Roman" w:eastAsia="宋体" w:cs="Times New Roman"/>
                <w:b w:val="0"/>
                <w:bCs/>
                <w:snapToGrid w:val="0"/>
                <w:color w:val="auto"/>
                <w:kern w:val="21"/>
                <w:sz w:val="24"/>
                <w:szCs w:val="24"/>
                <w:highlight w:val="none"/>
              </w:rPr>
            </w:pP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实验废液</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1.5</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0" w:type="auto"/>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0.78</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2.28</w:t>
            </w:r>
            <w:r>
              <w:rPr>
                <w:rFonts w:hint="eastAsia" w:ascii="Times New Roman" w:hAnsi="Times New Roman" w:eastAsia="宋体" w:cs="Times New Roman"/>
                <w:b w:val="0"/>
                <w:bCs/>
                <w:snapToGrid w:val="0"/>
                <w:color w:val="auto"/>
                <w:kern w:val="21"/>
                <w:sz w:val="24"/>
                <w:szCs w:val="24"/>
                <w:highlight w:val="none"/>
                <w:lang w:val="en-US" w:eastAsia="zh-CN"/>
              </w:rPr>
              <w:t>t/a</w:t>
            </w:r>
          </w:p>
        </w:tc>
        <w:tc>
          <w:tcPr>
            <w:tcW w:w="0" w:type="auto"/>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+0.78</w:t>
            </w:r>
            <w:r>
              <w:rPr>
                <w:rFonts w:hint="eastAsia" w:ascii="Times New Roman" w:hAnsi="Times New Roman" w:eastAsia="宋体" w:cs="Times New Roman"/>
                <w:b w:val="0"/>
                <w:bCs/>
                <w:snapToGrid w:val="0"/>
                <w:color w:val="auto"/>
                <w:kern w:val="21"/>
                <w:sz w:val="24"/>
                <w:szCs w:val="24"/>
                <w:highlight w:val="none"/>
                <w:lang w:val="en-US" w:eastAsia="zh-CN"/>
              </w:rPr>
              <w:t>t/a</w:t>
            </w:r>
          </w:p>
        </w:tc>
      </w:tr>
    </w:tbl>
    <w:p>
      <w:pPr>
        <w:pStyle w:val="41"/>
        <w:spacing w:before="192" w:beforeLines="80" w:after="24"/>
        <w:jc w:val="left"/>
        <w:rPr>
          <w:rFonts w:ascii="宋体" w:hAnsi="宋体" w:eastAsia="黑体"/>
          <w:b w:val="0"/>
          <w:bCs/>
          <w:color w:val="auto"/>
          <w:highlight w:val="none"/>
        </w:rPr>
      </w:pPr>
      <w:r>
        <w:rPr>
          <w:rFonts w:hAnsi="宋体"/>
          <w:b w:val="0"/>
          <w:bCs/>
          <w:snapToGrid w:val="0"/>
          <w:color w:val="auto"/>
          <w:kern w:val="21"/>
          <w:szCs w:val="21"/>
          <w:highlight w:val="none"/>
        </w:rPr>
        <w:t>注：</w:t>
      </w:r>
      <w:r>
        <w:rPr>
          <w:rFonts w:hAnsi="宋体"/>
          <w:b w:val="0"/>
          <w:bCs/>
          <w:snapToGrid w:val="0"/>
          <w:color w:val="auto"/>
          <w:spacing w:val="-16"/>
          <w:kern w:val="21"/>
          <w:szCs w:val="21"/>
          <w:highlight w:val="none"/>
        </w:rPr>
        <w:fldChar w:fldCharType="begin"/>
      </w:r>
      <w:r>
        <w:rPr>
          <w:rFonts w:hAnsi="宋体"/>
          <w:b w:val="0"/>
          <w:bCs/>
          <w:snapToGrid w:val="0"/>
          <w:color w:val="auto"/>
          <w:spacing w:val="-16"/>
          <w:kern w:val="21"/>
          <w:szCs w:val="21"/>
          <w:highlight w:val="none"/>
        </w:rPr>
        <w:instrText xml:space="preserve"> = 6 \* GB3 \* MERGEFORMAT </w:instrText>
      </w:r>
      <w:r>
        <w:rPr>
          <w:rFonts w:hAnsi="宋体"/>
          <w:b w:val="0"/>
          <w:bCs/>
          <w:snapToGrid w:val="0"/>
          <w:color w:val="auto"/>
          <w:spacing w:val="-16"/>
          <w:kern w:val="21"/>
          <w:szCs w:val="21"/>
          <w:highlight w:val="none"/>
        </w:rPr>
        <w:fldChar w:fldCharType="separate"/>
      </w:r>
      <w:r>
        <w:rPr>
          <w:rFonts w:hint="eastAsia" w:hAnsi="宋体"/>
          <w:b w:val="0"/>
          <w:bCs/>
          <w:color w:val="auto"/>
          <w:szCs w:val="21"/>
          <w:highlight w:val="none"/>
        </w:rPr>
        <w:t>⑥</w:t>
      </w:r>
      <w:r>
        <w:rPr>
          <w:rFonts w:hAnsi="宋体"/>
          <w:b w:val="0"/>
          <w:bCs/>
          <w:snapToGrid w:val="0"/>
          <w:color w:val="auto"/>
          <w:spacing w:val="-16"/>
          <w:kern w:val="21"/>
          <w:szCs w:val="21"/>
          <w:highlight w:val="none"/>
        </w:rPr>
        <w:fldChar w:fldCharType="end"/>
      </w:r>
      <w:r>
        <w:rPr>
          <w:rFonts w:hAnsi="宋体"/>
          <w:b w:val="0"/>
          <w:bCs/>
          <w:snapToGrid w:val="0"/>
          <w:color w:val="auto"/>
          <w:spacing w:val="-16"/>
          <w:kern w:val="21"/>
          <w:szCs w:val="21"/>
          <w:highlight w:val="none"/>
        </w:rPr>
        <w:t>=</w:t>
      </w:r>
      <w:r>
        <w:rPr>
          <w:rFonts w:hAnsi="宋体"/>
          <w:b w:val="0"/>
          <w:bCs/>
          <w:snapToGrid w:val="0"/>
          <w:color w:val="auto"/>
          <w:spacing w:val="-6"/>
          <w:kern w:val="21"/>
          <w:szCs w:val="21"/>
          <w:highlight w:val="none"/>
        </w:rPr>
        <w:fldChar w:fldCharType="begin"/>
      </w:r>
      <w:r>
        <w:rPr>
          <w:rFonts w:hAnsi="宋体"/>
          <w:b w:val="0"/>
          <w:bCs/>
          <w:snapToGrid w:val="0"/>
          <w:color w:val="auto"/>
          <w:spacing w:val="-6"/>
          <w:kern w:val="21"/>
          <w:szCs w:val="21"/>
          <w:highlight w:val="none"/>
        </w:rPr>
        <w:instrText xml:space="preserve"> = 1 \* GB3 \* MERGEFORMAT </w:instrText>
      </w:r>
      <w:r>
        <w:rPr>
          <w:rFonts w:hAnsi="宋体"/>
          <w:b w:val="0"/>
          <w:bCs/>
          <w:snapToGrid w:val="0"/>
          <w:color w:val="auto"/>
          <w:spacing w:val="-6"/>
          <w:kern w:val="21"/>
          <w:szCs w:val="21"/>
          <w:highlight w:val="none"/>
        </w:rPr>
        <w:fldChar w:fldCharType="separate"/>
      </w:r>
      <w:r>
        <w:rPr>
          <w:rFonts w:hint="eastAsia" w:hAnsi="宋体"/>
          <w:b w:val="0"/>
          <w:bCs/>
          <w:color w:val="auto"/>
          <w:szCs w:val="21"/>
          <w:highlight w:val="none"/>
        </w:rPr>
        <w:t>①</w:t>
      </w:r>
      <w:r>
        <w:rPr>
          <w:rFonts w:hAnsi="宋体"/>
          <w:b w:val="0"/>
          <w:bCs/>
          <w:snapToGrid w:val="0"/>
          <w:color w:val="auto"/>
          <w:spacing w:val="-6"/>
          <w:kern w:val="21"/>
          <w:szCs w:val="21"/>
          <w:highlight w:val="none"/>
        </w:rPr>
        <w:fldChar w:fldCharType="end"/>
      </w:r>
      <w:r>
        <w:rPr>
          <w:rFonts w:hAnsi="宋体"/>
          <w:b w:val="0"/>
          <w:bCs/>
          <w:snapToGrid w:val="0"/>
          <w:color w:val="auto"/>
          <w:spacing w:val="-6"/>
          <w:kern w:val="21"/>
          <w:szCs w:val="21"/>
          <w:highlight w:val="none"/>
        </w:rPr>
        <w:t>+</w:t>
      </w:r>
      <w:r>
        <w:rPr>
          <w:rFonts w:hAnsi="宋体"/>
          <w:b w:val="0"/>
          <w:bCs/>
          <w:snapToGrid w:val="0"/>
          <w:color w:val="auto"/>
          <w:spacing w:val="-6"/>
          <w:kern w:val="21"/>
          <w:szCs w:val="21"/>
          <w:highlight w:val="none"/>
        </w:rPr>
        <w:fldChar w:fldCharType="begin"/>
      </w:r>
      <w:r>
        <w:rPr>
          <w:rFonts w:hAnsi="宋体"/>
          <w:b w:val="0"/>
          <w:bCs/>
          <w:snapToGrid w:val="0"/>
          <w:color w:val="auto"/>
          <w:spacing w:val="-6"/>
          <w:kern w:val="21"/>
          <w:szCs w:val="21"/>
          <w:highlight w:val="none"/>
        </w:rPr>
        <w:instrText xml:space="preserve"> = 3 \* GB3 \* MERGEFORMAT </w:instrText>
      </w:r>
      <w:r>
        <w:rPr>
          <w:rFonts w:hAnsi="宋体"/>
          <w:b w:val="0"/>
          <w:bCs/>
          <w:snapToGrid w:val="0"/>
          <w:color w:val="auto"/>
          <w:spacing w:val="-6"/>
          <w:kern w:val="21"/>
          <w:szCs w:val="21"/>
          <w:highlight w:val="none"/>
        </w:rPr>
        <w:fldChar w:fldCharType="separate"/>
      </w:r>
      <w:r>
        <w:rPr>
          <w:rFonts w:hint="eastAsia" w:hAnsi="宋体"/>
          <w:b w:val="0"/>
          <w:bCs/>
          <w:color w:val="auto"/>
          <w:szCs w:val="21"/>
          <w:highlight w:val="none"/>
        </w:rPr>
        <w:t>③</w:t>
      </w:r>
      <w:r>
        <w:rPr>
          <w:rFonts w:hAnsi="宋体"/>
          <w:b w:val="0"/>
          <w:bCs/>
          <w:snapToGrid w:val="0"/>
          <w:color w:val="auto"/>
          <w:spacing w:val="-6"/>
          <w:kern w:val="21"/>
          <w:szCs w:val="21"/>
          <w:highlight w:val="none"/>
        </w:rPr>
        <w:fldChar w:fldCharType="end"/>
      </w:r>
      <w:r>
        <w:rPr>
          <w:rFonts w:hAnsi="宋体"/>
          <w:b w:val="0"/>
          <w:bCs/>
          <w:snapToGrid w:val="0"/>
          <w:color w:val="auto"/>
          <w:spacing w:val="-6"/>
          <w:kern w:val="21"/>
          <w:szCs w:val="21"/>
          <w:highlight w:val="none"/>
        </w:rPr>
        <w:t>+</w:t>
      </w:r>
      <w:r>
        <w:rPr>
          <w:rFonts w:hAnsi="宋体"/>
          <w:b w:val="0"/>
          <w:bCs/>
          <w:snapToGrid w:val="0"/>
          <w:color w:val="auto"/>
          <w:spacing w:val="-6"/>
          <w:kern w:val="21"/>
          <w:szCs w:val="21"/>
          <w:highlight w:val="none"/>
        </w:rPr>
        <w:fldChar w:fldCharType="begin"/>
      </w:r>
      <w:r>
        <w:rPr>
          <w:rFonts w:hAnsi="宋体"/>
          <w:b w:val="0"/>
          <w:bCs/>
          <w:snapToGrid w:val="0"/>
          <w:color w:val="auto"/>
          <w:spacing w:val="-6"/>
          <w:kern w:val="21"/>
          <w:szCs w:val="21"/>
          <w:highlight w:val="none"/>
        </w:rPr>
        <w:instrText xml:space="preserve"> = 4 \* GB3 \* MERGEFORMAT </w:instrText>
      </w:r>
      <w:r>
        <w:rPr>
          <w:rFonts w:hAnsi="宋体"/>
          <w:b w:val="0"/>
          <w:bCs/>
          <w:snapToGrid w:val="0"/>
          <w:color w:val="auto"/>
          <w:spacing w:val="-6"/>
          <w:kern w:val="21"/>
          <w:szCs w:val="21"/>
          <w:highlight w:val="none"/>
        </w:rPr>
        <w:fldChar w:fldCharType="separate"/>
      </w:r>
      <w:r>
        <w:rPr>
          <w:rFonts w:hint="eastAsia" w:hAnsi="宋体"/>
          <w:b w:val="0"/>
          <w:bCs/>
          <w:color w:val="auto"/>
          <w:szCs w:val="21"/>
          <w:highlight w:val="none"/>
        </w:rPr>
        <w:t>④</w:t>
      </w:r>
      <w:r>
        <w:rPr>
          <w:rFonts w:hAnsi="宋体"/>
          <w:b w:val="0"/>
          <w:bCs/>
          <w:snapToGrid w:val="0"/>
          <w:color w:val="auto"/>
          <w:spacing w:val="-6"/>
          <w:kern w:val="21"/>
          <w:szCs w:val="21"/>
          <w:highlight w:val="none"/>
        </w:rPr>
        <w:fldChar w:fldCharType="end"/>
      </w:r>
      <w:r>
        <w:rPr>
          <w:rFonts w:hAnsi="宋体"/>
          <w:b w:val="0"/>
          <w:bCs/>
          <w:snapToGrid w:val="0"/>
          <w:color w:val="auto"/>
          <w:spacing w:val="-6"/>
          <w:kern w:val="21"/>
          <w:szCs w:val="21"/>
          <w:highlight w:val="none"/>
        </w:rPr>
        <w:t>-</w:t>
      </w:r>
      <w:r>
        <w:rPr>
          <w:rFonts w:hAnsi="宋体"/>
          <w:b w:val="0"/>
          <w:bCs/>
          <w:snapToGrid w:val="0"/>
          <w:color w:val="auto"/>
          <w:spacing w:val="-16"/>
          <w:kern w:val="21"/>
          <w:szCs w:val="21"/>
          <w:highlight w:val="none"/>
        </w:rPr>
        <w:fldChar w:fldCharType="begin"/>
      </w:r>
      <w:r>
        <w:rPr>
          <w:rFonts w:hAnsi="宋体"/>
          <w:b w:val="0"/>
          <w:bCs/>
          <w:snapToGrid w:val="0"/>
          <w:color w:val="auto"/>
          <w:spacing w:val="-16"/>
          <w:kern w:val="21"/>
          <w:szCs w:val="21"/>
          <w:highlight w:val="none"/>
        </w:rPr>
        <w:instrText xml:space="preserve"> = 5 \* GB3 \* MERGEFORMAT </w:instrText>
      </w:r>
      <w:r>
        <w:rPr>
          <w:rFonts w:hAnsi="宋体"/>
          <w:b w:val="0"/>
          <w:bCs/>
          <w:snapToGrid w:val="0"/>
          <w:color w:val="auto"/>
          <w:spacing w:val="-16"/>
          <w:kern w:val="21"/>
          <w:szCs w:val="21"/>
          <w:highlight w:val="none"/>
        </w:rPr>
        <w:fldChar w:fldCharType="separate"/>
      </w:r>
      <w:r>
        <w:rPr>
          <w:rFonts w:hint="eastAsia" w:hAnsi="宋体"/>
          <w:b w:val="0"/>
          <w:bCs/>
          <w:color w:val="auto"/>
          <w:szCs w:val="21"/>
          <w:highlight w:val="none"/>
        </w:rPr>
        <w:t>⑤</w:t>
      </w:r>
      <w:r>
        <w:rPr>
          <w:rFonts w:hAnsi="宋体"/>
          <w:b w:val="0"/>
          <w:bCs/>
          <w:snapToGrid w:val="0"/>
          <w:color w:val="auto"/>
          <w:spacing w:val="-16"/>
          <w:kern w:val="21"/>
          <w:szCs w:val="21"/>
          <w:highlight w:val="none"/>
        </w:rPr>
        <w:fldChar w:fldCharType="end"/>
      </w:r>
      <w:r>
        <w:rPr>
          <w:rFonts w:hAnsi="宋体"/>
          <w:b w:val="0"/>
          <w:bCs/>
          <w:snapToGrid w:val="0"/>
          <w:color w:val="auto"/>
          <w:spacing w:val="-16"/>
          <w:kern w:val="21"/>
          <w:szCs w:val="21"/>
          <w:highlight w:val="none"/>
        </w:rPr>
        <w:t>；</w:t>
      </w:r>
      <w:r>
        <w:rPr>
          <w:rFonts w:hAnsi="宋体"/>
          <w:b w:val="0"/>
          <w:bCs/>
          <w:snapToGrid w:val="0"/>
          <w:color w:val="auto"/>
          <w:spacing w:val="-6"/>
          <w:kern w:val="21"/>
          <w:szCs w:val="21"/>
          <w:highlight w:val="none"/>
        </w:rPr>
        <w:fldChar w:fldCharType="begin"/>
      </w:r>
      <w:r>
        <w:rPr>
          <w:rFonts w:hAnsi="宋体"/>
          <w:b w:val="0"/>
          <w:bCs/>
          <w:snapToGrid w:val="0"/>
          <w:color w:val="auto"/>
          <w:spacing w:val="-6"/>
          <w:kern w:val="21"/>
          <w:szCs w:val="21"/>
          <w:highlight w:val="none"/>
        </w:rPr>
        <w:instrText xml:space="preserve"> = 7 \* GB3 \* MERGEFORMAT </w:instrText>
      </w:r>
      <w:r>
        <w:rPr>
          <w:rFonts w:hAnsi="宋体"/>
          <w:b w:val="0"/>
          <w:bCs/>
          <w:snapToGrid w:val="0"/>
          <w:color w:val="auto"/>
          <w:spacing w:val="-6"/>
          <w:kern w:val="21"/>
          <w:szCs w:val="21"/>
          <w:highlight w:val="none"/>
        </w:rPr>
        <w:fldChar w:fldCharType="separate"/>
      </w:r>
      <w:r>
        <w:rPr>
          <w:rFonts w:hint="eastAsia" w:hAnsi="宋体"/>
          <w:b w:val="0"/>
          <w:bCs/>
          <w:color w:val="auto"/>
          <w:szCs w:val="21"/>
          <w:highlight w:val="none"/>
        </w:rPr>
        <w:t>⑦</w:t>
      </w:r>
      <w:r>
        <w:rPr>
          <w:rFonts w:hAnsi="宋体"/>
          <w:b w:val="0"/>
          <w:bCs/>
          <w:snapToGrid w:val="0"/>
          <w:color w:val="auto"/>
          <w:spacing w:val="-6"/>
          <w:kern w:val="21"/>
          <w:szCs w:val="21"/>
          <w:highlight w:val="none"/>
        </w:rPr>
        <w:fldChar w:fldCharType="end"/>
      </w:r>
      <w:r>
        <w:rPr>
          <w:rFonts w:hAnsi="宋体"/>
          <w:b w:val="0"/>
          <w:bCs/>
          <w:snapToGrid w:val="0"/>
          <w:color w:val="auto"/>
          <w:spacing w:val="-6"/>
          <w:kern w:val="21"/>
          <w:szCs w:val="21"/>
          <w:highlight w:val="none"/>
        </w:rPr>
        <w:t>=</w:t>
      </w:r>
      <w:r>
        <w:rPr>
          <w:rFonts w:hAnsi="宋体"/>
          <w:b w:val="0"/>
          <w:bCs/>
          <w:snapToGrid w:val="0"/>
          <w:color w:val="auto"/>
          <w:spacing w:val="-16"/>
          <w:kern w:val="21"/>
          <w:szCs w:val="21"/>
          <w:highlight w:val="none"/>
        </w:rPr>
        <w:fldChar w:fldCharType="begin"/>
      </w:r>
      <w:r>
        <w:rPr>
          <w:rFonts w:hAnsi="宋体"/>
          <w:b w:val="0"/>
          <w:bCs/>
          <w:snapToGrid w:val="0"/>
          <w:color w:val="auto"/>
          <w:spacing w:val="-16"/>
          <w:kern w:val="21"/>
          <w:szCs w:val="21"/>
          <w:highlight w:val="none"/>
        </w:rPr>
        <w:instrText xml:space="preserve"> = 6 \* GB3 \* MERGEFORMAT </w:instrText>
      </w:r>
      <w:r>
        <w:rPr>
          <w:rFonts w:hAnsi="宋体"/>
          <w:b w:val="0"/>
          <w:bCs/>
          <w:snapToGrid w:val="0"/>
          <w:color w:val="auto"/>
          <w:spacing w:val="-16"/>
          <w:kern w:val="21"/>
          <w:szCs w:val="21"/>
          <w:highlight w:val="none"/>
        </w:rPr>
        <w:fldChar w:fldCharType="separate"/>
      </w:r>
      <w:r>
        <w:rPr>
          <w:rFonts w:hint="eastAsia" w:hAnsi="宋体"/>
          <w:b w:val="0"/>
          <w:bCs/>
          <w:color w:val="auto"/>
          <w:szCs w:val="21"/>
          <w:highlight w:val="none"/>
        </w:rPr>
        <w:t>⑥</w:t>
      </w:r>
      <w:r>
        <w:rPr>
          <w:rFonts w:hAnsi="宋体"/>
          <w:b w:val="0"/>
          <w:bCs/>
          <w:snapToGrid w:val="0"/>
          <w:color w:val="auto"/>
          <w:spacing w:val="-16"/>
          <w:kern w:val="21"/>
          <w:szCs w:val="21"/>
          <w:highlight w:val="none"/>
        </w:rPr>
        <w:fldChar w:fldCharType="end"/>
      </w:r>
      <w:r>
        <w:rPr>
          <w:rFonts w:hAnsi="宋体"/>
          <w:b w:val="0"/>
          <w:bCs/>
          <w:snapToGrid w:val="0"/>
          <w:color w:val="auto"/>
          <w:spacing w:val="-16"/>
          <w:kern w:val="21"/>
          <w:szCs w:val="21"/>
          <w:highlight w:val="none"/>
        </w:rPr>
        <w:t>-</w:t>
      </w:r>
      <w:r>
        <w:rPr>
          <w:rFonts w:hAnsi="宋体"/>
          <w:b w:val="0"/>
          <w:bCs/>
          <w:snapToGrid w:val="0"/>
          <w:color w:val="auto"/>
          <w:spacing w:val="-6"/>
          <w:kern w:val="21"/>
          <w:szCs w:val="21"/>
          <w:highlight w:val="none"/>
        </w:rPr>
        <w:fldChar w:fldCharType="begin"/>
      </w:r>
      <w:r>
        <w:rPr>
          <w:rFonts w:hAnsi="宋体"/>
          <w:b w:val="0"/>
          <w:bCs/>
          <w:snapToGrid w:val="0"/>
          <w:color w:val="auto"/>
          <w:spacing w:val="-6"/>
          <w:kern w:val="21"/>
          <w:szCs w:val="21"/>
          <w:highlight w:val="none"/>
        </w:rPr>
        <w:instrText xml:space="preserve"> = 1 \* GB3 \* MERGEFORMAT </w:instrText>
      </w:r>
      <w:r>
        <w:rPr>
          <w:rFonts w:hAnsi="宋体"/>
          <w:b w:val="0"/>
          <w:bCs/>
          <w:snapToGrid w:val="0"/>
          <w:color w:val="auto"/>
          <w:spacing w:val="-6"/>
          <w:kern w:val="21"/>
          <w:szCs w:val="21"/>
          <w:highlight w:val="none"/>
        </w:rPr>
        <w:fldChar w:fldCharType="separate"/>
      </w:r>
      <w:r>
        <w:rPr>
          <w:rFonts w:hint="eastAsia" w:hAnsi="宋体"/>
          <w:b w:val="0"/>
          <w:bCs/>
          <w:color w:val="auto"/>
          <w:szCs w:val="21"/>
          <w:highlight w:val="none"/>
        </w:rPr>
        <w:t>①</w:t>
      </w:r>
      <w:r>
        <w:rPr>
          <w:rFonts w:hAnsi="宋体"/>
          <w:b w:val="0"/>
          <w:bCs/>
          <w:snapToGrid w:val="0"/>
          <w:color w:val="auto"/>
          <w:spacing w:val="-6"/>
          <w:kern w:val="21"/>
          <w:szCs w:val="21"/>
          <w:highlight w:val="none"/>
        </w:rPr>
        <w:fldChar w:fldCharType="end"/>
      </w:r>
    </w:p>
    <w:sectPr>
      <w:footerReference r:id="rId6" w:type="default"/>
      <w:pgSz w:w="16838" w:h="11906" w:orient="landscape"/>
      <w:pgMar w:top="1531" w:right="1701" w:bottom="1531" w:left="1701" w:header="851" w:footer="85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体">
    <w:altName w:val="宋体"/>
    <w:panose1 w:val="00000000000000000000"/>
    <w:charset w:val="86"/>
    <w:family w:val="roma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Arial Unicode MS"/>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40001" w:csb1="00000000"/>
  </w:font>
  <w:font w:name="Cambria Math">
    <w:panose1 w:val="02040503050406030204"/>
    <w:charset w:val="00"/>
    <w:family w:val="auto"/>
    <w:pitch w:val="default"/>
    <w:sig w:usb0="E00006FF" w:usb1="420024FF" w:usb2="02000000" w:usb3="00000000" w:csb0="2000019F" w:csb1="00000000"/>
  </w:font>
  <w:font w:name="TimesNewRomanPSMT">
    <w:altName w:val="Times New Roman"/>
    <w:panose1 w:val="00000000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5"/>
      </w:rPr>
    </w:pPr>
    <w:r>
      <w:fldChar w:fldCharType="begin"/>
    </w:r>
    <w:r>
      <w:rPr>
        <w:rStyle w:val="25"/>
      </w:rPr>
      <w:instrText xml:space="preserve">PAGE  </w:instrText>
    </w:r>
    <w:r>
      <w:fldChar w:fldCharType="end"/>
    </w:r>
  </w:p>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9</w:t>
    </w:r>
    <w:r>
      <w:rPr>
        <w:rStyle w:val="25"/>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p>
    <w:pPr>
      <w:pStyle w:val="17"/>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11</w:t>
                          </w:r>
                          <w:r>
                            <w:rPr>
                              <w:rStyle w:val="25"/>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EbytI/gAQAAwgMAAA4AAAAA&#10;AAAAAQAgAAAAHgEAAGRycy9lMm9Eb2MueG1sUEsFBgAAAAAGAAYAWQEAAHAFAAAAAA==&#10;">
              <v:fill on="f" focussize="0,0"/>
              <v:stroke on="f"/>
              <v:imagedata o:title=""/>
              <o:lock v:ext="edit" aspectratio="f"/>
              <v:textbox inset="0mm,0mm,0mm,0mm" style="mso-fit-shape-to-text:t;">
                <w:txbxContent>
                  <w:p>
                    <w:pPr>
                      <w:pStyle w:val="17"/>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11</w:t>
                    </w:r>
                    <w:r>
                      <w:rPr>
                        <w:rStyle w:val="25"/>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wM2JmNjM3Mzg2NDNjZWQ2ODQ4NGNlNDM3YTRkNmMifQ=="/>
    <w:docVar w:name="KSO_WPS_MARK_KEY" w:val="aec5b223-1454-4390-a16a-5911cfc06112"/>
  </w:docVars>
  <w:rsids>
    <w:rsidRoot w:val="00172A27"/>
    <w:rsid w:val="000060B3"/>
    <w:rsid w:val="000216D8"/>
    <w:rsid w:val="0004364B"/>
    <w:rsid w:val="00061B1F"/>
    <w:rsid w:val="00066EBC"/>
    <w:rsid w:val="000733C4"/>
    <w:rsid w:val="00074783"/>
    <w:rsid w:val="00076791"/>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16AB1"/>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2E6413"/>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38E4"/>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4CD"/>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57B9E"/>
    <w:rsid w:val="007618C4"/>
    <w:rsid w:val="00767980"/>
    <w:rsid w:val="00770B19"/>
    <w:rsid w:val="0077463F"/>
    <w:rsid w:val="007836EA"/>
    <w:rsid w:val="00784CDA"/>
    <w:rsid w:val="007906C4"/>
    <w:rsid w:val="007940EA"/>
    <w:rsid w:val="007967E8"/>
    <w:rsid w:val="007A2170"/>
    <w:rsid w:val="007A22BF"/>
    <w:rsid w:val="007A3323"/>
    <w:rsid w:val="007A6F63"/>
    <w:rsid w:val="007B72B8"/>
    <w:rsid w:val="007B7A58"/>
    <w:rsid w:val="007C21B5"/>
    <w:rsid w:val="007E4BD2"/>
    <w:rsid w:val="00801393"/>
    <w:rsid w:val="00802F88"/>
    <w:rsid w:val="0081293E"/>
    <w:rsid w:val="00815465"/>
    <w:rsid w:val="00817E9A"/>
    <w:rsid w:val="00830108"/>
    <w:rsid w:val="008306BD"/>
    <w:rsid w:val="00831A80"/>
    <w:rsid w:val="00833743"/>
    <w:rsid w:val="008340A4"/>
    <w:rsid w:val="0087135F"/>
    <w:rsid w:val="00872D94"/>
    <w:rsid w:val="00880364"/>
    <w:rsid w:val="00891592"/>
    <w:rsid w:val="00891E9E"/>
    <w:rsid w:val="00893877"/>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0B8D"/>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C5E6F"/>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96FF7"/>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3164E"/>
    <w:rsid w:val="012531F6"/>
    <w:rsid w:val="01290F7E"/>
    <w:rsid w:val="014955A3"/>
    <w:rsid w:val="0149727D"/>
    <w:rsid w:val="014E3892"/>
    <w:rsid w:val="015D1E09"/>
    <w:rsid w:val="01612479"/>
    <w:rsid w:val="016C07AD"/>
    <w:rsid w:val="016D1D26"/>
    <w:rsid w:val="017C65C5"/>
    <w:rsid w:val="01933A29"/>
    <w:rsid w:val="01967485"/>
    <w:rsid w:val="01A11310"/>
    <w:rsid w:val="01A7589D"/>
    <w:rsid w:val="01A77925"/>
    <w:rsid w:val="01B36BD0"/>
    <w:rsid w:val="01C128C6"/>
    <w:rsid w:val="01CD1710"/>
    <w:rsid w:val="01D152A8"/>
    <w:rsid w:val="01D95F0B"/>
    <w:rsid w:val="01DA1754"/>
    <w:rsid w:val="01DA2D9E"/>
    <w:rsid w:val="01E4236E"/>
    <w:rsid w:val="01E730A7"/>
    <w:rsid w:val="01F86854"/>
    <w:rsid w:val="020236B3"/>
    <w:rsid w:val="02025461"/>
    <w:rsid w:val="020A383A"/>
    <w:rsid w:val="020A533B"/>
    <w:rsid w:val="02180A0F"/>
    <w:rsid w:val="022C7591"/>
    <w:rsid w:val="02310126"/>
    <w:rsid w:val="02353A89"/>
    <w:rsid w:val="02386BD3"/>
    <w:rsid w:val="023E0FE9"/>
    <w:rsid w:val="02444E5B"/>
    <w:rsid w:val="02447B65"/>
    <w:rsid w:val="024F1F6E"/>
    <w:rsid w:val="026507F7"/>
    <w:rsid w:val="02697903"/>
    <w:rsid w:val="026A2F71"/>
    <w:rsid w:val="029D518A"/>
    <w:rsid w:val="02A242C8"/>
    <w:rsid w:val="02AC72AB"/>
    <w:rsid w:val="02AC7DD9"/>
    <w:rsid w:val="02AE00E7"/>
    <w:rsid w:val="02B04EBD"/>
    <w:rsid w:val="02B50332"/>
    <w:rsid w:val="02C24BF1"/>
    <w:rsid w:val="02DD1D38"/>
    <w:rsid w:val="02DE7C7D"/>
    <w:rsid w:val="02E00DDD"/>
    <w:rsid w:val="02E32D09"/>
    <w:rsid w:val="02E42DB9"/>
    <w:rsid w:val="02E828A9"/>
    <w:rsid w:val="02F14CE7"/>
    <w:rsid w:val="02F73DEE"/>
    <w:rsid w:val="02F96569"/>
    <w:rsid w:val="03085DD0"/>
    <w:rsid w:val="030B2604"/>
    <w:rsid w:val="03107E22"/>
    <w:rsid w:val="031F02B4"/>
    <w:rsid w:val="031F088B"/>
    <w:rsid w:val="03324A94"/>
    <w:rsid w:val="033730B4"/>
    <w:rsid w:val="03381828"/>
    <w:rsid w:val="03561459"/>
    <w:rsid w:val="035C6DF3"/>
    <w:rsid w:val="0366495B"/>
    <w:rsid w:val="037A1030"/>
    <w:rsid w:val="037E4FBC"/>
    <w:rsid w:val="03817477"/>
    <w:rsid w:val="03821A33"/>
    <w:rsid w:val="03864EFF"/>
    <w:rsid w:val="038A7E04"/>
    <w:rsid w:val="039106E2"/>
    <w:rsid w:val="03914CEF"/>
    <w:rsid w:val="039379CC"/>
    <w:rsid w:val="039931C3"/>
    <w:rsid w:val="03A37933"/>
    <w:rsid w:val="03A53375"/>
    <w:rsid w:val="03D2588F"/>
    <w:rsid w:val="03D25B79"/>
    <w:rsid w:val="03D80B70"/>
    <w:rsid w:val="03DE5A5A"/>
    <w:rsid w:val="03EA7B21"/>
    <w:rsid w:val="03EE0393"/>
    <w:rsid w:val="040177F9"/>
    <w:rsid w:val="0419109E"/>
    <w:rsid w:val="04333FF8"/>
    <w:rsid w:val="0445187F"/>
    <w:rsid w:val="044945DF"/>
    <w:rsid w:val="044E7BC6"/>
    <w:rsid w:val="04543648"/>
    <w:rsid w:val="045839D0"/>
    <w:rsid w:val="045D04DB"/>
    <w:rsid w:val="046213D9"/>
    <w:rsid w:val="0466662A"/>
    <w:rsid w:val="04675C1C"/>
    <w:rsid w:val="04692097"/>
    <w:rsid w:val="046E3765"/>
    <w:rsid w:val="04815783"/>
    <w:rsid w:val="04887057"/>
    <w:rsid w:val="048D02BF"/>
    <w:rsid w:val="049319EC"/>
    <w:rsid w:val="04A35F54"/>
    <w:rsid w:val="04D22ADA"/>
    <w:rsid w:val="04D806FC"/>
    <w:rsid w:val="04F548E2"/>
    <w:rsid w:val="04F5795C"/>
    <w:rsid w:val="05145DCB"/>
    <w:rsid w:val="051C4018"/>
    <w:rsid w:val="05266F1A"/>
    <w:rsid w:val="052D4983"/>
    <w:rsid w:val="05377B18"/>
    <w:rsid w:val="053A54FB"/>
    <w:rsid w:val="054D10EA"/>
    <w:rsid w:val="054F6A7F"/>
    <w:rsid w:val="056663BA"/>
    <w:rsid w:val="057C7CDC"/>
    <w:rsid w:val="05863C2B"/>
    <w:rsid w:val="058720A3"/>
    <w:rsid w:val="05923B89"/>
    <w:rsid w:val="05941421"/>
    <w:rsid w:val="059A6327"/>
    <w:rsid w:val="05B227CB"/>
    <w:rsid w:val="05C0567F"/>
    <w:rsid w:val="05C2670F"/>
    <w:rsid w:val="05F72E03"/>
    <w:rsid w:val="05F83EAE"/>
    <w:rsid w:val="05FC5AB8"/>
    <w:rsid w:val="060E6ACB"/>
    <w:rsid w:val="06135229"/>
    <w:rsid w:val="061C0FDE"/>
    <w:rsid w:val="061C52D9"/>
    <w:rsid w:val="063D4CBA"/>
    <w:rsid w:val="063E7D85"/>
    <w:rsid w:val="06416AF5"/>
    <w:rsid w:val="064216C6"/>
    <w:rsid w:val="064354A6"/>
    <w:rsid w:val="06523A66"/>
    <w:rsid w:val="06593029"/>
    <w:rsid w:val="065E2E82"/>
    <w:rsid w:val="06654A60"/>
    <w:rsid w:val="066B1614"/>
    <w:rsid w:val="06707C73"/>
    <w:rsid w:val="06755A67"/>
    <w:rsid w:val="06763BE5"/>
    <w:rsid w:val="067A4160"/>
    <w:rsid w:val="067D77AC"/>
    <w:rsid w:val="06A82EB5"/>
    <w:rsid w:val="06C13B3D"/>
    <w:rsid w:val="06C40E4E"/>
    <w:rsid w:val="06C44581"/>
    <w:rsid w:val="06C54B78"/>
    <w:rsid w:val="06CB676A"/>
    <w:rsid w:val="06D2788E"/>
    <w:rsid w:val="06D66EBD"/>
    <w:rsid w:val="06E94E42"/>
    <w:rsid w:val="070168AD"/>
    <w:rsid w:val="070361EF"/>
    <w:rsid w:val="07155C37"/>
    <w:rsid w:val="071F6AB6"/>
    <w:rsid w:val="07244BB0"/>
    <w:rsid w:val="07293586"/>
    <w:rsid w:val="07295285"/>
    <w:rsid w:val="072F10AD"/>
    <w:rsid w:val="073C7668"/>
    <w:rsid w:val="074327A4"/>
    <w:rsid w:val="07481042"/>
    <w:rsid w:val="07533FDE"/>
    <w:rsid w:val="07596623"/>
    <w:rsid w:val="07636392"/>
    <w:rsid w:val="0765110A"/>
    <w:rsid w:val="07716F4D"/>
    <w:rsid w:val="07754928"/>
    <w:rsid w:val="07770C56"/>
    <w:rsid w:val="0781610A"/>
    <w:rsid w:val="07854B6B"/>
    <w:rsid w:val="07943000"/>
    <w:rsid w:val="07AE01F0"/>
    <w:rsid w:val="07BC27F4"/>
    <w:rsid w:val="07BE731A"/>
    <w:rsid w:val="07C00A58"/>
    <w:rsid w:val="07CE6099"/>
    <w:rsid w:val="07E24974"/>
    <w:rsid w:val="07EC2E3C"/>
    <w:rsid w:val="07F82844"/>
    <w:rsid w:val="07FA71D0"/>
    <w:rsid w:val="080478A9"/>
    <w:rsid w:val="080976BA"/>
    <w:rsid w:val="080A08B2"/>
    <w:rsid w:val="080A78AC"/>
    <w:rsid w:val="08114650"/>
    <w:rsid w:val="0818141E"/>
    <w:rsid w:val="08187CC0"/>
    <w:rsid w:val="081D7E86"/>
    <w:rsid w:val="082E6EF7"/>
    <w:rsid w:val="083D48CB"/>
    <w:rsid w:val="08421D7D"/>
    <w:rsid w:val="084A5DB4"/>
    <w:rsid w:val="084C1B44"/>
    <w:rsid w:val="08507C91"/>
    <w:rsid w:val="085A47BF"/>
    <w:rsid w:val="0862007C"/>
    <w:rsid w:val="087C32FA"/>
    <w:rsid w:val="08A3345D"/>
    <w:rsid w:val="08A63D09"/>
    <w:rsid w:val="08AA23AF"/>
    <w:rsid w:val="08AB6CC1"/>
    <w:rsid w:val="08AB757D"/>
    <w:rsid w:val="08B445D8"/>
    <w:rsid w:val="08CE0793"/>
    <w:rsid w:val="08D30F11"/>
    <w:rsid w:val="08D43AEC"/>
    <w:rsid w:val="08D60DAF"/>
    <w:rsid w:val="090349DF"/>
    <w:rsid w:val="09067414"/>
    <w:rsid w:val="090A5D95"/>
    <w:rsid w:val="092217DD"/>
    <w:rsid w:val="0923007D"/>
    <w:rsid w:val="0930353B"/>
    <w:rsid w:val="093966C8"/>
    <w:rsid w:val="093A7294"/>
    <w:rsid w:val="094E5A0C"/>
    <w:rsid w:val="095F763D"/>
    <w:rsid w:val="09603E4F"/>
    <w:rsid w:val="09722ECD"/>
    <w:rsid w:val="097A6225"/>
    <w:rsid w:val="097F55EA"/>
    <w:rsid w:val="098B459B"/>
    <w:rsid w:val="099C4AB2"/>
    <w:rsid w:val="099D3F60"/>
    <w:rsid w:val="09A36DDD"/>
    <w:rsid w:val="09B94F9F"/>
    <w:rsid w:val="09CA7455"/>
    <w:rsid w:val="09E92566"/>
    <w:rsid w:val="0A104C02"/>
    <w:rsid w:val="0A106680"/>
    <w:rsid w:val="0A263993"/>
    <w:rsid w:val="0A2D3AC2"/>
    <w:rsid w:val="0A2D5046"/>
    <w:rsid w:val="0A371FFD"/>
    <w:rsid w:val="0A494C47"/>
    <w:rsid w:val="0A4E0284"/>
    <w:rsid w:val="0A530095"/>
    <w:rsid w:val="0A54652A"/>
    <w:rsid w:val="0A557AA3"/>
    <w:rsid w:val="0A6B75FC"/>
    <w:rsid w:val="0A6E3669"/>
    <w:rsid w:val="0A877197"/>
    <w:rsid w:val="0A977F0A"/>
    <w:rsid w:val="0A981059"/>
    <w:rsid w:val="0AA755DF"/>
    <w:rsid w:val="0AB26F1C"/>
    <w:rsid w:val="0AB4509C"/>
    <w:rsid w:val="0ABD3DBD"/>
    <w:rsid w:val="0AD22BB6"/>
    <w:rsid w:val="0ADD6720"/>
    <w:rsid w:val="0AE94BE1"/>
    <w:rsid w:val="0AF34CBF"/>
    <w:rsid w:val="0B0142F8"/>
    <w:rsid w:val="0B120D44"/>
    <w:rsid w:val="0B16075A"/>
    <w:rsid w:val="0B310B66"/>
    <w:rsid w:val="0B4E1717"/>
    <w:rsid w:val="0B5A00BC"/>
    <w:rsid w:val="0B774EE9"/>
    <w:rsid w:val="0B814FFF"/>
    <w:rsid w:val="0B860EB1"/>
    <w:rsid w:val="0B9326C3"/>
    <w:rsid w:val="0B990FEB"/>
    <w:rsid w:val="0BA54927"/>
    <w:rsid w:val="0BA94BA0"/>
    <w:rsid w:val="0BAD3492"/>
    <w:rsid w:val="0BC35C62"/>
    <w:rsid w:val="0BC51652"/>
    <w:rsid w:val="0BCB2D68"/>
    <w:rsid w:val="0BD27BF6"/>
    <w:rsid w:val="0BE635A6"/>
    <w:rsid w:val="0BEB7EA0"/>
    <w:rsid w:val="0BF518FA"/>
    <w:rsid w:val="0C097EDB"/>
    <w:rsid w:val="0C0A1AE2"/>
    <w:rsid w:val="0C361799"/>
    <w:rsid w:val="0C3B3C7D"/>
    <w:rsid w:val="0C3D3B65"/>
    <w:rsid w:val="0C3E353A"/>
    <w:rsid w:val="0C4D7E06"/>
    <w:rsid w:val="0C59120F"/>
    <w:rsid w:val="0C5B214E"/>
    <w:rsid w:val="0C5B233E"/>
    <w:rsid w:val="0C807E08"/>
    <w:rsid w:val="0C83197D"/>
    <w:rsid w:val="0C8F3D96"/>
    <w:rsid w:val="0C915D60"/>
    <w:rsid w:val="0C935725"/>
    <w:rsid w:val="0CA77B99"/>
    <w:rsid w:val="0CAB2EAE"/>
    <w:rsid w:val="0CAE2E86"/>
    <w:rsid w:val="0CCF0636"/>
    <w:rsid w:val="0CD12600"/>
    <w:rsid w:val="0CD45C9B"/>
    <w:rsid w:val="0CE63A0D"/>
    <w:rsid w:val="0CF13FF1"/>
    <w:rsid w:val="0CF640CE"/>
    <w:rsid w:val="0CF85DDF"/>
    <w:rsid w:val="0CF9308B"/>
    <w:rsid w:val="0D0D0E61"/>
    <w:rsid w:val="0D1150F2"/>
    <w:rsid w:val="0D136775"/>
    <w:rsid w:val="0D5F1A08"/>
    <w:rsid w:val="0D621C7D"/>
    <w:rsid w:val="0D63594E"/>
    <w:rsid w:val="0D6C6250"/>
    <w:rsid w:val="0D900286"/>
    <w:rsid w:val="0D981488"/>
    <w:rsid w:val="0D9943AF"/>
    <w:rsid w:val="0D9A0C44"/>
    <w:rsid w:val="0DB22432"/>
    <w:rsid w:val="0DBC04D7"/>
    <w:rsid w:val="0DC422F7"/>
    <w:rsid w:val="0DDA54E4"/>
    <w:rsid w:val="0DF447F8"/>
    <w:rsid w:val="0DF75384"/>
    <w:rsid w:val="0DFC36AD"/>
    <w:rsid w:val="0E0C604A"/>
    <w:rsid w:val="0E1F28CF"/>
    <w:rsid w:val="0E316003"/>
    <w:rsid w:val="0E326D66"/>
    <w:rsid w:val="0E386E38"/>
    <w:rsid w:val="0E39220B"/>
    <w:rsid w:val="0E3B2429"/>
    <w:rsid w:val="0E4911BF"/>
    <w:rsid w:val="0E4E740F"/>
    <w:rsid w:val="0E52151F"/>
    <w:rsid w:val="0E5B4877"/>
    <w:rsid w:val="0E6255D4"/>
    <w:rsid w:val="0E6C36EA"/>
    <w:rsid w:val="0E7019A5"/>
    <w:rsid w:val="0E73034D"/>
    <w:rsid w:val="0E7B0A75"/>
    <w:rsid w:val="0EAB2689"/>
    <w:rsid w:val="0EC51CF1"/>
    <w:rsid w:val="0EC97353"/>
    <w:rsid w:val="0ED618C0"/>
    <w:rsid w:val="0ED805F3"/>
    <w:rsid w:val="0ED91C40"/>
    <w:rsid w:val="0EE865B1"/>
    <w:rsid w:val="0EF16F8A"/>
    <w:rsid w:val="0F075FCB"/>
    <w:rsid w:val="0F136D28"/>
    <w:rsid w:val="0F13775A"/>
    <w:rsid w:val="0F1547A7"/>
    <w:rsid w:val="0F4B48EC"/>
    <w:rsid w:val="0F5F45FE"/>
    <w:rsid w:val="0F722315"/>
    <w:rsid w:val="0F7628A4"/>
    <w:rsid w:val="0F7E3A23"/>
    <w:rsid w:val="0F9255ED"/>
    <w:rsid w:val="0F96520F"/>
    <w:rsid w:val="0F9A112B"/>
    <w:rsid w:val="0F9A5518"/>
    <w:rsid w:val="0FA01802"/>
    <w:rsid w:val="0FBC30F4"/>
    <w:rsid w:val="0FCF5F3C"/>
    <w:rsid w:val="0FDA553B"/>
    <w:rsid w:val="0FDF3133"/>
    <w:rsid w:val="0FFB7896"/>
    <w:rsid w:val="10024B8E"/>
    <w:rsid w:val="101055F2"/>
    <w:rsid w:val="101420A5"/>
    <w:rsid w:val="101E076F"/>
    <w:rsid w:val="10213C41"/>
    <w:rsid w:val="102869DB"/>
    <w:rsid w:val="103551A4"/>
    <w:rsid w:val="1049304F"/>
    <w:rsid w:val="106D2F64"/>
    <w:rsid w:val="107B798B"/>
    <w:rsid w:val="107E39A7"/>
    <w:rsid w:val="10881228"/>
    <w:rsid w:val="108C58F8"/>
    <w:rsid w:val="10A047C3"/>
    <w:rsid w:val="10AB4249"/>
    <w:rsid w:val="10B63710"/>
    <w:rsid w:val="10BD35C7"/>
    <w:rsid w:val="10BF77D6"/>
    <w:rsid w:val="10C5298C"/>
    <w:rsid w:val="10E0733B"/>
    <w:rsid w:val="10F10820"/>
    <w:rsid w:val="10FE58C3"/>
    <w:rsid w:val="110C00AB"/>
    <w:rsid w:val="110C09D7"/>
    <w:rsid w:val="111C2F7A"/>
    <w:rsid w:val="113106E6"/>
    <w:rsid w:val="1131366D"/>
    <w:rsid w:val="11381A69"/>
    <w:rsid w:val="1139194B"/>
    <w:rsid w:val="113945C2"/>
    <w:rsid w:val="113A1F67"/>
    <w:rsid w:val="113A2ED9"/>
    <w:rsid w:val="115B4B8E"/>
    <w:rsid w:val="11665CA1"/>
    <w:rsid w:val="116A4DD1"/>
    <w:rsid w:val="117C77AF"/>
    <w:rsid w:val="11823EC9"/>
    <w:rsid w:val="11862732"/>
    <w:rsid w:val="11920286"/>
    <w:rsid w:val="119500A0"/>
    <w:rsid w:val="119B16ED"/>
    <w:rsid w:val="11B132E1"/>
    <w:rsid w:val="11B5260E"/>
    <w:rsid w:val="11BC52BB"/>
    <w:rsid w:val="11C15A98"/>
    <w:rsid w:val="11D010D8"/>
    <w:rsid w:val="11E35E9B"/>
    <w:rsid w:val="11E3705D"/>
    <w:rsid w:val="12066789"/>
    <w:rsid w:val="120F2335"/>
    <w:rsid w:val="12145696"/>
    <w:rsid w:val="12174B86"/>
    <w:rsid w:val="122D76BE"/>
    <w:rsid w:val="123D0D6C"/>
    <w:rsid w:val="123E3F52"/>
    <w:rsid w:val="12505D75"/>
    <w:rsid w:val="12567189"/>
    <w:rsid w:val="12601BA1"/>
    <w:rsid w:val="12602461"/>
    <w:rsid w:val="127777A6"/>
    <w:rsid w:val="127D7927"/>
    <w:rsid w:val="127E0E29"/>
    <w:rsid w:val="127E28E2"/>
    <w:rsid w:val="129D78DE"/>
    <w:rsid w:val="12A73D26"/>
    <w:rsid w:val="12AF34E6"/>
    <w:rsid w:val="12BB5397"/>
    <w:rsid w:val="12BD67FA"/>
    <w:rsid w:val="12C65732"/>
    <w:rsid w:val="12CA06CE"/>
    <w:rsid w:val="12D152D7"/>
    <w:rsid w:val="12D27590"/>
    <w:rsid w:val="12D71EE1"/>
    <w:rsid w:val="12E83BD7"/>
    <w:rsid w:val="130F60A2"/>
    <w:rsid w:val="1312540B"/>
    <w:rsid w:val="13135EB3"/>
    <w:rsid w:val="13185A75"/>
    <w:rsid w:val="131A6597"/>
    <w:rsid w:val="13274D28"/>
    <w:rsid w:val="13390EFF"/>
    <w:rsid w:val="135971B8"/>
    <w:rsid w:val="13693592"/>
    <w:rsid w:val="13897791"/>
    <w:rsid w:val="13923046"/>
    <w:rsid w:val="13951726"/>
    <w:rsid w:val="139D148E"/>
    <w:rsid w:val="13A97E33"/>
    <w:rsid w:val="13AB6E65"/>
    <w:rsid w:val="13AC59E2"/>
    <w:rsid w:val="13BC5DB8"/>
    <w:rsid w:val="13BF582E"/>
    <w:rsid w:val="13C95DA3"/>
    <w:rsid w:val="13DD2BC4"/>
    <w:rsid w:val="13E34020"/>
    <w:rsid w:val="13E95744"/>
    <w:rsid w:val="13F05A62"/>
    <w:rsid w:val="13F07D65"/>
    <w:rsid w:val="13F2221A"/>
    <w:rsid w:val="13F50AFB"/>
    <w:rsid w:val="141C1505"/>
    <w:rsid w:val="141D41B0"/>
    <w:rsid w:val="1420412F"/>
    <w:rsid w:val="14360265"/>
    <w:rsid w:val="14396509"/>
    <w:rsid w:val="1461070D"/>
    <w:rsid w:val="146850BA"/>
    <w:rsid w:val="14757D15"/>
    <w:rsid w:val="1481188B"/>
    <w:rsid w:val="1488058A"/>
    <w:rsid w:val="14A75382"/>
    <w:rsid w:val="14B30CFC"/>
    <w:rsid w:val="14BB1A76"/>
    <w:rsid w:val="14BC1DE8"/>
    <w:rsid w:val="14BF2B65"/>
    <w:rsid w:val="14D02DA7"/>
    <w:rsid w:val="14D7096F"/>
    <w:rsid w:val="14DD2C3C"/>
    <w:rsid w:val="14E46C49"/>
    <w:rsid w:val="14EC0E8D"/>
    <w:rsid w:val="151B735A"/>
    <w:rsid w:val="1527393E"/>
    <w:rsid w:val="1546265B"/>
    <w:rsid w:val="15511622"/>
    <w:rsid w:val="155B7C28"/>
    <w:rsid w:val="15692BFF"/>
    <w:rsid w:val="156C1118"/>
    <w:rsid w:val="156F567A"/>
    <w:rsid w:val="157E1963"/>
    <w:rsid w:val="1589648C"/>
    <w:rsid w:val="15A86E03"/>
    <w:rsid w:val="15B34F99"/>
    <w:rsid w:val="15C34AB0"/>
    <w:rsid w:val="15CA22E2"/>
    <w:rsid w:val="15CE2E38"/>
    <w:rsid w:val="15D1541F"/>
    <w:rsid w:val="15FC6A05"/>
    <w:rsid w:val="1604079E"/>
    <w:rsid w:val="16087E1D"/>
    <w:rsid w:val="160B0931"/>
    <w:rsid w:val="161269CE"/>
    <w:rsid w:val="161E36C0"/>
    <w:rsid w:val="162B4D52"/>
    <w:rsid w:val="162E6FEA"/>
    <w:rsid w:val="163267EC"/>
    <w:rsid w:val="163F6DDD"/>
    <w:rsid w:val="16625582"/>
    <w:rsid w:val="166567A5"/>
    <w:rsid w:val="1669093C"/>
    <w:rsid w:val="167D5B33"/>
    <w:rsid w:val="16875606"/>
    <w:rsid w:val="16970417"/>
    <w:rsid w:val="16A42650"/>
    <w:rsid w:val="16B9038D"/>
    <w:rsid w:val="16BC60CF"/>
    <w:rsid w:val="16C140C3"/>
    <w:rsid w:val="16C17241"/>
    <w:rsid w:val="16C36158"/>
    <w:rsid w:val="16C61321"/>
    <w:rsid w:val="16D20AD8"/>
    <w:rsid w:val="16E257E2"/>
    <w:rsid w:val="16E8049F"/>
    <w:rsid w:val="16EE1733"/>
    <w:rsid w:val="16FC64CC"/>
    <w:rsid w:val="1714795E"/>
    <w:rsid w:val="172441DF"/>
    <w:rsid w:val="17343666"/>
    <w:rsid w:val="17346F48"/>
    <w:rsid w:val="174E26C0"/>
    <w:rsid w:val="17567270"/>
    <w:rsid w:val="176522C3"/>
    <w:rsid w:val="17667DE9"/>
    <w:rsid w:val="176F3141"/>
    <w:rsid w:val="17701D14"/>
    <w:rsid w:val="17725A0F"/>
    <w:rsid w:val="17735226"/>
    <w:rsid w:val="17914563"/>
    <w:rsid w:val="17B2437D"/>
    <w:rsid w:val="17BF1830"/>
    <w:rsid w:val="17CB687A"/>
    <w:rsid w:val="17CF598E"/>
    <w:rsid w:val="17DB4333"/>
    <w:rsid w:val="17E256C1"/>
    <w:rsid w:val="17E5540B"/>
    <w:rsid w:val="17E9701D"/>
    <w:rsid w:val="17F92A0B"/>
    <w:rsid w:val="17FA79CD"/>
    <w:rsid w:val="180102EB"/>
    <w:rsid w:val="180520BE"/>
    <w:rsid w:val="181B1DAD"/>
    <w:rsid w:val="1826220B"/>
    <w:rsid w:val="185B733F"/>
    <w:rsid w:val="186B4263"/>
    <w:rsid w:val="188D7D23"/>
    <w:rsid w:val="189270E7"/>
    <w:rsid w:val="18936391"/>
    <w:rsid w:val="1895095F"/>
    <w:rsid w:val="189746FE"/>
    <w:rsid w:val="189B3015"/>
    <w:rsid w:val="189F624C"/>
    <w:rsid w:val="18A84B5D"/>
    <w:rsid w:val="18B93BD0"/>
    <w:rsid w:val="18BA2933"/>
    <w:rsid w:val="18BE409D"/>
    <w:rsid w:val="18D53262"/>
    <w:rsid w:val="18D65DF2"/>
    <w:rsid w:val="18E41886"/>
    <w:rsid w:val="18E72968"/>
    <w:rsid w:val="18E735ED"/>
    <w:rsid w:val="18EB5DBF"/>
    <w:rsid w:val="18F77CFC"/>
    <w:rsid w:val="18FC0A05"/>
    <w:rsid w:val="191F0152"/>
    <w:rsid w:val="191F1517"/>
    <w:rsid w:val="19202945"/>
    <w:rsid w:val="19410B0E"/>
    <w:rsid w:val="194D2535"/>
    <w:rsid w:val="194D300E"/>
    <w:rsid w:val="195A0529"/>
    <w:rsid w:val="19622F5E"/>
    <w:rsid w:val="19675D1C"/>
    <w:rsid w:val="19687E48"/>
    <w:rsid w:val="196C3258"/>
    <w:rsid w:val="19891E66"/>
    <w:rsid w:val="19A060B7"/>
    <w:rsid w:val="19AB7C0A"/>
    <w:rsid w:val="19CA6D19"/>
    <w:rsid w:val="19CE0BFB"/>
    <w:rsid w:val="19CF7EC7"/>
    <w:rsid w:val="19D54A32"/>
    <w:rsid w:val="19D7052B"/>
    <w:rsid w:val="19DE2068"/>
    <w:rsid w:val="19E962F6"/>
    <w:rsid w:val="19EF056A"/>
    <w:rsid w:val="19EF65D1"/>
    <w:rsid w:val="19FB75B6"/>
    <w:rsid w:val="1A0E73F2"/>
    <w:rsid w:val="1A11040C"/>
    <w:rsid w:val="1A14189E"/>
    <w:rsid w:val="1A142624"/>
    <w:rsid w:val="1A15364C"/>
    <w:rsid w:val="1A1B1771"/>
    <w:rsid w:val="1A1C66C0"/>
    <w:rsid w:val="1A226A73"/>
    <w:rsid w:val="1A246465"/>
    <w:rsid w:val="1A304E0A"/>
    <w:rsid w:val="1A323848"/>
    <w:rsid w:val="1A3413A4"/>
    <w:rsid w:val="1A364C38"/>
    <w:rsid w:val="1A42393B"/>
    <w:rsid w:val="1A6333FE"/>
    <w:rsid w:val="1A72291D"/>
    <w:rsid w:val="1A730DD5"/>
    <w:rsid w:val="1A7D5B75"/>
    <w:rsid w:val="1A954694"/>
    <w:rsid w:val="1A9B129F"/>
    <w:rsid w:val="1AA17AB6"/>
    <w:rsid w:val="1AAD45DE"/>
    <w:rsid w:val="1AAF7880"/>
    <w:rsid w:val="1ABC6990"/>
    <w:rsid w:val="1AD10DB0"/>
    <w:rsid w:val="1AD70A78"/>
    <w:rsid w:val="1AEB26BE"/>
    <w:rsid w:val="1AEB2ADF"/>
    <w:rsid w:val="1AF2684C"/>
    <w:rsid w:val="1AFC0863"/>
    <w:rsid w:val="1B046F80"/>
    <w:rsid w:val="1B046FF5"/>
    <w:rsid w:val="1B06750C"/>
    <w:rsid w:val="1B102538"/>
    <w:rsid w:val="1B163BB6"/>
    <w:rsid w:val="1B3267B5"/>
    <w:rsid w:val="1B391A9C"/>
    <w:rsid w:val="1B3A2C32"/>
    <w:rsid w:val="1B3E1A11"/>
    <w:rsid w:val="1B3F078B"/>
    <w:rsid w:val="1B40161D"/>
    <w:rsid w:val="1B441859"/>
    <w:rsid w:val="1B4548E5"/>
    <w:rsid w:val="1B4D7C5F"/>
    <w:rsid w:val="1B5B65FA"/>
    <w:rsid w:val="1B6606B1"/>
    <w:rsid w:val="1B762926"/>
    <w:rsid w:val="1B854CE1"/>
    <w:rsid w:val="1B9F3746"/>
    <w:rsid w:val="1BA9772A"/>
    <w:rsid w:val="1BB62A4B"/>
    <w:rsid w:val="1BB63319"/>
    <w:rsid w:val="1BBB45BA"/>
    <w:rsid w:val="1BCB2131"/>
    <w:rsid w:val="1BCF6FEE"/>
    <w:rsid w:val="1BE7774A"/>
    <w:rsid w:val="1BF16910"/>
    <w:rsid w:val="1BF70FEB"/>
    <w:rsid w:val="1C061731"/>
    <w:rsid w:val="1C107633"/>
    <w:rsid w:val="1C146371"/>
    <w:rsid w:val="1C192405"/>
    <w:rsid w:val="1C3F5943"/>
    <w:rsid w:val="1C43595F"/>
    <w:rsid w:val="1C441FDC"/>
    <w:rsid w:val="1C4B69D5"/>
    <w:rsid w:val="1C5E7925"/>
    <w:rsid w:val="1C6C5D0E"/>
    <w:rsid w:val="1C80194D"/>
    <w:rsid w:val="1C8E5E18"/>
    <w:rsid w:val="1C907F72"/>
    <w:rsid w:val="1CB14442"/>
    <w:rsid w:val="1CB735C0"/>
    <w:rsid w:val="1CBF13DF"/>
    <w:rsid w:val="1CC36857"/>
    <w:rsid w:val="1CD079CB"/>
    <w:rsid w:val="1CD35F20"/>
    <w:rsid w:val="1CD64FCE"/>
    <w:rsid w:val="1CDF5538"/>
    <w:rsid w:val="1CF00444"/>
    <w:rsid w:val="1CF0262F"/>
    <w:rsid w:val="1CF10B92"/>
    <w:rsid w:val="1CF214B9"/>
    <w:rsid w:val="1CFD070F"/>
    <w:rsid w:val="1D046798"/>
    <w:rsid w:val="1D062E4F"/>
    <w:rsid w:val="1D0B504C"/>
    <w:rsid w:val="1D122ECA"/>
    <w:rsid w:val="1D153800"/>
    <w:rsid w:val="1D426051"/>
    <w:rsid w:val="1D5211AF"/>
    <w:rsid w:val="1D5A7F0F"/>
    <w:rsid w:val="1D5B7403"/>
    <w:rsid w:val="1D5F6196"/>
    <w:rsid w:val="1D6132A5"/>
    <w:rsid w:val="1D614705"/>
    <w:rsid w:val="1D6628F1"/>
    <w:rsid w:val="1D7842C5"/>
    <w:rsid w:val="1D837D50"/>
    <w:rsid w:val="1D840FC9"/>
    <w:rsid w:val="1D854AF4"/>
    <w:rsid w:val="1D8E56D5"/>
    <w:rsid w:val="1D9838A2"/>
    <w:rsid w:val="1D9D43F0"/>
    <w:rsid w:val="1DAD06A9"/>
    <w:rsid w:val="1DAD187C"/>
    <w:rsid w:val="1DC20D31"/>
    <w:rsid w:val="1DCA2E80"/>
    <w:rsid w:val="1DCC1F27"/>
    <w:rsid w:val="1DD04C16"/>
    <w:rsid w:val="1DD15E62"/>
    <w:rsid w:val="1DD1706D"/>
    <w:rsid w:val="1DD309C6"/>
    <w:rsid w:val="1DDD7BF0"/>
    <w:rsid w:val="1DE21BFC"/>
    <w:rsid w:val="1DFE6FCD"/>
    <w:rsid w:val="1E0778B6"/>
    <w:rsid w:val="1E0C0080"/>
    <w:rsid w:val="1E1257C2"/>
    <w:rsid w:val="1E200DA7"/>
    <w:rsid w:val="1E2A7432"/>
    <w:rsid w:val="1E2C3B3A"/>
    <w:rsid w:val="1E36026B"/>
    <w:rsid w:val="1E392547"/>
    <w:rsid w:val="1E4A3FC0"/>
    <w:rsid w:val="1E5037DD"/>
    <w:rsid w:val="1E543091"/>
    <w:rsid w:val="1E65704C"/>
    <w:rsid w:val="1E733517"/>
    <w:rsid w:val="1E766C61"/>
    <w:rsid w:val="1E7A43DA"/>
    <w:rsid w:val="1E946A4E"/>
    <w:rsid w:val="1EA164D8"/>
    <w:rsid w:val="1EA66BF4"/>
    <w:rsid w:val="1EAA2CB1"/>
    <w:rsid w:val="1ED01E61"/>
    <w:rsid w:val="1EDD4465"/>
    <w:rsid w:val="1EE25969"/>
    <w:rsid w:val="1EE833D9"/>
    <w:rsid w:val="1EEB040A"/>
    <w:rsid w:val="1EEF4A61"/>
    <w:rsid w:val="1EF23D6B"/>
    <w:rsid w:val="1EFF2FFD"/>
    <w:rsid w:val="1F047610"/>
    <w:rsid w:val="1F097421"/>
    <w:rsid w:val="1F291E28"/>
    <w:rsid w:val="1F3621EE"/>
    <w:rsid w:val="1F444EB4"/>
    <w:rsid w:val="1F4C1B18"/>
    <w:rsid w:val="1F525822"/>
    <w:rsid w:val="1F584FBC"/>
    <w:rsid w:val="1F705598"/>
    <w:rsid w:val="1F7224C1"/>
    <w:rsid w:val="1F7C58B7"/>
    <w:rsid w:val="1F835BC6"/>
    <w:rsid w:val="1F880587"/>
    <w:rsid w:val="1F8F0DDD"/>
    <w:rsid w:val="1FB11DD6"/>
    <w:rsid w:val="1FC43A25"/>
    <w:rsid w:val="1FD0596B"/>
    <w:rsid w:val="1FD72C6D"/>
    <w:rsid w:val="1FE10954"/>
    <w:rsid w:val="1FE7539E"/>
    <w:rsid w:val="1FFF67A6"/>
    <w:rsid w:val="2006518E"/>
    <w:rsid w:val="201721F5"/>
    <w:rsid w:val="20176124"/>
    <w:rsid w:val="2020053C"/>
    <w:rsid w:val="202110DB"/>
    <w:rsid w:val="202606FD"/>
    <w:rsid w:val="203E027D"/>
    <w:rsid w:val="203E386D"/>
    <w:rsid w:val="204172A7"/>
    <w:rsid w:val="20457135"/>
    <w:rsid w:val="204A7D65"/>
    <w:rsid w:val="20671BE0"/>
    <w:rsid w:val="206C0909"/>
    <w:rsid w:val="206E0C49"/>
    <w:rsid w:val="206E59D5"/>
    <w:rsid w:val="20825B9D"/>
    <w:rsid w:val="20841E8F"/>
    <w:rsid w:val="20963CB8"/>
    <w:rsid w:val="209D487B"/>
    <w:rsid w:val="20A81A1B"/>
    <w:rsid w:val="20B07FB6"/>
    <w:rsid w:val="20B646FB"/>
    <w:rsid w:val="20C6324C"/>
    <w:rsid w:val="20CA36DB"/>
    <w:rsid w:val="20D51287"/>
    <w:rsid w:val="20F24505"/>
    <w:rsid w:val="20FE42D5"/>
    <w:rsid w:val="21135A90"/>
    <w:rsid w:val="2117534C"/>
    <w:rsid w:val="21234242"/>
    <w:rsid w:val="213B74B1"/>
    <w:rsid w:val="21484179"/>
    <w:rsid w:val="215A2310"/>
    <w:rsid w:val="21786F46"/>
    <w:rsid w:val="217A2796"/>
    <w:rsid w:val="21833993"/>
    <w:rsid w:val="219857D3"/>
    <w:rsid w:val="21A16C24"/>
    <w:rsid w:val="21B43E17"/>
    <w:rsid w:val="21B856E5"/>
    <w:rsid w:val="21BD6DBB"/>
    <w:rsid w:val="21C85928"/>
    <w:rsid w:val="21CB284F"/>
    <w:rsid w:val="21D7200F"/>
    <w:rsid w:val="21DE318A"/>
    <w:rsid w:val="21E02496"/>
    <w:rsid w:val="21EC32C9"/>
    <w:rsid w:val="21EF5B80"/>
    <w:rsid w:val="21F305CB"/>
    <w:rsid w:val="21FC0048"/>
    <w:rsid w:val="220B1DE3"/>
    <w:rsid w:val="2217065D"/>
    <w:rsid w:val="221A4B12"/>
    <w:rsid w:val="2230342E"/>
    <w:rsid w:val="22396826"/>
    <w:rsid w:val="224E326E"/>
    <w:rsid w:val="22553DE4"/>
    <w:rsid w:val="22573150"/>
    <w:rsid w:val="22576990"/>
    <w:rsid w:val="227D2BB6"/>
    <w:rsid w:val="22851AA2"/>
    <w:rsid w:val="229A778D"/>
    <w:rsid w:val="22B57588"/>
    <w:rsid w:val="22CA3A39"/>
    <w:rsid w:val="22CB5549"/>
    <w:rsid w:val="22D13310"/>
    <w:rsid w:val="22F12428"/>
    <w:rsid w:val="22F47480"/>
    <w:rsid w:val="230211FF"/>
    <w:rsid w:val="23024E6A"/>
    <w:rsid w:val="230A1F70"/>
    <w:rsid w:val="230D7DB3"/>
    <w:rsid w:val="2326726E"/>
    <w:rsid w:val="232E0996"/>
    <w:rsid w:val="232F1757"/>
    <w:rsid w:val="23302BE7"/>
    <w:rsid w:val="23356FED"/>
    <w:rsid w:val="23413B6C"/>
    <w:rsid w:val="235B641F"/>
    <w:rsid w:val="235B72E4"/>
    <w:rsid w:val="2372556B"/>
    <w:rsid w:val="23812232"/>
    <w:rsid w:val="23847F75"/>
    <w:rsid w:val="23892380"/>
    <w:rsid w:val="238C6112"/>
    <w:rsid w:val="238E1D8A"/>
    <w:rsid w:val="23A1664E"/>
    <w:rsid w:val="23B32608"/>
    <w:rsid w:val="23BF2431"/>
    <w:rsid w:val="23C86365"/>
    <w:rsid w:val="23CB7951"/>
    <w:rsid w:val="23CD1181"/>
    <w:rsid w:val="23DE1C48"/>
    <w:rsid w:val="23E308F6"/>
    <w:rsid w:val="23E443FD"/>
    <w:rsid w:val="23FE3883"/>
    <w:rsid w:val="23FE6FA6"/>
    <w:rsid w:val="240210CD"/>
    <w:rsid w:val="241733C3"/>
    <w:rsid w:val="241D5CF9"/>
    <w:rsid w:val="24235575"/>
    <w:rsid w:val="243506CB"/>
    <w:rsid w:val="244D65B8"/>
    <w:rsid w:val="24585435"/>
    <w:rsid w:val="245E07C6"/>
    <w:rsid w:val="245F0C9E"/>
    <w:rsid w:val="246501B2"/>
    <w:rsid w:val="24822393"/>
    <w:rsid w:val="249C07FE"/>
    <w:rsid w:val="249C309C"/>
    <w:rsid w:val="24AF1021"/>
    <w:rsid w:val="24BF09F7"/>
    <w:rsid w:val="24C85992"/>
    <w:rsid w:val="24CB478F"/>
    <w:rsid w:val="24E84F70"/>
    <w:rsid w:val="24F10479"/>
    <w:rsid w:val="25121AF5"/>
    <w:rsid w:val="252D53FE"/>
    <w:rsid w:val="25394A15"/>
    <w:rsid w:val="25473008"/>
    <w:rsid w:val="25624B27"/>
    <w:rsid w:val="2576721F"/>
    <w:rsid w:val="25911713"/>
    <w:rsid w:val="259D7DED"/>
    <w:rsid w:val="25A55F80"/>
    <w:rsid w:val="25A822CA"/>
    <w:rsid w:val="25AA26F0"/>
    <w:rsid w:val="25BA3DB0"/>
    <w:rsid w:val="25C127A0"/>
    <w:rsid w:val="25C66622"/>
    <w:rsid w:val="25EC2D81"/>
    <w:rsid w:val="25F53236"/>
    <w:rsid w:val="25FF2CBA"/>
    <w:rsid w:val="260204AD"/>
    <w:rsid w:val="260374F1"/>
    <w:rsid w:val="260A701A"/>
    <w:rsid w:val="260C1BFF"/>
    <w:rsid w:val="2612416F"/>
    <w:rsid w:val="26127ABA"/>
    <w:rsid w:val="26236584"/>
    <w:rsid w:val="262D7636"/>
    <w:rsid w:val="262E47D4"/>
    <w:rsid w:val="26795443"/>
    <w:rsid w:val="267A740D"/>
    <w:rsid w:val="267E5A4E"/>
    <w:rsid w:val="26881050"/>
    <w:rsid w:val="268F4733"/>
    <w:rsid w:val="26A00A38"/>
    <w:rsid w:val="26B96187"/>
    <w:rsid w:val="26C03F07"/>
    <w:rsid w:val="26C228EE"/>
    <w:rsid w:val="26CD23C6"/>
    <w:rsid w:val="26D703BB"/>
    <w:rsid w:val="26FE6031"/>
    <w:rsid w:val="270716BD"/>
    <w:rsid w:val="27084A19"/>
    <w:rsid w:val="2708572C"/>
    <w:rsid w:val="270C2D4B"/>
    <w:rsid w:val="27214047"/>
    <w:rsid w:val="27220ADA"/>
    <w:rsid w:val="273642CF"/>
    <w:rsid w:val="273807F7"/>
    <w:rsid w:val="273E5806"/>
    <w:rsid w:val="2741775F"/>
    <w:rsid w:val="274F43F6"/>
    <w:rsid w:val="275105C9"/>
    <w:rsid w:val="275418CC"/>
    <w:rsid w:val="275C022A"/>
    <w:rsid w:val="276205CD"/>
    <w:rsid w:val="276521A9"/>
    <w:rsid w:val="27684462"/>
    <w:rsid w:val="277057A2"/>
    <w:rsid w:val="277976C4"/>
    <w:rsid w:val="278241EB"/>
    <w:rsid w:val="278A3680"/>
    <w:rsid w:val="278B7E3F"/>
    <w:rsid w:val="27921D1A"/>
    <w:rsid w:val="279369D8"/>
    <w:rsid w:val="27982240"/>
    <w:rsid w:val="27B775BB"/>
    <w:rsid w:val="27BC4B74"/>
    <w:rsid w:val="27CA2623"/>
    <w:rsid w:val="27CA27D8"/>
    <w:rsid w:val="27CB5B9B"/>
    <w:rsid w:val="27D5603A"/>
    <w:rsid w:val="27D972D8"/>
    <w:rsid w:val="27EB2370"/>
    <w:rsid w:val="27F97454"/>
    <w:rsid w:val="27FF5E1C"/>
    <w:rsid w:val="28001620"/>
    <w:rsid w:val="280B48A6"/>
    <w:rsid w:val="28103F5D"/>
    <w:rsid w:val="28302DCC"/>
    <w:rsid w:val="28347C28"/>
    <w:rsid w:val="284901A8"/>
    <w:rsid w:val="284E0B51"/>
    <w:rsid w:val="28541D39"/>
    <w:rsid w:val="285443B9"/>
    <w:rsid w:val="28593F07"/>
    <w:rsid w:val="285C14C0"/>
    <w:rsid w:val="286541A3"/>
    <w:rsid w:val="2869172C"/>
    <w:rsid w:val="287516A9"/>
    <w:rsid w:val="28795503"/>
    <w:rsid w:val="28871103"/>
    <w:rsid w:val="28944BAE"/>
    <w:rsid w:val="289F315B"/>
    <w:rsid w:val="28B44E58"/>
    <w:rsid w:val="28BE4931"/>
    <w:rsid w:val="28C055AB"/>
    <w:rsid w:val="28DC114A"/>
    <w:rsid w:val="28E76FDC"/>
    <w:rsid w:val="28EC7A64"/>
    <w:rsid w:val="28F32B26"/>
    <w:rsid w:val="28FA2D44"/>
    <w:rsid w:val="2909043D"/>
    <w:rsid w:val="290C7D3A"/>
    <w:rsid w:val="29171565"/>
    <w:rsid w:val="29204714"/>
    <w:rsid w:val="29206EB8"/>
    <w:rsid w:val="29325D7D"/>
    <w:rsid w:val="293E50CC"/>
    <w:rsid w:val="294837F2"/>
    <w:rsid w:val="294A4A35"/>
    <w:rsid w:val="294C32E2"/>
    <w:rsid w:val="29534671"/>
    <w:rsid w:val="29565F0F"/>
    <w:rsid w:val="29595666"/>
    <w:rsid w:val="295D729E"/>
    <w:rsid w:val="296872E8"/>
    <w:rsid w:val="29763EBB"/>
    <w:rsid w:val="29874881"/>
    <w:rsid w:val="29967194"/>
    <w:rsid w:val="29A208D1"/>
    <w:rsid w:val="29A354DE"/>
    <w:rsid w:val="29A95369"/>
    <w:rsid w:val="29C0070E"/>
    <w:rsid w:val="29CC77B7"/>
    <w:rsid w:val="29E325E0"/>
    <w:rsid w:val="29EB7E9F"/>
    <w:rsid w:val="29ED6E20"/>
    <w:rsid w:val="29EF3C6E"/>
    <w:rsid w:val="2A033A63"/>
    <w:rsid w:val="2A1F58FE"/>
    <w:rsid w:val="2A3F1F93"/>
    <w:rsid w:val="2A452503"/>
    <w:rsid w:val="2A521C5F"/>
    <w:rsid w:val="2A566E5D"/>
    <w:rsid w:val="2A662A5E"/>
    <w:rsid w:val="2A742AF1"/>
    <w:rsid w:val="2A7441EA"/>
    <w:rsid w:val="2A7C2BFC"/>
    <w:rsid w:val="2AA50EFC"/>
    <w:rsid w:val="2AA809EC"/>
    <w:rsid w:val="2AA8279A"/>
    <w:rsid w:val="2AAD3426"/>
    <w:rsid w:val="2AB24F59"/>
    <w:rsid w:val="2AC5206B"/>
    <w:rsid w:val="2ACA020E"/>
    <w:rsid w:val="2ACA31E0"/>
    <w:rsid w:val="2ACF1BB5"/>
    <w:rsid w:val="2AD34292"/>
    <w:rsid w:val="2AD42706"/>
    <w:rsid w:val="2AD72C13"/>
    <w:rsid w:val="2AE144DD"/>
    <w:rsid w:val="2AE61278"/>
    <w:rsid w:val="2AF54C38"/>
    <w:rsid w:val="2AFA6A0E"/>
    <w:rsid w:val="2AFC4894"/>
    <w:rsid w:val="2B006133"/>
    <w:rsid w:val="2B050629"/>
    <w:rsid w:val="2B3B53BD"/>
    <w:rsid w:val="2B496A2D"/>
    <w:rsid w:val="2B533207"/>
    <w:rsid w:val="2B541391"/>
    <w:rsid w:val="2B560448"/>
    <w:rsid w:val="2B594BA7"/>
    <w:rsid w:val="2B5976BB"/>
    <w:rsid w:val="2B5D5D70"/>
    <w:rsid w:val="2B603075"/>
    <w:rsid w:val="2B65243A"/>
    <w:rsid w:val="2B653354"/>
    <w:rsid w:val="2B663B9E"/>
    <w:rsid w:val="2B7803BF"/>
    <w:rsid w:val="2B85488A"/>
    <w:rsid w:val="2B861A47"/>
    <w:rsid w:val="2B8D6D49"/>
    <w:rsid w:val="2B91392E"/>
    <w:rsid w:val="2BA2368E"/>
    <w:rsid w:val="2BA936A8"/>
    <w:rsid w:val="2BAC1A5F"/>
    <w:rsid w:val="2BC162D3"/>
    <w:rsid w:val="2BD27F42"/>
    <w:rsid w:val="2BD5764A"/>
    <w:rsid w:val="2BD664CD"/>
    <w:rsid w:val="2BEA56D2"/>
    <w:rsid w:val="2BEF7575"/>
    <w:rsid w:val="2BF01901"/>
    <w:rsid w:val="2C0010B8"/>
    <w:rsid w:val="2C05036B"/>
    <w:rsid w:val="2C0C0B07"/>
    <w:rsid w:val="2C196554"/>
    <w:rsid w:val="2C1D328F"/>
    <w:rsid w:val="2C210A56"/>
    <w:rsid w:val="2C250873"/>
    <w:rsid w:val="2C275941"/>
    <w:rsid w:val="2C2B5431"/>
    <w:rsid w:val="2C315A5A"/>
    <w:rsid w:val="2C3C5B7C"/>
    <w:rsid w:val="2C3F3C94"/>
    <w:rsid w:val="2C4B1C25"/>
    <w:rsid w:val="2C56006A"/>
    <w:rsid w:val="2C572784"/>
    <w:rsid w:val="2C5C7F70"/>
    <w:rsid w:val="2C80024F"/>
    <w:rsid w:val="2C93667D"/>
    <w:rsid w:val="2C9D1056"/>
    <w:rsid w:val="2CA86A82"/>
    <w:rsid w:val="2CA957AE"/>
    <w:rsid w:val="2CB63D4C"/>
    <w:rsid w:val="2CD45AC9"/>
    <w:rsid w:val="2CDE23AC"/>
    <w:rsid w:val="2CF5641F"/>
    <w:rsid w:val="2D0B0DBF"/>
    <w:rsid w:val="2D0B7E51"/>
    <w:rsid w:val="2D103CA1"/>
    <w:rsid w:val="2D11636C"/>
    <w:rsid w:val="2D371BB4"/>
    <w:rsid w:val="2D3740B8"/>
    <w:rsid w:val="2D560C92"/>
    <w:rsid w:val="2D776454"/>
    <w:rsid w:val="2D833E1B"/>
    <w:rsid w:val="2D8A285E"/>
    <w:rsid w:val="2D9E56F5"/>
    <w:rsid w:val="2DAD011B"/>
    <w:rsid w:val="2DB9081B"/>
    <w:rsid w:val="2DC0703A"/>
    <w:rsid w:val="2DD02B28"/>
    <w:rsid w:val="2DD16F30"/>
    <w:rsid w:val="2DE758BA"/>
    <w:rsid w:val="2DE8495E"/>
    <w:rsid w:val="2DEB6E74"/>
    <w:rsid w:val="2DEE76CE"/>
    <w:rsid w:val="2E187C37"/>
    <w:rsid w:val="2E1D0A29"/>
    <w:rsid w:val="2E291E44"/>
    <w:rsid w:val="2E2C36E3"/>
    <w:rsid w:val="2E371675"/>
    <w:rsid w:val="2E3C3D01"/>
    <w:rsid w:val="2E402CEA"/>
    <w:rsid w:val="2E4317D6"/>
    <w:rsid w:val="2E4346F5"/>
    <w:rsid w:val="2E443131"/>
    <w:rsid w:val="2E474078"/>
    <w:rsid w:val="2E55726A"/>
    <w:rsid w:val="2E5C18EB"/>
    <w:rsid w:val="2E5F13C2"/>
    <w:rsid w:val="2E5F7614"/>
    <w:rsid w:val="2E600E98"/>
    <w:rsid w:val="2E61777B"/>
    <w:rsid w:val="2E667F96"/>
    <w:rsid w:val="2E67212E"/>
    <w:rsid w:val="2E7110F5"/>
    <w:rsid w:val="2E7119A2"/>
    <w:rsid w:val="2E78040C"/>
    <w:rsid w:val="2E8226AB"/>
    <w:rsid w:val="2E842D11"/>
    <w:rsid w:val="2E874B66"/>
    <w:rsid w:val="2EA86D20"/>
    <w:rsid w:val="2EAA356F"/>
    <w:rsid w:val="2EAF1B8B"/>
    <w:rsid w:val="2EAF7625"/>
    <w:rsid w:val="2EB23BE8"/>
    <w:rsid w:val="2EBD5129"/>
    <w:rsid w:val="2ED743AA"/>
    <w:rsid w:val="2EE30245"/>
    <w:rsid w:val="2EE95643"/>
    <w:rsid w:val="2EFF5723"/>
    <w:rsid w:val="2F3C2886"/>
    <w:rsid w:val="2F4070C9"/>
    <w:rsid w:val="2F4221ED"/>
    <w:rsid w:val="2F4E4AA2"/>
    <w:rsid w:val="2F4F1437"/>
    <w:rsid w:val="2F5C6564"/>
    <w:rsid w:val="2F61316F"/>
    <w:rsid w:val="2F662C24"/>
    <w:rsid w:val="2F837332"/>
    <w:rsid w:val="2F882B9B"/>
    <w:rsid w:val="2F8B4A44"/>
    <w:rsid w:val="2F8C268B"/>
    <w:rsid w:val="2F904358"/>
    <w:rsid w:val="2FAD2601"/>
    <w:rsid w:val="2FAE2B5F"/>
    <w:rsid w:val="2FB5794D"/>
    <w:rsid w:val="2FB8225B"/>
    <w:rsid w:val="2FCD4A51"/>
    <w:rsid w:val="2FCF0858"/>
    <w:rsid w:val="2FD065E6"/>
    <w:rsid w:val="2FD96870"/>
    <w:rsid w:val="2FDD2BAB"/>
    <w:rsid w:val="2FE66278"/>
    <w:rsid w:val="2FF5711E"/>
    <w:rsid w:val="30017B36"/>
    <w:rsid w:val="301601A6"/>
    <w:rsid w:val="30162FEC"/>
    <w:rsid w:val="302E0FC2"/>
    <w:rsid w:val="30444D13"/>
    <w:rsid w:val="304B0049"/>
    <w:rsid w:val="304F147C"/>
    <w:rsid w:val="30580BC9"/>
    <w:rsid w:val="306462E4"/>
    <w:rsid w:val="306C677D"/>
    <w:rsid w:val="30761932"/>
    <w:rsid w:val="3083092C"/>
    <w:rsid w:val="30896BCA"/>
    <w:rsid w:val="308D1CC8"/>
    <w:rsid w:val="30915A7F"/>
    <w:rsid w:val="309440A1"/>
    <w:rsid w:val="309F5952"/>
    <w:rsid w:val="30A33C04"/>
    <w:rsid w:val="30A36FF1"/>
    <w:rsid w:val="30B17ECF"/>
    <w:rsid w:val="30C50E03"/>
    <w:rsid w:val="30D46D44"/>
    <w:rsid w:val="30D61664"/>
    <w:rsid w:val="30E107B4"/>
    <w:rsid w:val="30E14632"/>
    <w:rsid w:val="30F77FD8"/>
    <w:rsid w:val="30FA0A5F"/>
    <w:rsid w:val="31052A03"/>
    <w:rsid w:val="310D3357"/>
    <w:rsid w:val="311D3DF9"/>
    <w:rsid w:val="311D3E91"/>
    <w:rsid w:val="311E2ED7"/>
    <w:rsid w:val="31283321"/>
    <w:rsid w:val="313E0D04"/>
    <w:rsid w:val="31427CF9"/>
    <w:rsid w:val="31480833"/>
    <w:rsid w:val="315619EE"/>
    <w:rsid w:val="315C449C"/>
    <w:rsid w:val="31633AA7"/>
    <w:rsid w:val="31663A7F"/>
    <w:rsid w:val="317909ED"/>
    <w:rsid w:val="317C04DD"/>
    <w:rsid w:val="318F3206"/>
    <w:rsid w:val="319B26BD"/>
    <w:rsid w:val="319C0B7F"/>
    <w:rsid w:val="319C4DF7"/>
    <w:rsid w:val="319E0453"/>
    <w:rsid w:val="319F049E"/>
    <w:rsid w:val="31A0509F"/>
    <w:rsid w:val="31B732C3"/>
    <w:rsid w:val="31B82709"/>
    <w:rsid w:val="31BE6C8E"/>
    <w:rsid w:val="31D05482"/>
    <w:rsid w:val="31E3230A"/>
    <w:rsid w:val="31EA0438"/>
    <w:rsid w:val="31F67EDC"/>
    <w:rsid w:val="322E5722"/>
    <w:rsid w:val="323C7F83"/>
    <w:rsid w:val="32400B34"/>
    <w:rsid w:val="32723FB1"/>
    <w:rsid w:val="32962B55"/>
    <w:rsid w:val="329A50BF"/>
    <w:rsid w:val="329E6876"/>
    <w:rsid w:val="32A945C3"/>
    <w:rsid w:val="32B32191"/>
    <w:rsid w:val="32BE00D2"/>
    <w:rsid w:val="32CB5119"/>
    <w:rsid w:val="32D011E7"/>
    <w:rsid w:val="32D50FCA"/>
    <w:rsid w:val="32EE54C9"/>
    <w:rsid w:val="32F32879"/>
    <w:rsid w:val="32FB467E"/>
    <w:rsid w:val="33182487"/>
    <w:rsid w:val="332D7CE1"/>
    <w:rsid w:val="333015F2"/>
    <w:rsid w:val="33346D74"/>
    <w:rsid w:val="33424F22"/>
    <w:rsid w:val="334B6320"/>
    <w:rsid w:val="33547B5C"/>
    <w:rsid w:val="33634D15"/>
    <w:rsid w:val="336747D4"/>
    <w:rsid w:val="336851BD"/>
    <w:rsid w:val="337551E4"/>
    <w:rsid w:val="337D3FD2"/>
    <w:rsid w:val="338D3D76"/>
    <w:rsid w:val="33951EF8"/>
    <w:rsid w:val="339F04B3"/>
    <w:rsid w:val="33B84A98"/>
    <w:rsid w:val="33D934D4"/>
    <w:rsid w:val="33DA3717"/>
    <w:rsid w:val="33DD6483"/>
    <w:rsid w:val="33DF0372"/>
    <w:rsid w:val="33F82B82"/>
    <w:rsid w:val="33FA3352"/>
    <w:rsid w:val="33FC5905"/>
    <w:rsid w:val="33FE2F6A"/>
    <w:rsid w:val="34054394"/>
    <w:rsid w:val="3409654F"/>
    <w:rsid w:val="340A1DD0"/>
    <w:rsid w:val="340E07E5"/>
    <w:rsid w:val="341A3419"/>
    <w:rsid w:val="341F50E7"/>
    <w:rsid w:val="34235BF7"/>
    <w:rsid w:val="342A6B27"/>
    <w:rsid w:val="342D300F"/>
    <w:rsid w:val="34470CF5"/>
    <w:rsid w:val="346102C5"/>
    <w:rsid w:val="346670F7"/>
    <w:rsid w:val="34695BBC"/>
    <w:rsid w:val="34763909"/>
    <w:rsid w:val="34790D04"/>
    <w:rsid w:val="347D2504"/>
    <w:rsid w:val="347E456C"/>
    <w:rsid w:val="34931DC5"/>
    <w:rsid w:val="34A75871"/>
    <w:rsid w:val="34A843EE"/>
    <w:rsid w:val="34AD3BB4"/>
    <w:rsid w:val="34AE4E51"/>
    <w:rsid w:val="34B65AB4"/>
    <w:rsid w:val="34D507EF"/>
    <w:rsid w:val="34E402F2"/>
    <w:rsid w:val="34F760D5"/>
    <w:rsid w:val="3508367E"/>
    <w:rsid w:val="351333BE"/>
    <w:rsid w:val="3518051D"/>
    <w:rsid w:val="352A48EB"/>
    <w:rsid w:val="352D221A"/>
    <w:rsid w:val="3531023C"/>
    <w:rsid w:val="35447C50"/>
    <w:rsid w:val="355377A7"/>
    <w:rsid w:val="355A6D87"/>
    <w:rsid w:val="355A73ED"/>
    <w:rsid w:val="355C2AFF"/>
    <w:rsid w:val="35642417"/>
    <w:rsid w:val="3576225A"/>
    <w:rsid w:val="357A4792"/>
    <w:rsid w:val="35803742"/>
    <w:rsid w:val="35881FB4"/>
    <w:rsid w:val="358A6F34"/>
    <w:rsid w:val="358C5FA8"/>
    <w:rsid w:val="3598339F"/>
    <w:rsid w:val="35986F42"/>
    <w:rsid w:val="35A52FD0"/>
    <w:rsid w:val="35AE50D1"/>
    <w:rsid w:val="35B30245"/>
    <w:rsid w:val="35C12962"/>
    <w:rsid w:val="35C15DF1"/>
    <w:rsid w:val="35C34E26"/>
    <w:rsid w:val="35CA5CBB"/>
    <w:rsid w:val="35CB558F"/>
    <w:rsid w:val="35D1164F"/>
    <w:rsid w:val="35D347A9"/>
    <w:rsid w:val="35DF6AED"/>
    <w:rsid w:val="35E07D68"/>
    <w:rsid w:val="35F40F8A"/>
    <w:rsid w:val="360311CD"/>
    <w:rsid w:val="36074A7F"/>
    <w:rsid w:val="360E0A21"/>
    <w:rsid w:val="360E3B01"/>
    <w:rsid w:val="36110972"/>
    <w:rsid w:val="361138EA"/>
    <w:rsid w:val="362A6219"/>
    <w:rsid w:val="36394BEF"/>
    <w:rsid w:val="363D6078"/>
    <w:rsid w:val="363E7E94"/>
    <w:rsid w:val="364B2D8D"/>
    <w:rsid w:val="365B2DB7"/>
    <w:rsid w:val="365B7EC0"/>
    <w:rsid w:val="366479D3"/>
    <w:rsid w:val="367A7548"/>
    <w:rsid w:val="367C093A"/>
    <w:rsid w:val="36881635"/>
    <w:rsid w:val="36895934"/>
    <w:rsid w:val="368D102E"/>
    <w:rsid w:val="36914BCE"/>
    <w:rsid w:val="36923549"/>
    <w:rsid w:val="36AC38FB"/>
    <w:rsid w:val="36B75FBF"/>
    <w:rsid w:val="36BA16FC"/>
    <w:rsid w:val="36BC31FC"/>
    <w:rsid w:val="36BD0C45"/>
    <w:rsid w:val="36DF7544"/>
    <w:rsid w:val="36E27034"/>
    <w:rsid w:val="3729447F"/>
    <w:rsid w:val="37353608"/>
    <w:rsid w:val="373B04F2"/>
    <w:rsid w:val="37667C65"/>
    <w:rsid w:val="37672CBF"/>
    <w:rsid w:val="376A28C4"/>
    <w:rsid w:val="37732859"/>
    <w:rsid w:val="37774177"/>
    <w:rsid w:val="378105FB"/>
    <w:rsid w:val="37815CA2"/>
    <w:rsid w:val="37857C22"/>
    <w:rsid w:val="37880510"/>
    <w:rsid w:val="37957E64"/>
    <w:rsid w:val="37966DEB"/>
    <w:rsid w:val="379C4E4D"/>
    <w:rsid w:val="37A22631"/>
    <w:rsid w:val="37A70CCC"/>
    <w:rsid w:val="37AA0E19"/>
    <w:rsid w:val="37AC2546"/>
    <w:rsid w:val="37AC435C"/>
    <w:rsid w:val="37AE1A5D"/>
    <w:rsid w:val="37B645D5"/>
    <w:rsid w:val="37BC3018"/>
    <w:rsid w:val="37C80C1D"/>
    <w:rsid w:val="37CE281A"/>
    <w:rsid w:val="37D310E2"/>
    <w:rsid w:val="37E00298"/>
    <w:rsid w:val="381051E0"/>
    <w:rsid w:val="381F1BC2"/>
    <w:rsid w:val="383B53FB"/>
    <w:rsid w:val="3848463C"/>
    <w:rsid w:val="384B597E"/>
    <w:rsid w:val="38571B5E"/>
    <w:rsid w:val="385E093C"/>
    <w:rsid w:val="38660E7F"/>
    <w:rsid w:val="38676F99"/>
    <w:rsid w:val="388A771C"/>
    <w:rsid w:val="388C002D"/>
    <w:rsid w:val="388F3B0F"/>
    <w:rsid w:val="38A63653"/>
    <w:rsid w:val="38AC78FA"/>
    <w:rsid w:val="38AF451F"/>
    <w:rsid w:val="38B221E7"/>
    <w:rsid w:val="38B302F9"/>
    <w:rsid w:val="38BD52D9"/>
    <w:rsid w:val="38BE762D"/>
    <w:rsid w:val="38C05153"/>
    <w:rsid w:val="38C70290"/>
    <w:rsid w:val="38C84008"/>
    <w:rsid w:val="38CA6556"/>
    <w:rsid w:val="38DF071D"/>
    <w:rsid w:val="38E52BFD"/>
    <w:rsid w:val="38E5315D"/>
    <w:rsid w:val="38F12CD3"/>
    <w:rsid w:val="38F94775"/>
    <w:rsid w:val="391536F1"/>
    <w:rsid w:val="39245FCE"/>
    <w:rsid w:val="392971ED"/>
    <w:rsid w:val="392E59B4"/>
    <w:rsid w:val="39325651"/>
    <w:rsid w:val="394010D9"/>
    <w:rsid w:val="394704B1"/>
    <w:rsid w:val="395F1C11"/>
    <w:rsid w:val="39697599"/>
    <w:rsid w:val="396B3311"/>
    <w:rsid w:val="398610CE"/>
    <w:rsid w:val="398C590D"/>
    <w:rsid w:val="39903414"/>
    <w:rsid w:val="399E27B0"/>
    <w:rsid w:val="39A93E39"/>
    <w:rsid w:val="39CA35E1"/>
    <w:rsid w:val="39CA4947"/>
    <w:rsid w:val="39CE2C8D"/>
    <w:rsid w:val="39DF446A"/>
    <w:rsid w:val="39E03482"/>
    <w:rsid w:val="39E207B1"/>
    <w:rsid w:val="39F05568"/>
    <w:rsid w:val="39F72585"/>
    <w:rsid w:val="3A015A23"/>
    <w:rsid w:val="3A0821EA"/>
    <w:rsid w:val="3A161905"/>
    <w:rsid w:val="3A231125"/>
    <w:rsid w:val="3A2630EE"/>
    <w:rsid w:val="3A3000B7"/>
    <w:rsid w:val="3A485400"/>
    <w:rsid w:val="3A4E02F0"/>
    <w:rsid w:val="3A561A17"/>
    <w:rsid w:val="3A5C3E46"/>
    <w:rsid w:val="3A6B67E3"/>
    <w:rsid w:val="3A744447"/>
    <w:rsid w:val="3A7E295B"/>
    <w:rsid w:val="3A7F4741"/>
    <w:rsid w:val="3A872856"/>
    <w:rsid w:val="3A926B64"/>
    <w:rsid w:val="3AA641C2"/>
    <w:rsid w:val="3AB21AFF"/>
    <w:rsid w:val="3ABB3E24"/>
    <w:rsid w:val="3AC04D69"/>
    <w:rsid w:val="3ACC0305"/>
    <w:rsid w:val="3AD82FF0"/>
    <w:rsid w:val="3AE8273F"/>
    <w:rsid w:val="3B194FEF"/>
    <w:rsid w:val="3B225212"/>
    <w:rsid w:val="3B2714BA"/>
    <w:rsid w:val="3B2A2C0D"/>
    <w:rsid w:val="3B3763D1"/>
    <w:rsid w:val="3B3B20DC"/>
    <w:rsid w:val="3B3B26B4"/>
    <w:rsid w:val="3B4665B0"/>
    <w:rsid w:val="3B5B1ACD"/>
    <w:rsid w:val="3B7C05BC"/>
    <w:rsid w:val="3B847696"/>
    <w:rsid w:val="3B894744"/>
    <w:rsid w:val="3B9052B1"/>
    <w:rsid w:val="3B9841FE"/>
    <w:rsid w:val="3BA15C6B"/>
    <w:rsid w:val="3BAE1BDB"/>
    <w:rsid w:val="3BC44F5A"/>
    <w:rsid w:val="3BCB634B"/>
    <w:rsid w:val="3BE41159"/>
    <w:rsid w:val="3BE519B4"/>
    <w:rsid w:val="3BED2703"/>
    <w:rsid w:val="3C047A4D"/>
    <w:rsid w:val="3C0637C5"/>
    <w:rsid w:val="3C101F4E"/>
    <w:rsid w:val="3C213DBA"/>
    <w:rsid w:val="3C2A0F73"/>
    <w:rsid w:val="3C2F6E1E"/>
    <w:rsid w:val="3C392385"/>
    <w:rsid w:val="3C3955C9"/>
    <w:rsid w:val="3C472F41"/>
    <w:rsid w:val="3C4816E7"/>
    <w:rsid w:val="3C4F64BA"/>
    <w:rsid w:val="3C5178CC"/>
    <w:rsid w:val="3C5F4C83"/>
    <w:rsid w:val="3C66681A"/>
    <w:rsid w:val="3C667DC0"/>
    <w:rsid w:val="3C6F136A"/>
    <w:rsid w:val="3C8B2027"/>
    <w:rsid w:val="3C8E413E"/>
    <w:rsid w:val="3C92069A"/>
    <w:rsid w:val="3C94187F"/>
    <w:rsid w:val="3C9568F7"/>
    <w:rsid w:val="3C972852"/>
    <w:rsid w:val="3C9C7C85"/>
    <w:rsid w:val="3CA209B6"/>
    <w:rsid w:val="3CA228E3"/>
    <w:rsid w:val="3CBF0783"/>
    <w:rsid w:val="3CD31755"/>
    <w:rsid w:val="3CD64EEA"/>
    <w:rsid w:val="3CDA245A"/>
    <w:rsid w:val="3CDD4FE7"/>
    <w:rsid w:val="3CDE7E6E"/>
    <w:rsid w:val="3CF02D4D"/>
    <w:rsid w:val="3CF63839"/>
    <w:rsid w:val="3D0C7EE5"/>
    <w:rsid w:val="3D0E0B83"/>
    <w:rsid w:val="3D100A3D"/>
    <w:rsid w:val="3D1E06B7"/>
    <w:rsid w:val="3D2C2220"/>
    <w:rsid w:val="3D3B78D6"/>
    <w:rsid w:val="3D4B2926"/>
    <w:rsid w:val="3D597AFB"/>
    <w:rsid w:val="3D606F05"/>
    <w:rsid w:val="3D6F736D"/>
    <w:rsid w:val="3D703E5A"/>
    <w:rsid w:val="3D721BAD"/>
    <w:rsid w:val="3D766F81"/>
    <w:rsid w:val="3D790ED4"/>
    <w:rsid w:val="3D7D3B8B"/>
    <w:rsid w:val="3D976F39"/>
    <w:rsid w:val="3D9902ED"/>
    <w:rsid w:val="3DC02614"/>
    <w:rsid w:val="3DC254CA"/>
    <w:rsid w:val="3DCF0CF2"/>
    <w:rsid w:val="3DD00B61"/>
    <w:rsid w:val="3DD64435"/>
    <w:rsid w:val="3DFD26B4"/>
    <w:rsid w:val="3DFD6502"/>
    <w:rsid w:val="3E0111E3"/>
    <w:rsid w:val="3E09134A"/>
    <w:rsid w:val="3E0E69B8"/>
    <w:rsid w:val="3E0F771B"/>
    <w:rsid w:val="3E185FAA"/>
    <w:rsid w:val="3E1B7603"/>
    <w:rsid w:val="3E1D4930"/>
    <w:rsid w:val="3E682515"/>
    <w:rsid w:val="3E693B97"/>
    <w:rsid w:val="3E6A117B"/>
    <w:rsid w:val="3E6E552A"/>
    <w:rsid w:val="3E726EF0"/>
    <w:rsid w:val="3E7B5785"/>
    <w:rsid w:val="3E895FE7"/>
    <w:rsid w:val="3E973163"/>
    <w:rsid w:val="3EB71135"/>
    <w:rsid w:val="3EBD52C2"/>
    <w:rsid w:val="3EC768F4"/>
    <w:rsid w:val="3ED23E32"/>
    <w:rsid w:val="3ED27251"/>
    <w:rsid w:val="3ED731F7"/>
    <w:rsid w:val="3EDA0523"/>
    <w:rsid w:val="3EDA2672"/>
    <w:rsid w:val="3EE47888"/>
    <w:rsid w:val="3EE819BF"/>
    <w:rsid w:val="3EEF0402"/>
    <w:rsid w:val="3EFB4E8C"/>
    <w:rsid w:val="3F042695"/>
    <w:rsid w:val="3F051B12"/>
    <w:rsid w:val="3F0E3630"/>
    <w:rsid w:val="3F220916"/>
    <w:rsid w:val="3F2969DF"/>
    <w:rsid w:val="3F4F4696"/>
    <w:rsid w:val="3F5B0661"/>
    <w:rsid w:val="3F610607"/>
    <w:rsid w:val="3F703557"/>
    <w:rsid w:val="3F78260C"/>
    <w:rsid w:val="3F785466"/>
    <w:rsid w:val="3F797E8F"/>
    <w:rsid w:val="3F7D78FA"/>
    <w:rsid w:val="3F977363"/>
    <w:rsid w:val="3FA4757D"/>
    <w:rsid w:val="3FD159DF"/>
    <w:rsid w:val="3FDF0C0D"/>
    <w:rsid w:val="3FDF5019"/>
    <w:rsid w:val="3FE103A4"/>
    <w:rsid w:val="3FF34060"/>
    <w:rsid w:val="3FF54B72"/>
    <w:rsid w:val="400022D9"/>
    <w:rsid w:val="400852D1"/>
    <w:rsid w:val="40175FA1"/>
    <w:rsid w:val="401A060A"/>
    <w:rsid w:val="402045AD"/>
    <w:rsid w:val="40357A4F"/>
    <w:rsid w:val="40480AB6"/>
    <w:rsid w:val="404B49C3"/>
    <w:rsid w:val="40637E4A"/>
    <w:rsid w:val="40711152"/>
    <w:rsid w:val="40772D8A"/>
    <w:rsid w:val="407A6407"/>
    <w:rsid w:val="409173D6"/>
    <w:rsid w:val="4093314D"/>
    <w:rsid w:val="40AB3370"/>
    <w:rsid w:val="40B64E72"/>
    <w:rsid w:val="40CB63AB"/>
    <w:rsid w:val="40D043A1"/>
    <w:rsid w:val="40DE038F"/>
    <w:rsid w:val="40F276D3"/>
    <w:rsid w:val="40F40F69"/>
    <w:rsid w:val="40F9092A"/>
    <w:rsid w:val="40FE2B4E"/>
    <w:rsid w:val="410127AD"/>
    <w:rsid w:val="41036525"/>
    <w:rsid w:val="41044570"/>
    <w:rsid w:val="41172BC2"/>
    <w:rsid w:val="41181DC2"/>
    <w:rsid w:val="41314E40"/>
    <w:rsid w:val="41326E0A"/>
    <w:rsid w:val="4135001C"/>
    <w:rsid w:val="413B5CBF"/>
    <w:rsid w:val="41547C7E"/>
    <w:rsid w:val="415632DB"/>
    <w:rsid w:val="41661FF0"/>
    <w:rsid w:val="417F52D9"/>
    <w:rsid w:val="41810984"/>
    <w:rsid w:val="41843184"/>
    <w:rsid w:val="418C02C8"/>
    <w:rsid w:val="41936B67"/>
    <w:rsid w:val="419A264F"/>
    <w:rsid w:val="41A91750"/>
    <w:rsid w:val="41AC4562"/>
    <w:rsid w:val="41B06F6C"/>
    <w:rsid w:val="41CC5867"/>
    <w:rsid w:val="41D6286D"/>
    <w:rsid w:val="41EB342B"/>
    <w:rsid w:val="41FD7266"/>
    <w:rsid w:val="4200449D"/>
    <w:rsid w:val="42084F38"/>
    <w:rsid w:val="421A58D4"/>
    <w:rsid w:val="422449A5"/>
    <w:rsid w:val="42260A6F"/>
    <w:rsid w:val="42282FE2"/>
    <w:rsid w:val="423A3BCC"/>
    <w:rsid w:val="423A5D78"/>
    <w:rsid w:val="423D46F9"/>
    <w:rsid w:val="424E57D2"/>
    <w:rsid w:val="425702A2"/>
    <w:rsid w:val="426C137F"/>
    <w:rsid w:val="428216CB"/>
    <w:rsid w:val="42832E2D"/>
    <w:rsid w:val="42857B53"/>
    <w:rsid w:val="428A2A07"/>
    <w:rsid w:val="428B6983"/>
    <w:rsid w:val="429E219E"/>
    <w:rsid w:val="429E5B46"/>
    <w:rsid w:val="42A925FC"/>
    <w:rsid w:val="42AC48D8"/>
    <w:rsid w:val="42B26C49"/>
    <w:rsid w:val="42B5384F"/>
    <w:rsid w:val="42C24FD0"/>
    <w:rsid w:val="42C43BCE"/>
    <w:rsid w:val="42C534F8"/>
    <w:rsid w:val="42C61B54"/>
    <w:rsid w:val="42CD4040"/>
    <w:rsid w:val="42D24401"/>
    <w:rsid w:val="42E66EDA"/>
    <w:rsid w:val="42E85742"/>
    <w:rsid w:val="42E91FDB"/>
    <w:rsid w:val="42F3509C"/>
    <w:rsid w:val="43002288"/>
    <w:rsid w:val="430F6BED"/>
    <w:rsid w:val="43261F7C"/>
    <w:rsid w:val="433610B6"/>
    <w:rsid w:val="43395A3D"/>
    <w:rsid w:val="433A6FE6"/>
    <w:rsid w:val="433B2D12"/>
    <w:rsid w:val="43480868"/>
    <w:rsid w:val="4350713C"/>
    <w:rsid w:val="43576E7E"/>
    <w:rsid w:val="436451D4"/>
    <w:rsid w:val="436653E0"/>
    <w:rsid w:val="43670FED"/>
    <w:rsid w:val="437B23A2"/>
    <w:rsid w:val="43910F3B"/>
    <w:rsid w:val="439A3786"/>
    <w:rsid w:val="43BB3579"/>
    <w:rsid w:val="43C4431A"/>
    <w:rsid w:val="43C61E57"/>
    <w:rsid w:val="43DA6296"/>
    <w:rsid w:val="43F02CAE"/>
    <w:rsid w:val="43FE4D82"/>
    <w:rsid w:val="4406550C"/>
    <w:rsid w:val="440C719A"/>
    <w:rsid w:val="441D5B50"/>
    <w:rsid w:val="44231A85"/>
    <w:rsid w:val="44297467"/>
    <w:rsid w:val="442C5D93"/>
    <w:rsid w:val="44332C7D"/>
    <w:rsid w:val="444C1F91"/>
    <w:rsid w:val="445B51E7"/>
    <w:rsid w:val="44661919"/>
    <w:rsid w:val="44730EB7"/>
    <w:rsid w:val="447D039C"/>
    <w:rsid w:val="448F63E5"/>
    <w:rsid w:val="44943608"/>
    <w:rsid w:val="44AD23A9"/>
    <w:rsid w:val="44AE0837"/>
    <w:rsid w:val="44B951CC"/>
    <w:rsid w:val="44BC7116"/>
    <w:rsid w:val="44BF2691"/>
    <w:rsid w:val="44C241A2"/>
    <w:rsid w:val="44C70E65"/>
    <w:rsid w:val="44CB55AC"/>
    <w:rsid w:val="44CC5421"/>
    <w:rsid w:val="44CD14E0"/>
    <w:rsid w:val="44DE3F75"/>
    <w:rsid w:val="44E26451"/>
    <w:rsid w:val="44EC46E6"/>
    <w:rsid w:val="44EF24B6"/>
    <w:rsid w:val="44F06DC0"/>
    <w:rsid w:val="44F20B0B"/>
    <w:rsid w:val="44F41584"/>
    <w:rsid w:val="44F478CE"/>
    <w:rsid w:val="44FB62CC"/>
    <w:rsid w:val="451B11B8"/>
    <w:rsid w:val="452B429C"/>
    <w:rsid w:val="452D1715"/>
    <w:rsid w:val="452E5F4C"/>
    <w:rsid w:val="45310096"/>
    <w:rsid w:val="453452D6"/>
    <w:rsid w:val="45357ED5"/>
    <w:rsid w:val="453735B3"/>
    <w:rsid w:val="4545799C"/>
    <w:rsid w:val="45486BFC"/>
    <w:rsid w:val="454E3CAB"/>
    <w:rsid w:val="45612018"/>
    <w:rsid w:val="457B2B2E"/>
    <w:rsid w:val="4585533A"/>
    <w:rsid w:val="45857508"/>
    <w:rsid w:val="45877724"/>
    <w:rsid w:val="458946E9"/>
    <w:rsid w:val="45A116B5"/>
    <w:rsid w:val="45A47C0E"/>
    <w:rsid w:val="45AA0453"/>
    <w:rsid w:val="45B47F84"/>
    <w:rsid w:val="45B5108C"/>
    <w:rsid w:val="45C2075D"/>
    <w:rsid w:val="45C253A7"/>
    <w:rsid w:val="45C407F8"/>
    <w:rsid w:val="45C47FE6"/>
    <w:rsid w:val="45DB35CC"/>
    <w:rsid w:val="45E200A9"/>
    <w:rsid w:val="45F104C5"/>
    <w:rsid w:val="45F80D1D"/>
    <w:rsid w:val="45F83C56"/>
    <w:rsid w:val="45FB77CB"/>
    <w:rsid w:val="45FF6B67"/>
    <w:rsid w:val="461207DE"/>
    <w:rsid w:val="46181CD3"/>
    <w:rsid w:val="46301F84"/>
    <w:rsid w:val="463C6C54"/>
    <w:rsid w:val="46577FD6"/>
    <w:rsid w:val="46651743"/>
    <w:rsid w:val="466E068E"/>
    <w:rsid w:val="467B1E3B"/>
    <w:rsid w:val="469B2D5C"/>
    <w:rsid w:val="46A14816"/>
    <w:rsid w:val="46AB75EC"/>
    <w:rsid w:val="46AD1794"/>
    <w:rsid w:val="46B30DE6"/>
    <w:rsid w:val="46C16C66"/>
    <w:rsid w:val="46C51AB9"/>
    <w:rsid w:val="46CD455E"/>
    <w:rsid w:val="46D75EBB"/>
    <w:rsid w:val="46D86BA4"/>
    <w:rsid w:val="46D955A7"/>
    <w:rsid w:val="46DD105A"/>
    <w:rsid w:val="46EB783F"/>
    <w:rsid w:val="470628CB"/>
    <w:rsid w:val="47133957"/>
    <w:rsid w:val="471349C7"/>
    <w:rsid w:val="47280D7A"/>
    <w:rsid w:val="47336544"/>
    <w:rsid w:val="47451645"/>
    <w:rsid w:val="474A5F5B"/>
    <w:rsid w:val="474C2E23"/>
    <w:rsid w:val="474C55A5"/>
    <w:rsid w:val="475953BF"/>
    <w:rsid w:val="476870E2"/>
    <w:rsid w:val="47794A11"/>
    <w:rsid w:val="477C6B53"/>
    <w:rsid w:val="47862654"/>
    <w:rsid w:val="47A07E0C"/>
    <w:rsid w:val="47A120FB"/>
    <w:rsid w:val="47A224DB"/>
    <w:rsid w:val="47A6638F"/>
    <w:rsid w:val="47A73327"/>
    <w:rsid w:val="47C00CCC"/>
    <w:rsid w:val="47C33C7C"/>
    <w:rsid w:val="47C443E5"/>
    <w:rsid w:val="47C87B80"/>
    <w:rsid w:val="47CC2C1B"/>
    <w:rsid w:val="47EE7652"/>
    <w:rsid w:val="47EF335F"/>
    <w:rsid w:val="47EF36B3"/>
    <w:rsid w:val="47F24BFD"/>
    <w:rsid w:val="47FA07C6"/>
    <w:rsid w:val="480E25A0"/>
    <w:rsid w:val="480F35C7"/>
    <w:rsid w:val="48136630"/>
    <w:rsid w:val="481A666F"/>
    <w:rsid w:val="482C46F7"/>
    <w:rsid w:val="4830160D"/>
    <w:rsid w:val="48511B4B"/>
    <w:rsid w:val="48602E81"/>
    <w:rsid w:val="486346BF"/>
    <w:rsid w:val="48650722"/>
    <w:rsid w:val="4870272E"/>
    <w:rsid w:val="48862C62"/>
    <w:rsid w:val="489C43B2"/>
    <w:rsid w:val="48A00AFD"/>
    <w:rsid w:val="48AB372A"/>
    <w:rsid w:val="48BD5AF7"/>
    <w:rsid w:val="48CB0FB5"/>
    <w:rsid w:val="48CC011E"/>
    <w:rsid w:val="48D06654"/>
    <w:rsid w:val="48D3171E"/>
    <w:rsid w:val="48DB38E3"/>
    <w:rsid w:val="48E85964"/>
    <w:rsid w:val="48ED3874"/>
    <w:rsid w:val="48ED63DD"/>
    <w:rsid w:val="48FB4C86"/>
    <w:rsid w:val="48FE3445"/>
    <w:rsid w:val="49061806"/>
    <w:rsid w:val="491F1A22"/>
    <w:rsid w:val="492B483F"/>
    <w:rsid w:val="492F3D66"/>
    <w:rsid w:val="493354CD"/>
    <w:rsid w:val="49465201"/>
    <w:rsid w:val="494D67E4"/>
    <w:rsid w:val="4958385C"/>
    <w:rsid w:val="495D1418"/>
    <w:rsid w:val="496438D9"/>
    <w:rsid w:val="49644B26"/>
    <w:rsid w:val="497524EA"/>
    <w:rsid w:val="49792421"/>
    <w:rsid w:val="49836818"/>
    <w:rsid w:val="49852879"/>
    <w:rsid w:val="498B4FAA"/>
    <w:rsid w:val="49A560E6"/>
    <w:rsid w:val="49BF4FB3"/>
    <w:rsid w:val="49CA3419"/>
    <w:rsid w:val="49CB1F5C"/>
    <w:rsid w:val="49D97612"/>
    <w:rsid w:val="49DC7715"/>
    <w:rsid w:val="49DE7F41"/>
    <w:rsid w:val="49E01488"/>
    <w:rsid w:val="49E43AED"/>
    <w:rsid w:val="4A023139"/>
    <w:rsid w:val="4A05326F"/>
    <w:rsid w:val="4A0B3C8C"/>
    <w:rsid w:val="4A171B6A"/>
    <w:rsid w:val="4A1D6937"/>
    <w:rsid w:val="4A31675B"/>
    <w:rsid w:val="4A3868ED"/>
    <w:rsid w:val="4A3B0C1C"/>
    <w:rsid w:val="4A3E6BD8"/>
    <w:rsid w:val="4A4831FA"/>
    <w:rsid w:val="4A616F89"/>
    <w:rsid w:val="4A64704B"/>
    <w:rsid w:val="4A7B5738"/>
    <w:rsid w:val="4A7B576F"/>
    <w:rsid w:val="4A941E17"/>
    <w:rsid w:val="4ABB1C1E"/>
    <w:rsid w:val="4AC41483"/>
    <w:rsid w:val="4AC705C3"/>
    <w:rsid w:val="4AD8457E"/>
    <w:rsid w:val="4ADB406F"/>
    <w:rsid w:val="4ADF2EB9"/>
    <w:rsid w:val="4AE958EC"/>
    <w:rsid w:val="4AF561A9"/>
    <w:rsid w:val="4AFA3B96"/>
    <w:rsid w:val="4B106111"/>
    <w:rsid w:val="4B225D19"/>
    <w:rsid w:val="4B272E10"/>
    <w:rsid w:val="4B2D30CB"/>
    <w:rsid w:val="4B3018CD"/>
    <w:rsid w:val="4B453706"/>
    <w:rsid w:val="4B5209F3"/>
    <w:rsid w:val="4B542EFC"/>
    <w:rsid w:val="4B5D0107"/>
    <w:rsid w:val="4B5D43C3"/>
    <w:rsid w:val="4B6867F3"/>
    <w:rsid w:val="4B6E4EE3"/>
    <w:rsid w:val="4B7645F1"/>
    <w:rsid w:val="4B771FE9"/>
    <w:rsid w:val="4B7818BD"/>
    <w:rsid w:val="4B851D22"/>
    <w:rsid w:val="4BBA0D7E"/>
    <w:rsid w:val="4BBE0F5B"/>
    <w:rsid w:val="4BC61899"/>
    <w:rsid w:val="4BC62629"/>
    <w:rsid w:val="4BCE493A"/>
    <w:rsid w:val="4BCF3679"/>
    <w:rsid w:val="4BD702A6"/>
    <w:rsid w:val="4BE34975"/>
    <w:rsid w:val="4BE6690B"/>
    <w:rsid w:val="4BE854A6"/>
    <w:rsid w:val="4BF71087"/>
    <w:rsid w:val="4C0D46FC"/>
    <w:rsid w:val="4C324F11"/>
    <w:rsid w:val="4C4308E1"/>
    <w:rsid w:val="4C4A0649"/>
    <w:rsid w:val="4C4B4628"/>
    <w:rsid w:val="4C567637"/>
    <w:rsid w:val="4C5E0AB3"/>
    <w:rsid w:val="4C630526"/>
    <w:rsid w:val="4C6307E7"/>
    <w:rsid w:val="4C651C26"/>
    <w:rsid w:val="4C6F4A6E"/>
    <w:rsid w:val="4C7E5ECA"/>
    <w:rsid w:val="4C876AA5"/>
    <w:rsid w:val="4C89719B"/>
    <w:rsid w:val="4C9C2A40"/>
    <w:rsid w:val="4CA566E2"/>
    <w:rsid w:val="4CB9218D"/>
    <w:rsid w:val="4CCA437D"/>
    <w:rsid w:val="4CD5225C"/>
    <w:rsid w:val="4CE23492"/>
    <w:rsid w:val="4CE629A2"/>
    <w:rsid w:val="4CEB19EE"/>
    <w:rsid w:val="4CF84A64"/>
    <w:rsid w:val="4CFD05F8"/>
    <w:rsid w:val="4D0D5601"/>
    <w:rsid w:val="4D0E00FB"/>
    <w:rsid w:val="4D176606"/>
    <w:rsid w:val="4D1928EF"/>
    <w:rsid w:val="4D1A1305"/>
    <w:rsid w:val="4D1D1666"/>
    <w:rsid w:val="4D28502B"/>
    <w:rsid w:val="4D2B5402"/>
    <w:rsid w:val="4D3872FF"/>
    <w:rsid w:val="4D3E7059"/>
    <w:rsid w:val="4D4F1685"/>
    <w:rsid w:val="4D622825"/>
    <w:rsid w:val="4D7209E7"/>
    <w:rsid w:val="4D7560E1"/>
    <w:rsid w:val="4D864324"/>
    <w:rsid w:val="4D8757B4"/>
    <w:rsid w:val="4D88319C"/>
    <w:rsid w:val="4D942C95"/>
    <w:rsid w:val="4DB04425"/>
    <w:rsid w:val="4DB31898"/>
    <w:rsid w:val="4DC1579E"/>
    <w:rsid w:val="4DC45D61"/>
    <w:rsid w:val="4DD20C3E"/>
    <w:rsid w:val="4DDB471C"/>
    <w:rsid w:val="4DE1374A"/>
    <w:rsid w:val="4DEC4FB0"/>
    <w:rsid w:val="4DEC7E52"/>
    <w:rsid w:val="4DF21BB5"/>
    <w:rsid w:val="4E00263F"/>
    <w:rsid w:val="4E034757"/>
    <w:rsid w:val="4E056C19"/>
    <w:rsid w:val="4E065795"/>
    <w:rsid w:val="4E075D8A"/>
    <w:rsid w:val="4E0B7EEB"/>
    <w:rsid w:val="4E0F686C"/>
    <w:rsid w:val="4E15678B"/>
    <w:rsid w:val="4E24470E"/>
    <w:rsid w:val="4E2E0329"/>
    <w:rsid w:val="4E390398"/>
    <w:rsid w:val="4E4D54EA"/>
    <w:rsid w:val="4E5056C3"/>
    <w:rsid w:val="4E535251"/>
    <w:rsid w:val="4E556430"/>
    <w:rsid w:val="4E590582"/>
    <w:rsid w:val="4E6014DC"/>
    <w:rsid w:val="4E6A73C2"/>
    <w:rsid w:val="4E6F0D56"/>
    <w:rsid w:val="4E7E16CB"/>
    <w:rsid w:val="4E7E368F"/>
    <w:rsid w:val="4E881E17"/>
    <w:rsid w:val="4EAA113E"/>
    <w:rsid w:val="4EBC72DD"/>
    <w:rsid w:val="4EC00FAD"/>
    <w:rsid w:val="4ECE328B"/>
    <w:rsid w:val="4ECE5195"/>
    <w:rsid w:val="4ECF5C98"/>
    <w:rsid w:val="4EDB1813"/>
    <w:rsid w:val="4EDC21D7"/>
    <w:rsid w:val="4EDD2163"/>
    <w:rsid w:val="4EE221C8"/>
    <w:rsid w:val="4EE259CC"/>
    <w:rsid w:val="4EE61CDA"/>
    <w:rsid w:val="4EE748AB"/>
    <w:rsid w:val="4EED6FDC"/>
    <w:rsid w:val="4EF219BE"/>
    <w:rsid w:val="4EF840EF"/>
    <w:rsid w:val="4EFA29CC"/>
    <w:rsid w:val="4F162E7F"/>
    <w:rsid w:val="4F18319B"/>
    <w:rsid w:val="4F2825AD"/>
    <w:rsid w:val="4F3F4BCC"/>
    <w:rsid w:val="4F405AE9"/>
    <w:rsid w:val="4F473291"/>
    <w:rsid w:val="4F580B6C"/>
    <w:rsid w:val="4F583EE0"/>
    <w:rsid w:val="4F5E3B4E"/>
    <w:rsid w:val="4F675ED1"/>
    <w:rsid w:val="4F6F1BB2"/>
    <w:rsid w:val="4F700A9A"/>
    <w:rsid w:val="4F7505EE"/>
    <w:rsid w:val="4F7A3F06"/>
    <w:rsid w:val="4F807D78"/>
    <w:rsid w:val="4F8434CA"/>
    <w:rsid w:val="4F9071D6"/>
    <w:rsid w:val="4F916D46"/>
    <w:rsid w:val="4F940542"/>
    <w:rsid w:val="4F9541FD"/>
    <w:rsid w:val="4F9843DC"/>
    <w:rsid w:val="4F9B3544"/>
    <w:rsid w:val="4FA445A2"/>
    <w:rsid w:val="4FB54E8E"/>
    <w:rsid w:val="4FC62A8C"/>
    <w:rsid w:val="4FCA54F7"/>
    <w:rsid w:val="4FCD0E84"/>
    <w:rsid w:val="4FD035BF"/>
    <w:rsid w:val="4FD20C8C"/>
    <w:rsid w:val="4FD36ABD"/>
    <w:rsid w:val="4FD66230"/>
    <w:rsid w:val="4FD77C0B"/>
    <w:rsid w:val="4FE20F0D"/>
    <w:rsid w:val="4FE35B43"/>
    <w:rsid w:val="4FE44141"/>
    <w:rsid w:val="4FE51552"/>
    <w:rsid w:val="50017F1C"/>
    <w:rsid w:val="50097A28"/>
    <w:rsid w:val="50111814"/>
    <w:rsid w:val="501A2F43"/>
    <w:rsid w:val="5023004A"/>
    <w:rsid w:val="502344EE"/>
    <w:rsid w:val="5033620F"/>
    <w:rsid w:val="5039282F"/>
    <w:rsid w:val="504736F2"/>
    <w:rsid w:val="504B4C44"/>
    <w:rsid w:val="504C33D6"/>
    <w:rsid w:val="50504C4B"/>
    <w:rsid w:val="507408A5"/>
    <w:rsid w:val="509C6E7C"/>
    <w:rsid w:val="50A62F41"/>
    <w:rsid w:val="50AC140F"/>
    <w:rsid w:val="50B45146"/>
    <w:rsid w:val="50BC224C"/>
    <w:rsid w:val="50C04D4C"/>
    <w:rsid w:val="50C05DEA"/>
    <w:rsid w:val="50CA6717"/>
    <w:rsid w:val="50D86F9C"/>
    <w:rsid w:val="50E357F0"/>
    <w:rsid w:val="50E84DEF"/>
    <w:rsid w:val="50ED2406"/>
    <w:rsid w:val="50F32112"/>
    <w:rsid w:val="50F419E6"/>
    <w:rsid w:val="50FC16BA"/>
    <w:rsid w:val="51073809"/>
    <w:rsid w:val="511011B8"/>
    <w:rsid w:val="51155AAE"/>
    <w:rsid w:val="51172F9F"/>
    <w:rsid w:val="51200A2D"/>
    <w:rsid w:val="51206ED5"/>
    <w:rsid w:val="512C240E"/>
    <w:rsid w:val="515F53E4"/>
    <w:rsid w:val="5162104E"/>
    <w:rsid w:val="516D3D99"/>
    <w:rsid w:val="51861D6F"/>
    <w:rsid w:val="518C55E7"/>
    <w:rsid w:val="519D207E"/>
    <w:rsid w:val="519D6B66"/>
    <w:rsid w:val="51A55BD9"/>
    <w:rsid w:val="51A83C79"/>
    <w:rsid w:val="51AC0E48"/>
    <w:rsid w:val="51B710C6"/>
    <w:rsid w:val="51C404BD"/>
    <w:rsid w:val="51D32A1D"/>
    <w:rsid w:val="51D814B1"/>
    <w:rsid w:val="51F108BD"/>
    <w:rsid w:val="51FA4793"/>
    <w:rsid w:val="520133F3"/>
    <w:rsid w:val="5207043F"/>
    <w:rsid w:val="521B1F5C"/>
    <w:rsid w:val="521C02F9"/>
    <w:rsid w:val="521D148B"/>
    <w:rsid w:val="52233BBC"/>
    <w:rsid w:val="522B58DB"/>
    <w:rsid w:val="523313CB"/>
    <w:rsid w:val="52407B2B"/>
    <w:rsid w:val="5249683C"/>
    <w:rsid w:val="5251037B"/>
    <w:rsid w:val="526850F9"/>
    <w:rsid w:val="52775526"/>
    <w:rsid w:val="527A416D"/>
    <w:rsid w:val="528C16EB"/>
    <w:rsid w:val="528C65B7"/>
    <w:rsid w:val="528F220C"/>
    <w:rsid w:val="52993FA0"/>
    <w:rsid w:val="529C2335"/>
    <w:rsid w:val="52A152C5"/>
    <w:rsid w:val="52A1794C"/>
    <w:rsid w:val="52A65B43"/>
    <w:rsid w:val="52C600D2"/>
    <w:rsid w:val="52D802B4"/>
    <w:rsid w:val="52DA429F"/>
    <w:rsid w:val="52DC0984"/>
    <w:rsid w:val="52E00474"/>
    <w:rsid w:val="52EF6909"/>
    <w:rsid w:val="52FA6DC3"/>
    <w:rsid w:val="52FB0F81"/>
    <w:rsid w:val="530509E3"/>
    <w:rsid w:val="531C291E"/>
    <w:rsid w:val="53204D14"/>
    <w:rsid w:val="53350B0D"/>
    <w:rsid w:val="533B1B4E"/>
    <w:rsid w:val="533C41C5"/>
    <w:rsid w:val="53462ACF"/>
    <w:rsid w:val="534D460A"/>
    <w:rsid w:val="536E3DA0"/>
    <w:rsid w:val="536F00DD"/>
    <w:rsid w:val="53774F95"/>
    <w:rsid w:val="537A4A16"/>
    <w:rsid w:val="53990623"/>
    <w:rsid w:val="53A03634"/>
    <w:rsid w:val="53A039CC"/>
    <w:rsid w:val="53A1505A"/>
    <w:rsid w:val="53AD703B"/>
    <w:rsid w:val="53C07883"/>
    <w:rsid w:val="53C44028"/>
    <w:rsid w:val="53C93962"/>
    <w:rsid w:val="53DF5A4B"/>
    <w:rsid w:val="53E4044E"/>
    <w:rsid w:val="53E77541"/>
    <w:rsid w:val="53F005F3"/>
    <w:rsid w:val="53F02271"/>
    <w:rsid w:val="53FF0DCE"/>
    <w:rsid w:val="54004D75"/>
    <w:rsid w:val="54026F3D"/>
    <w:rsid w:val="54063E08"/>
    <w:rsid w:val="540B4957"/>
    <w:rsid w:val="54185E47"/>
    <w:rsid w:val="541A7EA4"/>
    <w:rsid w:val="54261E03"/>
    <w:rsid w:val="54262A29"/>
    <w:rsid w:val="542813F0"/>
    <w:rsid w:val="542A3A4D"/>
    <w:rsid w:val="54322F51"/>
    <w:rsid w:val="543437E8"/>
    <w:rsid w:val="543B3428"/>
    <w:rsid w:val="54532EC8"/>
    <w:rsid w:val="545A24A8"/>
    <w:rsid w:val="54695CD2"/>
    <w:rsid w:val="54866D6A"/>
    <w:rsid w:val="5489571F"/>
    <w:rsid w:val="54896849"/>
    <w:rsid w:val="54AB2D04"/>
    <w:rsid w:val="54AB4E41"/>
    <w:rsid w:val="54CD4A28"/>
    <w:rsid w:val="54D16685"/>
    <w:rsid w:val="54D20290"/>
    <w:rsid w:val="54DA5642"/>
    <w:rsid w:val="54E16725"/>
    <w:rsid w:val="54F73313"/>
    <w:rsid w:val="54F80955"/>
    <w:rsid w:val="551E41EB"/>
    <w:rsid w:val="55220A88"/>
    <w:rsid w:val="55256612"/>
    <w:rsid w:val="5526184F"/>
    <w:rsid w:val="5528196E"/>
    <w:rsid w:val="553920BD"/>
    <w:rsid w:val="555170A7"/>
    <w:rsid w:val="55593B0E"/>
    <w:rsid w:val="5560589C"/>
    <w:rsid w:val="557E3F74"/>
    <w:rsid w:val="55801A9A"/>
    <w:rsid w:val="5587536D"/>
    <w:rsid w:val="559B174B"/>
    <w:rsid w:val="55A16646"/>
    <w:rsid w:val="55A86E0F"/>
    <w:rsid w:val="55AB6E66"/>
    <w:rsid w:val="55B055F7"/>
    <w:rsid w:val="55B74356"/>
    <w:rsid w:val="55C0458D"/>
    <w:rsid w:val="55CE0A58"/>
    <w:rsid w:val="55CE0CF4"/>
    <w:rsid w:val="55DC4209"/>
    <w:rsid w:val="55E621CB"/>
    <w:rsid w:val="55ED5656"/>
    <w:rsid w:val="56082D21"/>
    <w:rsid w:val="56095F34"/>
    <w:rsid w:val="56114DE8"/>
    <w:rsid w:val="561227A5"/>
    <w:rsid w:val="561769D4"/>
    <w:rsid w:val="56334D5F"/>
    <w:rsid w:val="563F39B0"/>
    <w:rsid w:val="56403F6F"/>
    <w:rsid w:val="564677B7"/>
    <w:rsid w:val="56525B48"/>
    <w:rsid w:val="565D03ED"/>
    <w:rsid w:val="56693407"/>
    <w:rsid w:val="56710779"/>
    <w:rsid w:val="56903F5F"/>
    <w:rsid w:val="569246E8"/>
    <w:rsid w:val="569A5A4B"/>
    <w:rsid w:val="56A17F1A"/>
    <w:rsid w:val="56A2784E"/>
    <w:rsid w:val="56A70760"/>
    <w:rsid w:val="56AB528F"/>
    <w:rsid w:val="56B22A9C"/>
    <w:rsid w:val="56B50DDD"/>
    <w:rsid w:val="56B8779F"/>
    <w:rsid w:val="56BC3274"/>
    <w:rsid w:val="56D4209E"/>
    <w:rsid w:val="56DD185F"/>
    <w:rsid w:val="56E115BC"/>
    <w:rsid w:val="56E44B68"/>
    <w:rsid w:val="5702376B"/>
    <w:rsid w:val="570E5ABC"/>
    <w:rsid w:val="57193F55"/>
    <w:rsid w:val="572763D8"/>
    <w:rsid w:val="572D17AE"/>
    <w:rsid w:val="57313A27"/>
    <w:rsid w:val="57344480"/>
    <w:rsid w:val="5735078A"/>
    <w:rsid w:val="573568B4"/>
    <w:rsid w:val="574625F1"/>
    <w:rsid w:val="57471845"/>
    <w:rsid w:val="57517EB7"/>
    <w:rsid w:val="5752687A"/>
    <w:rsid w:val="57686C8A"/>
    <w:rsid w:val="576F40E4"/>
    <w:rsid w:val="57803098"/>
    <w:rsid w:val="5785783C"/>
    <w:rsid w:val="578F2469"/>
    <w:rsid w:val="57B43C7D"/>
    <w:rsid w:val="57B64BE2"/>
    <w:rsid w:val="57B72A76"/>
    <w:rsid w:val="57C3426C"/>
    <w:rsid w:val="57C670E2"/>
    <w:rsid w:val="57C86FC8"/>
    <w:rsid w:val="57CE11E3"/>
    <w:rsid w:val="57CE1F93"/>
    <w:rsid w:val="57EB6DC4"/>
    <w:rsid w:val="57F80AE1"/>
    <w:rsid w:val="58150BC0"/>
    <w:rsid w:val="583A0709"/>
    <w:rsid w:val="58451850"/>
    <w:rsid w:val="584B2834"/>
    <w:rsid w:val="58647451"/>
    <w:rsid w:val="58727DC0"/>
    <w:rsid w:val="587C0C3F"/>
    <w:rsid w:val="588743D1"/>
    <w:rsid w:val="5887701A"/>
    <w:rsid w:val="58877747"/>
    <w:rsid w:val="5894149F"/>
    <w:rsid w:val="5895585D"/>
    <w:rsid w:val="58A12453"/>
    <w:rsid w:val="58B24661"/>
    <w:rsid w:val="58B51F19"/>
    <w:rsid w:val="58B767C0"/>
    <w:rsid w:val="58C46118"/>
    <w:rsid w:val="58D51CE6"/>
    <w:rsid w:val="58D75E75"/>
    <w:rsid w:val="58DC2D85"/>
    <w:rsid w:val="58DC3983"/>
    <w:rsid w:val="58E23FB8"/>
    <w:rsid w:val="58E356F5"/>
    <w:rsid w:val="58E64AE9"/>
    <w:rsid w:val="58F92AD4"/>
    <w:rsid w:val="58FB7AAC"/>
    <w:rsid w:val="5909638E"/>
    <w:rsid w:val="590A6A01"/>
    <w:rsid w:val="59102873"/>
    <w:rsid w:val="59305AC2"/>
    <w:rsid w:val="59375A1D"/>
    <w:rsid w:val="5943558E"/>
    <w:rsid w:val="59441762"/>
    <w:rsid w:val="59592D2E"/>
    <w:rsid w:val="59593DC0"/>
    <w:rsid w:val="595E4EDA"/>
    <w:rsid w:val="59611BE3"/>
    <w:rsid w:val="597459BF"/>
    <w:rsid w:val="5980650D"/>
    <w:rsid w:val="59831B59"/>
    <w:rsid w:val="598952C5"/>
    <w:rsid w:val="59993355"/>
    <w:rsid w:val="59A815C0"/>
    <w:rsid w:val="59AD1935"/>
    <w:rsid w:val="59B960C5"/>
    <w:rsid w:val="59C0439F"/>
    <w:rsid w:val="59CF2E66"/>
    <w:rsid w:val="59EA7E2A"/>
    <w:rsid w:val="5A1F5D26"/>
    <w:rsid w:val="5A230EF9"/>
    <w:rsid w:val="5A3D7F5A"/>
    <w:rsid w:val="5A3F6181"/>
    <w:rsid w:val="5A571237"/>
    <w:rsid w:val="5A5A0E47"/>
    <w:rsid w:val="5A643656"/>
    <w:rsid w:val="5A734644"/>
    <w:rsid w:val="5A751DEA"/>
    <w:rsid w:val="5A76409B"/>
    <w:rsid w:val="5A76552B"/>
    <w:rsid w:val="5A7D2A4C"/>
    <w:rsid w:val="5A843DDB"/>
    <w:rsid w:val="5A8E6A07"/>
    <w:rsid w:val="5A9F6E67"/>
    <w:rsid w:val="5AA6460A"/>
    <w:rsid w:val="5AAF5488"/>
    <w:rsid w:val="5ABE2233"/>
    <w:rsid w:val="5ABF4E13"/>
    <w:rsid w:val="5AC24111"/>
    <w:rsid w:val="5AD84127"/>
    <w:rsid w:val="5AEB2409"/>
    <w:rsid w:val="5B035313"/>
    <w:rsid w:val="5B072A13"/>
    <w:rsid w:val="5B096B82"/>
    <w:rsid w:val="5B0E7DDF"/>
    <w:rsid w:val="5B140904"/>
    <w:rsid w:val="5B16681F"/>
    <w:rsid w:val="5B1A5DBB"/>
    <w:rsid w:val="5B2B06FA"/>
    <w:rsid w:val="5B2D4472"/>
    <w:rsid w:val="5B3315B3"/>
    <w:rsid w:val="5B427AFC"/>
    <w:rsid w:val="5B5B72AF"/>
    <w:rsid w:val="5B9825E8"/>
    <w:rsid w:val="5BA3015F"/>
    <w:rsid w:val="5BAD6B57"/>
    <w:rsid w:val="5BB029AE"/>
    <w:rsid w:val="5BB36F08"/>
    <w:rsid w:val="5BB66779"/>
    <w:rsid w:val="5BBB115B"/>
    <w:rsid w:val="5BCD4A00"/>
    <w:rsid w:val="5BD51E73"/>
    <w:rsid w:val="5BDF5D95"/>
    <w:rsid w:val="5BF10504"/>
    <w:rsid w:val="5BFE7528"/>
    <w:rsid w:val="5C043425"/>
    <w:rsid w:val="5C0772D9"/>
    <w:rsid w:val="5C0827EA"/>
    <w:rsid w:val="5C222F91"/>
    <w:rsid w:val="5C30664F"/>
    <w:rsid w:val="5C360126"/>
    <w:rsid w:val="5C366DE5"/>
    <w:rsid w:val="5C4453A1"/>
    <w:rsid w:val="5C4C0928"/>
    <w:rsid w:val="5C541A56"/>
    <w:rsid w:val="5C555AB7"/>
    <w:rsid w:val="5C642236"/>
    <w:rsid w:val="5C653798"/>
    <w:rsid w:val="5C742F9D"/>
    <w:rsid w:val="5C8356CE"/>
    <w:rsid w:val="5C921CA0"/>
    <w:rsid w:val="5CA93FCD"/>
    <w:rsid w:val="5CAE665E"/>
    <w:rsid w:val="5CB5471F"/>
    <w:rsid w:val="5CBB1351"/>
    <w:rsid w:val="5CC606DB"/>
    <w:rsid w:val="5CDF69B8"/>
    <w:rsid w:val="5CDF79EE"/>
    <w:rsid w:val="5CE40B61"/>
    <w:rsid w:val="5CE644A3"/>
    <w:rsid w:val="5CE67C21"/>
    <w:rsid w:val="5CF53B8F"/>
    <w:rsid w:val="5CF60894"/>
    <w:rsid w:val="5D062910"/>
    <w:rsid w:val="5D131446"/>
    <w:rsid w:val="5D135E9A"/>
    <w:rsid w:val="5D136205"/>
    <w:rsid w:val="5D144BCD"/>
    <w:rsid w:val="5D1D3926"/>
    <w:rsid w:val="5D1F428F"/>
    <w:rsid w:val="5D23755F"/>
    <w:rsid w:val="5D312413"/>
    <w:rsid w:val="5D506D8D"/>
    <w:rsid w:val="5D6567A1"/>
    <w:rsid w:val="5D6A092C"/>
    <w:rsid w:val="5D7753FD"/>
    <w:rsid w:val="5D7A5AE4"/>
    <w:rsid w:val="5D8A613F"/>
    <w:rsid w:val="5D953E89"/>
    <w:rsid w:val="5D9630DD"/>
    <w:rsid w:val="5DA43079"/>
    <w:rsid w:val="5DB6074F"/>
    <w:rsid w:val="5DBC3340"/>
    <w:rsid w:val="5DCE5755"/>
    <w:rsid w:val="5DD13320"/>
    <w:rsid w:val="5DDC45FE"/>
    <w:rsid w:val="5DE30E18"/>
    <w:rsid w:val="5DEA664B"/>
    <w:rsid w:val="5DEE642C"/>
    <w:rsid w:val="5DF0765F"/>
    <w:rsid w:val="5DF503DE"/>
    <w:rsid w:val="5E167CFF"/>
    <w:rsid w:val="5E1B3599"/>
    <w:rsid w:val="5E21319E"/>
    <w:rsid w:val="5E2467F1"/>
    <w:rsid w:val="5E284390"/>
    <w:rsid w:val="5E3C4F83"/>
    <w:rsid w:val="5E4E3F76"/>
    <w:rsid w:val="5E4F1FBE"/>
    <w:rsid w:val="5E5B5FBE"/>
    <w:rsid w:val="5E68174B"/>
    <w:rsid w:val="5E6D4B86"/>
    <w:rsid w:val="5E8B2433"/>
    <w:rsid w:val="5E8E5228"/>
    <w:rsid w:val="5E9C3124"/>
    <w:rsid w:val="5EA27CF7"/>
    <w:rsid w:val="5EA32BD0"/>
    <w:rsid w:val="5EA50BC4"/>
    <w:rsid w:val="5EAE4BB9"/>
    <w:rsid w:val="5EB822A5"/>
    <w:rsid w:val="5EBD1A1C"/>
    <w:rsid w:val="5ECB4020"/>
    <w:rsid w:val="5ED77613"/>
    <w:rsid w:val="5EF71BAD"/>
    <w:rsid w:val="5EF83BD1"/>
    <w:rsid w:val="5F0960E2"/>
    <w:rsid w:val="5F1020E1"/>
    <w:rsid w:val="5F112BE1"/>
    <w:rsid w:val="5F1A2B43"/>
    <w:rsid w:val="5F1F39A6"/>
    <w:rsid w:val="5F4916B0"/>
    <w:rsid w:val="5F4B2916"/>
    <w:rsid w:val="5F542CA1"/>
    <w:rsid w:val="5F557AF4"/>
    <w:rsid w:val="5F5C5326"/>
    <w:rsid w:val="5F5D0D5A"/>
    <w:rsid w:val="5F684676"/>
    <w:rsid w:val="5F697A43"/>
    <w:rsid w:val="5F8D2302"/>
    <w:rsid w:val="5F947D99"/>
    <w:rsid w:val="5FAD3EA6"/>
    <w:rsid w:val="5FB837BB"/>
    <w:rsid w:val="5FDB04D8"/>
    <w:rsid w:val="5FDE017F"/>
    <w:rsid w:val="5FF343EF"/>
    <w:rsid w:val="5FFD692F"/>
    <w:rsid w:val="5FFF5CB2"/>
    <w:rsid w:val="600A19BF"/>
    <w:rsid w:val="600B12DB"/>
    <w:rsid w:val="60150B9A"/>
    <w:rsid w:val="60173C67"/>
    <w:rsid w:val="601B4AB2"/>
    <w:rsid w:val="603B69DB"/>
    <w:rsid w:val="604D4C6F"/>
    <w:rsid w:val="60563B24"/>
    <w:rsid w:val="60607BB3"/>
    <w:rsid w:val="607B4DE6"/>
    <w:rsid w:val="60812864"/>
    <w:rsid w:val="608508AD"/>
    <w:rsid w:val="60B766E2"/>
    <w:rsid w:val="60BE3BD6"/>
    <w:rsid w:val="60C02C20"/>
    <w:rsid w:val="60C83197"/>
    <w:rsid w:val="60C865F6"/>
    <w:rsid w:val="60CC405A"/>
    <w:rsid w:val="60CE5DB0"/>
    <w:rsid w:val="60D1466B"/>
    <w:rsid w:val="60D30936"/>
    <w:rsid w:val="60DA0BF8"/>
    <w:rsid w:val="60E32176"/>
    <w:rsid w:val="60E52B6C"/>
    <w:rsid w:val="60F15600"/>
    <w:rsid w:val="610C692D"/>
    <w:rsid w:val="61170069"/>
    <w:rsid w:val="611C6C97"/>
    <w:rsid w:val="61283090"/>
    <w:rsid w:val="612A5DE1"/>
    <w:rsid w:val="613A02BC"/>
    <w:rsid w:val="613A3C4A"/>
    <w:rsid w:val="614B10FC"/>
    <w:rsid w:val="615732D7"/>
    <w:rsid w:val="615A1B0D"/>
    <w:rsid w:val="6181336C"/>
    <w:rsid w:val="618F68F6"/>
    <w:rsid w:val="61AC2B03"/>
    <w:rsid w:val="61B754A5"/>
    <w:rsid w:val="61BB63A7"/>
    <w:rsid w:val="61BC36BB"/>
    <w:rsid w:val="61BF7DEE"/>
    <w:rsid w:val="61DB4C79"/>
    <w:rsid w:val="61DC7063"/>
    <w:rsid w:val="61DC7777"/>
    <w:rsid w:val="61DE2C95"/>
    <w:rsid w:val="61E215D8"/>
    <w:rsid w:val="61E82D68"/>
    <w:rsid w:val="61EA496C"/>
    <w:rsid w:val="61FA5617"/>
    <w:rsid w:val="62023672"/>
    <w:rsid w:val="621B3775"/>
    <w:rsid w:val="6227291A"/>
    <w:rsid w:val="62364782"/>
    <w:rsid w:val="623A0D90"/>
    <w:rsid w:val="62522A10"/>
    <w:rsid w:val="62713A30"/>
    <w:rsid w:val="627A1305"/>
    <w:rsid w:val="627D587D"/>
    <w:rsid w:val="62804CAC"/>
    <w:rsid w:val="62823274"/>
    <w:rsid w:val="629A23E9"/>
    <w:rsid w:val="62A25746"/>
    <w:rsid w:val="62A40480"/>
    <w:rsid w:val="62A60E1E"/>
    <w:rsid w:val="62B45479"/>
    <w:rsid w:val="62B56103"/>
    <w:rsid w:val="62C05BCC"/>
    <w:rsid w:val="62C126EC"/>
    <w:rsid w:val="62C23638"/>
    <w:rsid w:val="62CF1F42"/>
    <w:rsid w:val="62DA61D7"/>
    <w:rsid w:val="62DC3E7F"/>
    <w:rsid w:val="62EA3070"/>
    <w:rsid w:val="62EA49F7"/>
    <w:rsid w:val="62ED128B"/>
    <w:rsid w:val="62EE44E7"/>
    <w:rsid w:val="63161C90"/>
    <w:rsid w:val="632047DB"/>
    <w:rsid w:val="63611878"/>
    <w:rsid w:val="6362757D"/>
    <w:rsid w:val="63710FAD"/>
    <w:rsid w:val="63727F71"/>
    <w:rsid w:val="63861052"/>
    <w:rsid w:val="638F4F9F"/>
    <w:rsid w:val="6394356A"/>
    <w:rsid w:val="639B16A7"/>
    <w:rsid w:val="63B50A52"/>
    <w:rsid w:val="63BA6313"/>
    <w:rsid w:val="63C61B2C"/>
    <w:rsid w:val="63D40BE9"/>
    <w:rsid w:val="63DA4A6C"/>
    <w:rsid w:val="63E15DFA"/>
    <w:rsid w:val="63E5429E"/>
    <w:rsid w:val="63E55D34"/>
    <w:rsid w:val="63F35B2D"/>
    <w:rsid w:val="63F85133"/>
    <w:rsid w:val="63FF44D2"/>
    <w:rsid w:val="64047D3A"/>
    <w:rsid w:val="64073E9A"/>
    <w:rsid w:val="640C3047"/>
    <w:rsid w:val="641000B1"/>
    <w:rsid w:val="64102431"/>
    <w:rsid w:val="64122457"/>
    <w:rsid w:val="641E6C54"/>
    <w:rsid w:val="6428796E"/>
    <w:rsid w:val="642F5116"/>
    <w:rsid w:val="64423363"/>
    <w:rsid w:val="64557293"/>
    <w:rsid w:val="64613801"/>
    <w:rsid w:val="646627A3"/>
    <w:rsid w:val="646D1DA4"/>
    <w:rsid w:val="64701458"/>
    <w:rsid w:val="64794284"/>
    <w:rsid w:val="64A21697"/>
    <w:rsid w:val="64A21FD2"/>
    <w:rsid w:val="64A31301"/>
    <w:rsid w:val="64A47615"/>
    <w:rsid w:val="64A5243A"/>
    <w:rsid w:val="64B06E83"/>
    <w:rsid w:val="64BD0C9C"/>
    <w:rsid w:val="64C21846"/>
    <w:rsid w:val="64C23EF3"/>
    <w:rsid w:val="64D4595F"/>
    <w:rsid w:val="64D9450A"/>
    <w:rsid w:val="64E35BA2"/>
    <w:rsid w:val="64F531DE"/>
    <w:rsid w:val="65062D4A"/>
    <w:rsid w:val="650D04D5"/>
    <w:rsid w:val="651D5214"/>
    <w:rsid w:val="65230BB9"/>
    <w:rsid w:val="65275CEA"/>
    <w:rsid w:val="653632AA"/>
    <w:rsid w:val="65373578"/>
    <w:rsid w:val="653A164C"/>
    <w:rsid w:val="654B3E73"/>
    <w:rsid w:val="654E3963"/>
    <w:rsid w:val="654F7FE5"/>
    <w:rsid w:val="65544838"/>
    <w:rsid w:val="65544D07"/>
    <w:rsid w:val="655E65EF"/>
    <w:rsid w:val="6567631D"/>
    <w:rsid w:val="656C2F8E"/>
    <w:rsid w:val="656C5B5F"/>
    <w:rsid w:val="656E6CA1"/>
    <w:rsid w:val="65722AB4"/>
    <w:rsid w:val="65796C9C"/>
    <w:rsid w:val="65881085"/>
    <w:rsid w:val="658D3628"/>
    <w:rsid w:val="658D78E4"/>
    <w:rsid w:val="65936139"/>
    <w:rsid w:val="6598309D"/>
    <w:rsid w:val="65A11CE5"/>
    <w:rsid w:val="65A90EBC"/>
    <w:rsid w:val="65B31A18"/>
    <w:rsid w:val="65C15EE3"/>
    <w:rsid w:val="65C50FC8"/>
    <w:rsid w:val="65D200F0"/>
    <w:rsid w:val="65D31C24"/>
    <w:rsid w:val="65D63638"/>
    <w:rsid w:val="65D84BDD"/>
    <w:rsid w:val="65DC3748"/>
    <w:rsid w:val="65EA6ED2"/>
    <w:rsid w:val="65EF4235"/>
    <w:rsid w:val="66083B12"/>
    <w:rsid w:val="661701F9"/>
    <w:rsid w:val="661C6D07"/>
    <w:rsid w:val="661E6E64"/>
    <w:rsid w:val="661F0E5C"/>
    <w:rsid w:val="662C382E"/>
    <w:rsid w:val="663065FF"/>
    <w:rsid w:val="663366B5"/>
    <w:rsid w:val="663848B9"/>
    <w:rsid w:val="66395563"/>
    <w:rsid w:val="663A49CF"/>
    <w:rsid w:val="663B18B1"/>
    <w:rsid w:val="66430AE1"/>
    <w:rsid w:val="666373A0"/>
    <w:rsid w:val="66645656"/>
    <w:rsid w:val="667B2536"/>
    <w:rsid w:val="66904457"/>
    <w:rsid w:val="669B1C04"/>
    <w:rsid w:val="66A31A8D"/>
    <w:rsid w:val="66B97C70"/>
    <w:rsid w:val="66BB48A2"/>
    <w:rsid w:val="66C67529"/>
    <w:rsid w:val="66DB1226"/>
    <w:rsid w:val="66E62482"/>
    <w:rsid w:val="66E71EDC"/>
    <w:rsid w:val="66EB5BF3"/>
    <w:rsid w:val="66FB1113"/>
    <w:rsid w:val="670A1B0C"/>
    <w:rsid w:val="67157E68"/>
    <w:rsid w:val="671D183F"/>
    <w:rsid w:val="671F124A"/>
    <w:rsid w:val="6727424C"/>
    <w:rsid w:val="672F3E8A"/>
    <w:rsid w:val="673A0ABB"/>
    <w:rsid w:val="673B1CC5"/>
    <w:rsid w:val="674A5DAF"/>
    <w:rsid w:val="675B29A9"/>
    <w:rsid w:val="677A33C6"/>
    <w:rsid w:val="677E60F9"/>
    <w:rsid w:val="678802FD"/>
    <w:rsid w:val="679712CD"/>
    <w:rsid w:val="67A4786A"/>
    <w:rsid w:val="67B20D62"/>
    <w:rsid w:val="67B64DFA"/>
    <w:rsid w:val="67CF57FB"/>
    <w:rsid w:val="67DD06AF"/>
    <w:rsid w:val="67F97F5F"/>
    <w:rsid w:val="681F5143"/>
    <w:rsid w:val="681F6961"/>
    <w:rsid w:val="682F0F8D"/>
    <w:rsid w:val="683E6628"/>
    <w:rsid w:val="68580655"/>
    <w:rsid w:val="685C7FAA"/>
    <w:rsid w:val="68610A2F"/>
    <w:rsid w:val="6866415C"/>
    <w:rsid w:val="68785269"/>
    <w:rsid w:val="688029B1"/>
    <w:rsid w:val="68805514"/>
    <w:rsid w:val="68831B76"/>
    <w:rsid w:val="68890457"/>
    <w:rsid w:val="68945B31"/>
    <w:rsid w:val="68D4417F"/>
    <w:rsid w:val="68DC173D"/>
    <w:rsid w:val="68F74B53"/>
    <w:rsid w:val="68FC51DA"/>
    <w:rsid w:val="69151320"/>
    <w:rsid w:val="69163EF1"/>
    <w:rsid w:val="691C06C6"/>
    <w:rsid w:val="691E5254"/>
    <w:rsid w:val="691F7C80"/>
    <w:rsid w:val="692213C1"/>
    <w:rsid w:val="69297796"/>
    <w:rsid w:val="692F585A"/>
    <w:rsid w:val="69316E2F"/>
    <w:rsid w:val="693278B2"/>
    <w:rsid w:val="69365CC3"/>
    <w:rsid w:val="694E2071"/>
    <w:rsid w:val="6958204C"/>
    <w:rsid w:val="695F613F"/>
    <w:rsid w:val="696316B8"/>
    <w:rsid w:val="69642093"/>
    <w:rsid w:val="696A0C89"/>
    <w:rsid w:val="697604D9"/>
    <w:rsid w:val="69766163"/>
    <w:rsid w:val="697A3B33"/>
    <w:rsid w:val="6987015A"/>
    <w:rsid w:val="69876A09"/>
    <w:rsid w:val="69886D18"/>
    <w:rsid w:val="699F7D3A"/>
    <w:rsid w:val="69CD6B71"/>
    <w:rsid w:val="69D44760"/>
    <w:rsid w:val="69D95770"/>
    <w:rsid w:val="69E937CB"/>
    <w:rsid w:val="69EB1750"/>
    <w:rsid w:val="69EE1CA8"/>
    <w:rsid w:val="69F83E9D"/>
    <w:rsid w:val="6A151EEF"/>
    <w:rsid w:val="6A16656B"/>
    <w:rsid w:val="6A170811"/>
    <w:rsid w:val="6A19202D"/>
    <w:rsid w:val="6A21327D"/>
    <w:rsid w:val="6A2E5C82"/>
    <w:rsid w:val="6A321B28"/>
    <w:rsid w:val="6A3F6C07"/>
    <w:rsid w:val="6A452A79"/>
    <w:rsid w:val="6A4D4413"/>
    <w:rsid w:val="6A520EC7"/>
    <w:rsid w:val="6A667129"/>
    <w:rsid w:val="6A726C68"/>
    <w:rsid w:val="6A7D0C4F"/>
    <w:rsid w:val="6A84029F"/>
    <w:rsid w:val="6AA14535"/>
    <w:rsid w:val="6AA162E3"/>
    <w:rsid w:val="6AAE3003"/>
    <w:rsid w:val="6AB230F0"/>
    <w:rsid w:val="6ABC577D"/>
    <w:rsid w:val="6ABE2AE9"/>
    <w:rsid w:val="6AC10733"/>
    <w:rsid w:val="6AC41FD2"/>
    <w:rsid w:val="6ACC0D58"/>
    <w:rsid w:val="6ACD3676"/>
    <w:rsid w:val="6AD6255B"/>
    <w:rsid w:val="6AEA33A5"/>
    <w:rsid w:val="6AED777A"/>
    <w:rsid w:val="6AF1726A"/>
    <w:rsid w:val="6AF87E20"/>
    <w:rsid w:val="6B013EB0"/>
    <w:rsid w:val="6B046B2A"/>
    <w:rsid w:val="6B056872"/>
    <w:rsid w:val="6B093422"/>
    <w:rsid w:val="6B205CF8"/>
    <w:rsid w:val="6B221D59"/>
    <w:rsid w:val="6B223D7D"/>
    <w:rsid w:val="6B2266FA"/>
    <w:rsid w:val="6B24387B"/>
    <w:rsid w:val="6B261B6A"/>
    <w:rsid w:val="6B322639"/>
    <w:rsid w:val="6B3E1281"/>
    <w:rsid w:val="6B485F70"/>
    <w:rsid w:val="6B4C44A1"/>
    <w:rsid w:val="6B543EDD"/>
    <w:rsid w:val="6B63067C"/>
    <w:rsid w:val="6B6C0BDE"/>
    <w:rsid w:val="6B811C71"/>
    <w:rsid w:val="6B8213B9"/>
    <w:rsid w:val="6B84284F"/>
    <w:rsid w:val="6BBD539F"/>
    <w:rsid w:val="6BC24FCE"/>
    <w:rsid w:val="6BCB670E"/>
    <w:rsid w:val="6BDA1B01"/>
    <w:rsid w:val="6BDB24DB"/>
    <w:rsid w:val="6BDC2085"/>
    <w:rsid w:val="6BF27AD3"/>
    <w:rsid w:val="6BF71ED2"/>
    <w:rsid w:val="6BF80185"/>
    <w:rsid w:val="6C0102BA"/>
    <w:rsid w:val="6C141DD0"/>
    <w:rsid w:val="6C1B20C5"/>
    <w:rsid w:val="6C31662B"/>
    <w:rsid w:val="6C39522C"/>
    <w:rsid w:val="6C3A69EF"/>
    <w:rsid w:val="6C4048A2"/>
    <w:rsid w:val="6C450EF0"/>
    <w:rsid w:val="6C4D6279"/>
    <w:rsid w:val="6C4E249B"/>
    <w:rsid w:val="6C4E6C53"/>
    <w:rsid w:val="6C5A7AD2"/>
    <w:rsid w:val="6C5B062A"/>
    <w:rsid w:val="6C5F3DF6"/>
    <w:rsid w:val="6C636C38"/>
    <w:rsid w:val="6C657EEA"/>
    <w:rsid w:val="6CA33476"/>
    <w:rsid w:val="6CAF75BB"/>
    <w:rsid w:val="6CBE0B4F"/>
    <w:rsid w:val="6CCB7AC7"/>
    <w:rsid w:val="6CCE5D16"/>
    <w:rsid w:val="6CCE7137"/>
    <w:rsid w:val="6CD44759"/>
    <w:rsid w:val="6CD55BE9"/>
    <w:rsid w:val="6CD62255"/>
    <w:rsid w:val="6CE4549A"/>
    <w:rsid w:val="6CF176B2"/>
    <w:rsid w:val="6CF7043C"/>
    <w:rsid w:val="6CFD3965"/>
    <w:rsid w:val="6D033285"/>
    <w:rsid w:val="6D0A2431"/>
    <w:rsid w:val="6D1A412B"/>
    <w:rsid w:val="6D21195D"/>
    <w:rsid w:val="6D297EFB"/>
    <w:rsid w:val="6D2A3FA6"/>
    <w:rsid w:val="6D343B19"/>
    <w:rsid w:val="6D57025E"/>
    <w:rsid w:val="6D616AB2"/>
    <w:rsid w:val="6D633D24"/>
    <w:rsid w:val="6D6B3A86"/>
    <w:rsid w:val="6D7935F8"/>
    <w:rsid w:val="6D8E5ACF"/>
    <w:rsid w:val="6D935E29"/>
    <w:rsid w:val="6DA528C6"/>
    <w:rsid w:val="6DA86676"/>
    <w:rsid w:val="6DAD4F9F"/>
    <w:rsid w:val="6DB34098"/>
    <w:rsid w:val="6DB545B6"/>
    <w:rsid w:val="6DB91B96"/>
    <w:rsid w:val="6DC21DEE"/>
    <w:rsid w:val="6DC36570"/>
    <w:rsid w:val="6DD16EDF"/>
    <w:rsid w:val="6DDB0350"/>
    <w:rsid w:val="6DE02FB4"/>
    <w:rsid w:val="6DE170D3"/>
    <w:rsid w:val="6DE9247B"/>
    <w:rsid w:val="6DEA6882"/>
    <w:rsid w:val="6E0A3A7A"/>
    <w:rsid w:val="6E0D4393"/>
    <w:rsid w:val="6E2D7BB1"/>
    <w:rsid w:val="6E3659C8"/>
    <w:rsid w:val="6E514CED"/>
    <w:rsid w:val="6E693AB2"/>
    <w:rsid w:val="6E7F693B"/>
    <w:rsid w:val="6E865F1C"/>
    <w:rsid w:val="6E892C58"/>
    <w:rsid w:val="6E965B02"/>
    <w:rsid w:val="6EA72431"/>
    <w:rsid w:val="6EB563D5"/>
    <w:rsid w:val="6EC6557D"/>
    <w:rsid w:val="6EC9433B"/>
    <w:rsid w:val="6ECF78C3"/>
    <w:rsid w:val="6ED92677"/>
    <w:rsid w:val="6EE92BDF"/>
    <w:rsid w:val="6EEB591A"/>
    <w:rsid w:val="6EEF6056"/>
    <w:rsid w:val="6F045092"/>
    <w:rsid w:val="6F0D3F47"/>
    <w:rsid w:val="6F152942"/>
    <w:rsid w:val="6F225677"/>
    <w:rsid w:val="6F225983"/>
    <w:rsid w:val="6F3139E4"/>
    <w:rsid w:val="6F4436E1"/>
    <w:rsid w:val="6F457B85"/>
    <w:rsid w:val="6F5041FD"/>
    <w:rsid w:val="6F5B1156"/>
    <w:rsid w:val="6F5E40EF"/>
    <w:rsid w:val="6F5F465E"/>
    <w:rsid w:val="6F6124E5"/>
    <w:rsid w:val="6F6D0E8A"/>
    <w:rsid w:val="6F831499"/>
    <w:rsid w:val="6F8561D3"/>
    <w:rsid w:val="6F914B78"/>
    <w:rsid w:val="6F9E6FC9"/>
    <w:rsid w:val="6FA75111"/>
    <w:rsid w:val="6FA828C9"/>
    <w:rsid w:val="6FAC091D"/>
    <w:rsid w:val="6FB645DF"/>
    <w:rsid w:val="6FB72E5F"/>
    <w:rsid w:val="6FB97C2B"/>
    <w:rsid w:val="6FBA62FD"/>
    <w:rsid w:val="6FBC410A"/>
    <w:rsid w:val="6FC36CFC"/>
    <w:rsid w:val="6FC427B3"/>
    <w:rsid w:val="6FD07D18"/>
    <w:rsid w:val="6FD668FC"/>
    <w:rsid w:val="6FDA5069"/>
    <w:rsid w:val="6FE95C1F"/>
    <w:rsid w:val="6FFC5590"/>
    <w:rsid w:val="6FFE1AE2"/>
    <w:rsid w:val="700E0800"/>
    <w:rsid w:val="70180DF5"/>
    <w:rsid w:val="704327AC"/>
    <w:rsid w:val="70535170"/>
    <w:rsid w:val="70544A2A"/>
    <w:rsid w:val="705C2D71"/>
    <w:rsid w:val="70607562"/>
    <w:rsid w:val="706D1DD0"/>
    <w:rsid w:val="70856B87"/>
    <w:rsid w:val="708741CD"/>
    <w:rsid w:val="708E44BF"/>
    <w:rsid w:val="70953098"/>
    <w:rsid w:val="70C333E7"/>
    <w:rsid w:val="70C94159"/>
    <w:rsid w:val="70CD7E32"/>
    <w:rsid w:val="70D527EE"/>
    <w:rsid w:val="70F25BF0"/>
    <w:rsid w:val="70F91796"/>
    <w:rsid w:val="710C4966"/>
    <w:rsid w:val="712E54BC"/>
    <w:rsid w:val="71327C95"/>
    <w:rsid w:val="713614F5"/>
    <w:rsid w:val="713F5B44"/>
    <w:rsid w:val="71447E2B"/>
    <w:rsid w:val="715B5300"/>
    <w:rsid w:val="715D7825"/>
    <w:rsid w:val="7164163B"/>
    <w:rsid w:val="71796EC1"/>
    <w:rsid w:val="71870F9D"/>
    <w:rsid w:val="7195081B"/>
    <w:rsid w:val="71B5420B"/>
    <w:rsid w:val="71BA3C77"/>
    <w:rsid w:val="71BF6659"/>
    <w:rsid w:val="71D27F8A"/>
    <w:rsid w:val="71F47770"/>
    <w:rsid w:val="71F633B8"/>
    <w:rsid w:val="71FB17C3"/>
    <w:rsid w:val="720158DC"/>
    <w:rsid w:val="72141CB1"/>
    <w:rsid w:val="72162453"/>
    <w:rsid w:val="721F6DC4"/>
    <w:rsid w:val="72254ED4"/>
    <w:rsid w:val="723D249F"/>
    <w:rsid w:val="7242038C"/>
    <w:rsid w:val="724D5DB4"/>
    <w:rsid w:val="72553024"/>
    <w:rsid w:val="72620A4E"/>
    <w:rsid w:val="7265409A"/>
    <w:rsid w:val="726619E2"/>
    <w:rsid w:val="727128B9"/>
    <w:rsid w:val="7278158D"/>
    <w:rsid w:val="7280260A"/>
    <w:rsid w:val="728221C1"/>
    <w:rsid w:val="72824C4C"/>
    <w:rsid w:val="728C6641"/>
    <w:rsid w:val="728E1843"/>
    <w:rsid w:val="729B2130"/>
    <w:rsid w:val="729F72D5"/>
    <w:rsid w:val="72CD54D8"/>
    <w:rsid w:val="72D25FFA"/>
    <w:rsid w:val="730257DC"/>
    <w:rsid w:val="7306762B"/>
    <w:rsid w:val="730906A8"/>
    <w:rsid w:val="730E028E"/>
    <w:rsid w:val="73122968"/>
    <w:rsid w:val="731E2BC7"/>
    <w:rsid w:val="731F5D5E"/>
    <w:rsid w:val="73422E69"/>
    <w:rsid w:val="735008A6"/>
    <w:rsid w:val="7357013F"/>
    <w:rsid w:val="735859AD"/>
    <w:rsid w:val="735B493E"/>
    <w:rsid w:val="73941822"/>
    <w:rsid w:val="73B32C53"/>
    <w:rsid w:val="73C15C08"/>
    <w:rsid w:val="73C51AD5"/>
    <w:rsid w:val="73DA28B0"/>
    <w:rsid w:val="73DC22BF"/>
    <w:rsid w:val="73F60210"/>
    <w:rsid w:val="74130252"/>
    <w:rsid w:val="741E793C"/>
    <w:rsid w:val="741F0407"/>
    <w:rsid w:val="743106D8"/>
    <w:rsid w:val="74380971"/>
    <w:rsid w:val="74416441"/>
    <w:rsid w:val="7443665D"/>
    <w:rsid w:val="744A2D86"/>
    <w:rsid w:val="744D5E61"/>
    <w:rsid w:val="7454695B"/>
    <w:rsid w:val="74562C47"/>
    <w:rsid w:val="745C066F"/>
    <w:rsid w:val="745E3944"/>
    <w:rsid w:val="745F3497"/>
    <w:rsid w:val="746257F9"/>
    <w:rsid w:val="74655CAA"/>
    <w:rsid w:val="747A0724"/>
    <w:rsid w:val="74850408"/>
    <w:rsid w:val="74873FCC"/>
    <w:rsid w:val="748B4462"/>
    <w:rsid w:val="74924CB5"/>
    <w:rsid w:val="7497042E"/>
    <w:rsid w:val="749C3ABE"/>
    <w:rsid w:val="749D668F"/>
    <w:rsid w:val="749F26E4"/>
    <w:rsid w:val="74AF6913"/>
    <w:rsid w:val="74B01B4A"/>
    <w:rsid w:val="74B63BFA"/>
    <w:rsid w:val="74BF6C55"/>
    <w:rsid w:val="74C94A34"/>
    <w:rsid w:val="74DA4735"/>
    <w:rsid w:val="74E0413E"/>
    <w:rsid w:val="74E7523A"/>
    <w:rsid w:val="74F646C9"/>
    <w:rsid w:val="74F900F2"/>
    <w:rsid w:val="751A00A9"/>
    <w:rsid w:val="751D05E0"/>
    <w:rsid w:val="75265D63"/>
    <w:rsid w:val="753963BC"/>
    <w:rsid w:val="75492446"/>
    <w:rsid w:val="754C32EF"/>
    <w:rsid w:val="754D7793"/>
    <w:rsid w:val="755725D5"/>
    <w:rsid w:val="7557434A"/>
    <w:rsid w:val="75606009"/>
    <w:rsid w:val="75824101"/>
    <w:rsid w:val="75873667"/>
    <w:rsid w:val="75A35D04"/>
    <w:rsid w:val="75AE25D4"/>
    <w:rsid w:val="75B0387E"/>
    <w:rsid w:val="75B16ECE"/>
    <w:rsid w:val="75B82A5D"/>
    <w:rsid w:val="75BA46FD"/>
    <w:rsid w:val="75C13CBB"/>
    <w:rsid w:val="75CA1374"/>
    <w:rsid w:val="75D14D9D"/>
    <w:rsid w:val="75D62912"/>
    <w:rsid w:val="75E1159B"/>
    <w:rsid w:val="75E35A02"/>
    <w:rsid w:val="75F03862"/>
    <w:rsid w:val="75F45E61"/>
    <w:rsid w:val="75FC35AF"/>
    <w:rsid w:val="7608293E"/>
    <w:rsid w:val="761C4966"/>
    <w:rsid w:val="761D648B"/>
    <w:rsid w:val="762F1370"/>
    <w:rsid w:val="7631219F"/>
    <w:rsid w:val="7635099D"/>
    <w:rsid w:val="763E70DC"/>
    <w:rsid w:val="764C6175"/>
    <w:rsid w:val="767931BC"/>
    <w:rsid w:val="767A350B"/>
    <w:rsid w:val="767F5A29"/>
    <w:rsid w:val="7683168D"/>
    <w:rsid w:val="76832D41"/>
    <w:rsid w:val="76870EAD"/>
    <w:rsid w:val="769534B1"/>
    <w:rsid w:val="769978E8"/>
    <w:rsid w:val="76AD22B9"/>
    <w:rsid w:val="76B26248"/>
    <w:rsid w:val="76D40518"/>
    <w:rsid w:val="76DE4877"/>
    <w:rsid w:val="76F346C7"/>
    <w:rsid w:val="76FF4B26"/>
    <w:rsid w:val="77073972"/>
    <w:rsid w:val="770B219A"/>
    <w:rsid w:val="7715464B"/>
    <w:rsid w:val="771C1E27"/>
    <w:rsid w:val="77352DB4"/>
    <w:rsid w:val="773837D0"/>
    <w:rsid w:val="773951D1"/>
    <w:rsid w:val="77585C9F"/>
    <w:rsid w:val="775D3592"/>
    <w:rsid w:val="776C0568"/>
    <w:rsid w:val="77762421"/>
    <w:rsid w:val="77850ED2"/>
    <w:rsid w:val="779944AF"/>
    <w:rsid w:val="779E7DF2"/>
    <w:rsid w:val="77A05C98"/>
    <w:rsid w:val="77A35559"/>
    <w:rsid w:val="77A81788"/>
    <w:rsid w:val="77B56B1F"/>
    <w:rsid w:val="77C67389"/>
    <w:rsid w:val="77D35AB8"/>
    <w:rsid w:val="77F5684C"/>
    <w:rsid w:val="77FA7033"/>
    <w:rsid w:val="78000AED"/>
    <w:rsid w:val="780A69BA"/>
    <w:rsid w:val="780E07AA"/>
    <w:rsid w:val="780F09F4"/>
    <w:rsid w:val="781F6A99"/>
    <w:rsid w:val="782567A5"/>
    <w:rsid w:val="783267CC"/>
    <w:rsid w:val="7846409D"/>
    <w:rsid w:val="784A6228"/>
    <w:rsid w:val="784C2381"/>
    <w:rsid w:val="784C3948"/>
    <w:rsid w:val="78564BB1"/>
    <w:rsid w:val="78695E8F"/>
    <w:rsid w:val="786C2FEA"/>
    <w:rsid w:val="78852DA0"/>
    <w:rsid w:val="78870772"/>
    <w:rsid w:val="78891EEF"/>
    <w:rsid w:val="78A668CC"/>
    <w:rsid w:val="78A90480"/>
    <w:rsid w:val="78CA7A0D"/>
    <w:rsid w:val="78CD4648"/>
    <w:rsid w:val="78D97844"/>
    <w:rsid w:val="78E353DE"/>
    <w:rsid w:val="78EB313D"/>
    <w:rsid w:val="78EF56B2"/>
    <w:rsid w:val="78FF66E6"/>
    <w:rsid w:val="790A1A19"/>
    <w:rsid w:val="79246A5D"/>
    <w:rsid w:val="79283B12"/>
    <w:rsid w:val="792E3438"/>
    <w:rsid w:val="79490272"/>
    <w:rsid w:val="79492020"/>
    <w:rsid w:val="79494343"/>
    <w:rsid w:val="794C090D"/>
    <w:rsid w:val="794C1B10"/>
    <w:rsid w:val="795406FC"/>
    <w:rsid w:val="79636111"/>
    <w:rsid w:val="796B5D3E"/>
    <w:rsid w:val="79850DC6"/>
    <w:rsid w:val="79882CF8"/>
    <w:rsid w:val="79B778D1"/>
    <w:rsid w:val="79BA6C6F"/>
    <w:rsid w:val="79C107B1"/>
    <w:rsid w:val="79C5176F"/>
    <w:rsid w:val="79CC5832"/>
    <w:rsid w:val="79E61F64"/>
    <w:rsid w:val="79F134EC"/>
    <w:rsid w:val="7A0304D2"/>
    <w:rsid w:val="7A0D63E1"/>
    <w:rsid w:val="7A1A3B88"/>
    <w:rsid w:val="7A1C14E2"/>
    <w:rsid w:val="7A2A1819"/>
    <w:rsid w:val="7A2E1215"/>
    <w:rsid w:val="7A364017"/>
    <w:rsid w:val="7A365A10"/>
    <w:rsid w:val="7A3C7DD6"/>
    <w:rsid w:val="7A3F004E"/>
    <w:rsid w:val="7A401F11"/>
    <w:rsid w:val="7A422D94"/>
    <w:rsid w:val="7A556362"/>
    <w:rsid w:val="7A5F4901"/>
    <w:rsid w:val="7A8265E1"/>
    <w:rsid w:val="7A85161C"/>
    <w:rsid w:val="7A865511"/>
    <w:rsid w:val="7A911ED0"/>
    <w:rsid w:val="7A916BCA"/>
    <w:rsid w:val="7ADD2219"/>
    <w:rsid w:val="7ADE2E07"/>
    <w:rsid w:val="7AE9236B"/>
    <w:rsid w:val="7AF26650"/>
    <w:rsid w:val="7AF404D9"/>
    <w:rsid w:val="7AF661D7"/>
    <w:rsid w:val="7AFD1314"/>
    <w:rsid w:val="7B145A11"/>
    <w:rsid w:val="7B14665D"/>
    <w:rsid w:val="7B171711"/>
    <w:rsid w:val="7B263617"/>
    <w:rsid w:val="7B334E2A"/>
    <w:rsid w:val="7B4F1751"/>
    <w:rsid w:val="7B590514"/>
    <w:rsid w:val="7B686D42"/>
    <w:rsid w:val="7B7406C4"/>
    <w:rsid w:val="7B77189B"/>
    <w:rsid w:val="7B7E2A90"/>
    <w:rsid w:val="7B841746"/>
    <w:rsid w:val="7B8960B1"/>
    <w:rsid w:val="7BA4716E"/>
    <w:rsid w:val="7BB70840"/>
    <w:rsid w:val="7BB8348D"/>
    <w:rsid w:val="7BCA16A0"/>
    <w:rsid w:val="7BCD6327"/>
    <w:rsid w:val="7BDA5FBB"/>
    <w:rsid w:val="7BEB0DFD"/>
    <w:rsid w:val="7BEE611A"/>
    <w:rsid w:val="7BF5648F"/>
    <w:rsid w:val="7BF73FB5"/>
    <w:rsid w:val="7C080F50"/>
    <w:rsid w:val="7C1839E1"/>
    <w:rsid w:val="7C1903CF"/>
    <w:rsid w:val="7C1A66F4"/>
    <w:rsid w:val="7C35247C"/>
    <w:rsid w:val="7C3C2310"/>
    <w:rsid w:val="7C417926"/>
    <w:rsid w:val="7C470082"/>
    <w:rsid w:val="7C480A5D"/>
    <w:rsid w:val="7C51473F"/>
    <w:rsid w:val="7C597B6C"/>
    <w:rsid w:val="7C642A9F"/>
    <w:rsid w:val="7C686C61"/>
    <w:rsid w:val="7C6C5AC7"/>
    <w:rsid w:val="7C7F1346"/>
    <w:rsid w:val="7C945CA8"/>
    <w:rsid w:val="7C9C45CC"/>
    <w:rsid w:val="7CA7686B"/>
    <w:rsid w:val="7CA869EC"/>
    <w:rsid w:val="7CAD6D69"/>
    <w:rsid w:val="7CBD4AB8"/>
    <w:rsid w:val="7CC60768"/>
    <w:rsid w:val="7CC6544B"/>
    <w:rsid w:val="7CE441D6"/>
    <w:rsid w:val="7D0239FF"/>
    <w:rsid w:val="7D0C789F"/>
    <w:rsid w:val="7D1B3B82"/>
    <w:rsid w:val="7D1D5170"/>
    <w:rsid w:val="7D1E6D6B"/>
    <w:rsid w:val="7D4702B8"/>
    <w:rsid w:val="7D495510"/>
    <w:rsid w:val="7D4C2D6D"/>
    <w:rsid w:val="7D511DEB"/>
    <w:rsid w:val="7D5E40CD"/>
    <w:rsid w:val="7D613CA3"/>
    <w:rsid w:val="7D627D20"/>
    <w:rsid w:val="7D6433C3"/>
    <w:rsid w:val="7D742C1C"/>
    <w:rsid w:val="7D7C62F5"/>
    <w:rsid w:val="7D7F5021"/>
    <w:rsid w:val="7D9B4E14"/>
    <w:rsid w:val="7DAD754E"/>
    <w:rsid w:val="7DB53F39"/>
    <w:rsid w:val="7DB724E7"/>
    <w:rsid w:val="7DB939AF"/>
    <w:rsid w:val="7DC91981"/>
    <w:rsid w:val="7DCA4A14"/>
    <w:rsid w:val="7DCD56F2"/>
    <w:rsid w:val="7DDA0452"/>
    <w:rsid w:val="7DDE390E"/>
    <w:rsid w:val="7DE37223"/>
    <w:rsid w:val="7DE82A78"/>
    <w:rsid w:val="7DEB3C90"/>
    <w:rsid w:val="7DF5444F"/>
    <w:rsid w:val="7DFC0E94"/>
    <w:rsid w:val="7DFF2ABD"/>
    <w:rsid w:val="7E2512B6"/>
    <w:rsid w:val="7E265025"/>
    <w:rsid w:val="7E3314F0"/>
    <w:rsid w:val="7E374F5D"/>
    <w:rsid w:val="7E5751DF"/>
    <w:rsid w:val="7E6057DE"/>
    <w:rsid w:val="7E715B70"/>
    <w:rsid w:val="7E723430"/>
    <w:rsid w:val="7E8448A3"/>
    <w:rsid w:val="7E9B156F"/>
    <w:rsid w:val="7EA45F4A"/>
    <w:rsid w:val="7EA71CBF"/>
    <w:rsid w:val="7EAA3560"/>
    <w:rsid w:val="7EAC03FD"/>
    <w:rsid w:val="7EB548C5"/>
    <w:rsid w:val="7ECF2FC7"/>
    <w:rsid w:val="7ED764DC"/>
    <w:rsid w:val="7EDC1B88"/>
    <w:rsid w:val="7EDC3F1E"/>
    <w:rsid w:val="7F001CE7"/>
    <w:rsid w:val="7F0B0A5C"/>
    <w:rsid w:val="7F0C363E"/>
    <w:rsid w:val="7F126204"/>
    <w:rsid w:val="7F243BE2"/>
    <w:rsid w:val="7F373E7C"/>
    <w:rsid w:val="7F392227"/>
    <w:rsid w:val="7F4E27A8"/>
    <w:rsid w:val="7F5E42E0"/>
    <w:rsid w:val="7F645E05"/>
    <w:rsid w:val="7F6578FB"/>
    <w:rsid w:val="7F6722A0"/>
    <w:rsid w:val="7F6C4CBA"/>
    <w:rsid w:val="7F6F14B8"/>
    <w:rsid w:val="7F714848"/>
    <w:rsid w:val="7F761D48"/>
    <w:rsid w:val="7F842003"/>
    <w:rsid w:val="7F9950E2"/>
    <w:rsid w:val="7FB846CC"/>
    <w:rsid w:val="7FBA5628"/>
    <w:rsid w:val="7FC50ED5"/>
    <w:rsid w:val="7FC83E64"/>
    <w:rsid w:val="7FD22FF6"/>
    <w:rsid w:val="7FD65B3F"/>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nhideWhenUsed="0" w:uiPriority="9"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iPriority="99"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9"/>
    <w:pPr>
      <w:keepNext/>
      <w:keepLines/>
      <w:outlineLvl w:val="1"/>
    </w:pPr>
    <w:rPr>
      <w:rFonts w:eastAsia="黑体"/>
      <w:b/>
      <w:bCs/>
      <w:sz w:val="28"/>
      <w:szCs w:val="32"/>
    </w:rPr>
  </w:style>
  <w:style w:type="paragraph" w:styleId="4">
    <w:name w:val="heading 3"/>
    <w:basedOn w:val="1"/>
    <w:next w:val="1"/>
    <w:qFormat/>
    <w:locked/>
    <w:uiPriority w:val="9"/>
    <w:pPr>
      <w:ind w:firstLine="562"/>
      <w:outlineLvl w:val="2"/>
    </w:pPr>
    <w:rPr>
      <w:b/>
      <w:kern w:val="0"/>
      <w:sz w:val="28"/>
      <w:szCs w:val="28"/>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5">
    <w:name w:val="Normal Indent"/>
    <w:basedOn w:val="1"/>
    <w:next w:val="1"/>
    <w:unhideWhenUsed/>
    <w:qFormat/>
    <w:locked/>
    <w:uiPriority w:val="99"/>
    <w:pPr>
      <w:ind w:firstLine="420"/>
    </w:pPr>
  </w:style>
  <w:style w:type="paragraph" w:styleId="6">
    <w:name w:val="caption"/>
    <w:basedOn w:val="1"/>
    <w:next w:val="1"/>
    <w:qFormat/>
    <w:locked/>
    <w:uiPriority w:val="0"/>
    <w:pPr>
      <w:adjustRightInd w:val="0"/>
      <w:spacing w:beforeLines="0" w:afterLines="0"/>
      <w:jc w:val="center"/>
      <w:textAlignment w:val="baseline"/>
    </w:pPr>
    <w:rPr>
      <w:rFonts w:hint="default" w:ascii="Cambria" w:hAnsi="Cambria" w:eastAsia="黑体"/>
      <w:b/>
      <w:sz w:val="21"/>
      <w:szCs w:val="24"/>
    </w:rPr>
  </w:style>
  <w:style w:type="paragraph" w:styleId="7">
    <w:name w:val="annotation text"/>
    <w:basedOn w:val="1"/>
    <w:link w:val="29"/>
    <w:semiHidden/>
    <w:qFormat/>
    <w:uiPriority w:val="0"/>
    <w:pPr>
      <w:jc w:val="left"/>
    </w:pPr>
    <w:rPr>
      <w:kern w:val="0"/>
      <w:sz w:val="24"/>
      <w:szCs w:val="20"/>
    </w:rPr>
  </w:style>
  <w:style w:type="paragraph" w:styleId="8">
    <w:name w:val="Body Text"/>
    <w:basedOn w:val="1"/>
    <w:next w:val="1"/>
    <w:link w:val="30"/>
    <w:qFormat/>
    <w:uiPriority w:val="0"/>
    <w:pPr>
      <w:widowControl/>
      <w:snapToGrid w:val="0"/>
      <w:spacing w:before="60" w:after="160" w:line="259" w:lineRule="auto"/>
      <w:ind w:right="113"/>
    </w:pPr>
    <w:rPr>
      <w:kern w:val="0"/>
      <w:sz w:val="18"/>
      <w:szCs w:val="20"/>
    </w:rPr>
  </w:style>
  <w:style w:type="paragraph" w:styleId="9">
    <w:name w:val="Body Text Indent"/>
    <w:basedOn w:val="1"/>
    <w:link w:val="31"/>
    <w:qFormat/>
    <w:uiPriority w:val="0"/>
    <w:pPr>
      <w:spacing w:after="120"/>
      <w:ind w:left="420" w:leftChars="200"/>
    </w:pPr>
    <w:rPr>
      <w:kern w:val="0"/>
      <w:sz w:val="24"/>
      <w:szCs w:val="20"/>
    </w:rPr>
  </w:style>
  <w:style w:type="paragraph" w:styleId="10">
    <w:name w:val="Block Text"/>
    <w:basedOn w:val="1"/>
    <w:qFormat/>
    <w:locked/>
    <w:uiPriority w:val="0"/>
    <w:pPr>
      <w:adjustRightInd w:val="0"/>
      <w:snapToGrid w:val="0"/>
      <w:spacing w:line="440" w:lineRule="exact"/>
      <w:ind w:left="140" w:right="118" w:firstLine="560"/>
    </w:pPr>
    <w:rPr>
      <w:rFonts w:ascii="宋体"/>
      <w:color w:val="0000FF"/>
      <w:sz w:val="27"/>
      <w:szCs w:val="27"/>
    </w:rPr>
  </w:style>
  <w:style w:type="paragraph" w:styleId="11">
    <w:name w:val="Plain Text"/>
    <w:basedOn w:val="1"/>
    <w:qFormat/>
    <w:locked/>
    <w:uiPriority w:val="0"/>
    <w:pPr>
      <w:spacing w:line="240" w:lineRule="atLeast"/>
    </w:pPr>
    <w:rPr>
      <w:rFonts w:ascii="宋体" w:hAnsi="Courier New"/>
      <w:sz w:val="28"/>
      <w:szCs w:val="21"/>
    </w:rPr>
  </w:style>
  <w:style w:type="paragraph" w:styleId="12">
    <w:name w:val="Date"/>
    <w:basedOn w:val="1"/>
    <w:next w:val="1"/>
    <w:link w:val="32"/>
    <w:qFormat/>
    <w:uiPriority w:val="0"/>
    <w:pPr>
      <w:ind w:left="100" w:leftChars="2500"/>
    </w:pPr>
    <w:rPr>
      <w:kern w:val="0"/>
      <w:sz w:val="24"/>
      <w:szCs w:val="20"/>
    </w:rPr>
  </w:style>
  <w:style w:type="paragraph" w:styleId="13">
    <w:name w:val="Body Text Indent 2"/>
    <w:basedOn w:val="1"/>
    <w:next w:val="14"/>
    <w:unhideWhenUsed/>
    <w:qFormat/>
    <w:locked/>
    <w:uiPriority w:val="99"/>
    <w:pPr>
      <w:spacing w:line="300" w:lineRule="auto"/>
      <w:ind w:firstLine="480"/>
    </w:pPr>
    <w:rPr>
      <w:rFonts w:ascii="仿宋体" w:eastAsia="仿宋体"/>
      <w:b/>
      <w:bCs/>
      <w:sz w:val="24"/>
    </w:rPr>
  </w:style>
  <w:style w:type="paragraph" w:customStyle="1" w:styleId="14">
    <w:name w:val="简单回函地址"/>
    <w:basedOn w:val="1"/>
    <w:next w:val="15"/>
    <w:qFormat/>
    <w:uiPriority w:val="0"/>
  </w:style>
  <w:style w:type="paragraph" w:customStyle="1" w:styleId="15">
    <w:name w:val="正文2"/>
    <w:basedOn w:val="1"/>
    <w:qFormat/>
    <w:uiPriority w:val="0"/>
    <w:pPr>
      <w:autoSpaceDE w:val="0"/>
      <w:autoSpaceDN w:val="0"/>
      <w:spacing w:line="480" w:lineRule="exact"/>
      <w:ind w:left="556"/>
      <w:textAlignment w:val="bottom"/>
    </w:pPr>
    <w:rPr>
      <w:color w:val="000000"/>
      <w:sz w:val="28"/>
    </w:rPr>
  </w:style>
  <w:style w:type="paragraph" w:styleId="16">
    <w:name w:val="Balloon Text"/>
    <w:basedOn w:val="1"/>
    <w:link w:val="33"/>
    <w:semiHidden/>
    <w:qFormat/>
    <w:uiPriority w:val="0"/>
    <w:rPr>
      <w:kern w:val="0"/>
      <w:sz w:val="18"/>
      <w:szCs w:val="20"/>
    </w:rPr>
  </w:style>
  <w:style w:type="paragraph" w:styleId="17">
    <w:name w:val="footer"/>
    <w:basedOn w:val="1"/>
    <w:link w:val="34"/>
    <w:qFormat/>
    <w:uiPriority w:val="99"/>
    <w:pPr>
      <w:tabs>
        <w:tab w:val="center" w:pos="4153"/>
        <w:tab w:val="right" w:pos="8306"/>
      </w:tabs>
      <w:snapToGrid w:val="0"/>
      <w:jc w:val="left"/>
    </w:pPr>
    <w:rPr>
      <w:kern w:val="0"/>
      <w:sz w:val="18"/>
      <w:szCs w:val="20"/>
    </w:rPr>
  </w:style>
  <w:style w:type="paragraph" w:styleId="18">
    <w:name w:val="header"/>
    <w:basedOn w:val="1"/>
    <w:link w:val="35"/>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Normal (Web)"/>
    <w:basedOn w:val="1"/>
    <w:link w:val="36"/>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7"/>
    <w:next w:val="7"/>
    <w:link w:val="37"/>
    <w:semiHidden/>
    <w:qFormat/>
    <w:uiPriority w:val="0"/>
    <w:rPr>
      <w:b/>
      <w:sz w:val="24"/>
      <w:szCs w:val="20"/>
    </w:rPr>
  </w:style>
  <w:style w:type="table" w:styleId="22">
    <w:name w:val="Table Grid"/>
    <w:basedOn w:val="2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locked/>
    <w:uiPriority w:val="0"/>
    <w:rPr>
      <w:b/>
    </w:rPr>
  </w:style>
  <w:style w:type="character" w:styleId="25">
    <w:name w:val="page number"/>
    <w:basedOn w:val="23"/>
    <w:qFormat/>
    <w:locked/>
    <w:uiPriority w:val="0"/>
  </w:style>
  <w:style w:type="character" w:styleId="26">
    <w:name w:val="Emphasis"/>
    <w:basedOn w:val="23"/>
    <w:qFormat/>
    <w:locked/>
    <w:uiPriority w:val="0"/>
    <w:rPr>
      <w:i/>
    </w:rPr>
  </w:style>
  <w:style w:type="character" w:styleId="27">
    <w:name w:val="Hyperlink"/>
    <w:basedOn w:val="23"/>
    <w:qFormat/>
    <w:locked/>
    <w:uiPriority w:val="0"/>
    <w:rPr>
      <w:color w:val="0000FF"/>
      <w:u w:val="single"/>
    </w:rPr>
  </w:style>
  <w:style w:type="character" w:styleId="28">
    <w:name w:val="annotation reference"/>
    <w:semiHidden/>
    <w:qFormat/>
    <w:uiPriority w:val="0"/>
    <w:rPr>
      <w:sz w:val="21"/>
    </w:rPr>
  </w:style>
  <w:style w:type="character" w:customStyle="1" w:styleId="29">
    <w:name w:val="批注文字 Char"/>
    <w:link w:val="7"/>
    <w:qFormat/>
    <w:locked/>
    <w:uiPriority w:val="0"/>
    <w:rPr>
      <w:rFonts w:ascii="Times New Roman" w:hAnsi="Times New Roman" w:eastAsia="宋体"/>
      <w:sz w:val="24"/>
    </w:rPr>
  </w:style>
  <w:style w:type="character" w:customStyle="1" w:styleId="30">
    <w:name w:val="正文文本 Char"/>
    <w:link w:val="8"/>
    <w:qFormat/>
    <w:locked/>
    <w:uiPriority w:val="0"/>
    <w:rPr>
      <w:sz w:val="18"/>
    </w:rPr>
  </w:style>
  <w:style w:type="character" w:customStyle="1" w:styleId="31">
    <w:name w:val="正文文本缩进 Char"/>
    <w:link w:val="9"/>
    <w:semiHidden/>
    <w:qFormat/>
    <w:locked/>
    <w:uiPriority w:val="0"/>
    <w:rPr>
      <w:rFonts w:ascii="Times New Roman" w:hAnsi="Times New Roman" w:eastAsia="宋体"/>
      <w:sz w:val="24"/>
    </w:rPr>
  </w:style>
  <w:style w:type="character" w:customStyle="1" w:styleId="32">
    <w:name w:val="日期 Char"/>
    <w:link w:val="12"/>
    <w:qFormat/>
    <w:locked/>
    <w:uiPriority w:val="0"/>
    <w:rPr>
      <w:rFonts w:ascii="Times New Roman" w:hAnsi="Times New Roman" w:eastAsia="宋体"/>
      <w:sz w:val="24"/>
    </w:rPr>
  </w:style>
  <w:style w:type="character" w:customStyle="1" w:styleId="33">
    <w:name w:val="批注框文本 Char"/>
    <w:link w:val="16"/>
    <w:semiHidden/>
    <w:qFormat/>
    <w:locked/>
    <w:uiPriority w:val="0"/>
    <w:rPr>
      <w:rFonts w:ascii="Times New Roman" w:hAnsi="Times New Roman" w:eastAsia="宋体"/>
      <w:sz w:val="18"/>
    </w:rPr>
  </w:style>
  <w:style w:type="character" w:customStyle="1" w:styleId="34">
    <w:name w:val="页脚 Char"/>
    <w:link w:val="17"/>
    <w:qFormat/>
    <w:locked/>
    <w:uiPriority w:val="99"/>
    <w:rPr>
      <w:sz w:val="18"/>
    </w:rPr>
  </w:style>
  <w:style w:type="character" w:customStyle="1" w:styleId="35">
    <w:name w:val="页眉 Char"/>
    <w:link w:val="18"/>
    <w:qFormat/>
    <w:locked/>
    <w:uiPriority w:val="0"/>
    <w:rPr>
      <w:sz w:val="18"/>
    </w:rPr>
  </w:style>
  <w:style w:type="character" w:customStyle="1" w:styleId="36">
    <w:name w:val="普通(网站) Char"/>
    <w:link w:val="19"/>
    <w:qFormat/>
    <w:locked/>
    <w:uiPriority w:val="0"/>
    <w:rPr>
      <w:rFonts w:ascii="宋体" w:hAnsi="宋体" w:eastAsia="宋体"/>
      <w:sz w:val="24"/>
    </w:rPr>
  </w:style>
  <w:style w:type="character" w:customStyle="1" w:styleId="37">
    <w:name w:val="批注主题 Char"/>
    <w:link w:val="20"/>
    <w:semiHidden/>
    <w:qFormat/>
    <w:locked/>
    <w:uiPriority w:val="0"/>
    <w:rPr>
      <w:rFonts w:ascii="Times New Roman" w:hAnsi="Times New Roman" w:eastAsia="宋体"/>
      <w:b/>
      <w:kern w:val="2"/>
      <w:sz w:val="24"/>
    </w:rPr>
  </w:style>
  <w:style w:type="character" w:customStyle="1" w:styleId="38">
    <w:name w:val="页脚 字符"/>
    <w:basedOn w:val="23"/>
    <w:qFormat/>
    <w:uiPriority w:val="99"/>
  </w:style>
  <w:style w:type="character" w:customStyle="1" w:styleId="39">
    <w:name w:val="正文文本 字符1"/>
    <w:semiHidden/>
    <w:qFormat/>
    <w:uiPriority w:val="0"/>
    <w:rPr>
      <w:rFonts w:ascii="Times New Roman" w:hAnsi="Times New Roman" w:eastAsia="宋体"/>
      <w:sz w:val="24"/>
    </w:rPr>
  </w:style>
  <w:style w:type="character" w:customStyle="1" w:styleId="40">
    <w:name w:val="表格 Char"/>
    <w:link w:val="41"/>
    <w:qFormat/>
    <w:locked/>
    <w:uiPriority w:val="0"/>
    <w:rPr>
      <w:rFonts w:ascii="Times New Roman" w:hAnsi="Times New Roman" w:eastAsia="宋体"/>
      <w:b/>
      <w:sz w:val="21"/>
    </w:rPr>
  </w:style>
  <w:style w:type="paragraph" w:customStyle="1" w:styleId="41">
    <w:name w:val="表格"/>
    <w:basedOn w:val="42"/>
    <w:next w:val="42"/>
    <w:link w:val="40"/>
    <w:qFormat/>
    <w:uiPriority w:val="0"/>
    <w:pPr>
      <w:adjustRightInd w:val="0"/>
      <w:snapToGrid w:val="0"/>
      <w:spacing w:before="10" w:beforeLines="10" w:after="10" w:afterLines="10" w:line="260" w:lineRule="auto"/>
      <w:ind w:firstLine="0" w:firstLineChars="0"/>
      <w:jc w:val="center"/>
    </w:pPr>
    <w:rPr>
      <w:b/>
      <w:kern w:val="0"/>
      <w:sz w:val="21"/>
      <w:szCs w:val="20"/>
    </w:rPr>
  </w:style>
  <w:style w:type="paragraph" w:customStyle="1" w:styleId="42">
    <w:name w:val="列表1"/>
    <w:basedOn w:val="1"/>
    <w:qFormat/>
    <w:uiPriority w:val="0"/>
    <w:pPr>
      <w:widowControl w:val="0"/>
      <w:spacing w:after="0" w:line="360" w:lineRule="auto"/>
      <w:ind w:left="200" w:hanging="200" w:hangingChars="200"/>
    </w:pPr>
    <w:rPr>
      <w:rFonts w:ascii="Times New Roman" w:hAnsi="Times New Roman" w:eastAsia="宋体" w:cs="宋体"/>
      <w:kern w:val="2"/>
      <w:sz w:val="24"/>
      <w:szCs w:val="24"/>
    </w:rPr>
  </w:style>
  <w:style w:type="paragraph" w:customStyle="1" w:styleId="43">
    <w:name w:val="正文-缩进"/>
    <w:basedOn w:val="1"/>
    <w:qFormat/>
    <w:uiPriority w:val="0"/>
    <w:pPr>
      <w:spacing w:line="360" w:lineRule="auto"/>
      <w:ind w:firstLine="1440" w:firstLineChars="200"/>
    </w:pPr>
    <w:rPr>
      <w:sz w:val="24"/>
    </w:rPr>
  </w:style>
  <w:style w:type="character" w:customStyle="1" w:styleId="44">
    <w:name w:val="日期 字符"/>
    <w:semiHidden/>
    <w:qFormat/>
    <w:uiPriority w:val="0"/>
    <w:rPr>
      <w:rFonts w:ascii="Times New Roman" w:hAnsi="Times New Roman" w:eastAsia="宋体"/>
      <w:sz w:val="24"/>
    </w:rPr>
  </w:style>
  <w:style w:type="character" w:customStyle="1" w:styleId="45">
    <w:name w:val="批注文字 字符1"/>
    <w:semiHidden/>
    <w:qFormat/>
    <w:uiPriority w:val="0"/>
    <w:rPr>
      <w:rFonts w:ascii="Times New Roman" w:hAnsi="Times New Roman" w:eastAsia="宋体"/>
      <w:sz w:val="24"/>
    </w:rPr>
  </w:style>
  <w:style w:type="paragraph" w:customStyle="1" w:styleId="4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8">
    <w:name w:val="+++正文、"/>
    <w:basedOn w:val="1"/>
    <w:qFormat/>
    <w:uiPriority w:val="99"/>
    <w:pPr>
      <w:autoSpaceDE w:val="0"/>
      <w:autoSpaceDN w:val="0"/>
      <w:adjustRightInd w:val="0"/>
      <w:spacing w:line="360" w:lineRule="auto"/>
      <w:ind w:firstLine="200" w:firstLineChars="200"/>
    </w:pPr>
    <w:rPr>
      <w:rFonts w:ascii="Calibri" w:hAnsi="Calibri"/>
      <w:sz w:val="24"/>
    </w:rPr>
  </w:style>
  <w:style w:type="paragraph" w:customStyle="1" w:styleId="49">
    <w:name w:val="A-正文"/>
    <w:basedOn w:val="1"/>
    <w:qFormat/>
    <w:uiPriority w:val="99"/>
    <w:pPr>
      <w:spacing w:line="360" w:lineRule="auto"/>
      <w:ind w:firstLine="480" w:firstLineChars="200"/>
    </w:pPr>
    <w:rPr>
      <w:color w:val="00B050"/>
      <w:sz w:val="24"/>
    </w:rPr>
  </w:style>
  <w:style w:type="paragraph" w:customStyle="1" w:styleId="50">
    <w:name w:val="真·正文"/>
    <w:basedOn w:val="51"/>
    <w:next w:val="52"/>
    <w:qFormat/>
    <w:uiPriority w:val="0"/>
    <w:pPr>
      <w:snapToGrid w:val="0"/>
      <w:spacing w:line="360" w:lineRule="auto"/>
      <w:ind w:left="0" w:right="0" w:firstLine="200" w:firstLineChars="200"/>
      <w:jc w:val="both"/>
    </w:pPr>
    <w:rPr>
      <w:kern w:val="2"/>
      <w:szCs w:val="21"/>
    </w:rPr>
  </w:style>
  <w:style w:type="paragraph" w:customStyle="1" w:styleId="51">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52">
    <w:name w:val="1表格"/>
    <w:basedOn w:val="1"/>
    <w:next w:val="8"/>
    <w:qFormat/>
    <w:uiPriority w:val="0"/>
    <w:pPr>
      <w:widowControl w:val="0"/>
      <w:adjustRightInd/>
      <w:spacing w:after="0" w:line="160" w:lineRule="atLeast"/>
      <w:jc w:val="center"/>
    </w:pPr>
    <w:rPr>
      <w:rFonts w:eastAsia="仿宋_GB2312"/>
      <w:kern w:val="2"/>
      <w:szCs w:val="20"/>
    </w:rPr>
  </w:style>
  <w:style w:type="paragraph" w:customStyle="1" w:styleId="53">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54">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55">
    <w:name w:val="Table Grid_0"/>
    <w:basedOn w:val="21"/>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6">
    <w:name w:val="C正文"/>
    <w:basedOn w:val="1"/>
    <w:qFormat/>
    <w:uiPriority w:val="0"/>
    <w:pPr>
      <w:spacing w:line="360" w:lineRule="auto"/>
      <w:ind w:firstLine="200" w:firstLineChars="200"/>
      <w:contextualSpacing/>
    </w:pPr>
    <w:rPr>
      <w:sz w:val="24"/>
    </w:rPr>
  </w:style>
  <w:style w:type="paragraph" w:customStyle="1" w:styleId="57">
    <w:name w:val="无间隔3"/>
    <w:unhideWhenUsed/>
    <w:qFormat/>
    <w:uiPriority w:val="1"/>
    <w:pPr>
      <w:adjustRightInd w:val="0"/>
      <w:snapToGrid w:val="0"/>
      <w:jc w:val="center"/>
    </w:pPr>
    <w:rPr>
      <w:rFonts w:hint="eastAsia" w:ascii="Times New Roman" w:hAnsi="Times New Roman" w:eastAsia="Times New Roman" w:cs="Times New Roman"/>
      <w:sz w:val="21"/>
      <w:szCs w:val="22"/>
      <w:lang w:val="en-US" w:eastAsia="zh-CN" w:bidi="ar-SA"/>
    </w:rPr>
  </w:style>
  <w:style w:type="paragraph" w:customStyle="1" w:styleId="58">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59">
    <w:name w:val="表中表格"/>
    <w:basedOn w:val="1"/>
    <w:qFormat/>
    <w:uiPriority w:val="0"/>
    <w:pPr>
      <w:widowControl/>
      <w:adjustRightInd w:val="0"/>
      <w:snapToGrid w:val="0"/>
      <w:spacing w:line="240" w:lineRule="auto"/>
      <w:ind w:firstLine="0" w:firstLineChars="0"/>
      <w:jc w:val="center"/>
    </w:pPr>
    <w:rPr>
      <w:kern w:val="0"/>
      <w:sz w:val="21"/>
      <w:szCs w:val="21"/>
    </w:rPr>
  </w:style>
  <w:style w:type="paragraph" w:customStyle="1" w:styleId="60">
    <w:name w:val="表格内容"/>
    <w:basedOn w:val="61"/>
    <w:next w:val="1"/>
    <w:unhideWhenUsed/>
    <w:qFormat/>
    <w:uiPriority w:val="0"/>
    <w:pPr>
      <w:spacing w:beforeLines="0" w:afterLines="0"/>
    </w:pPr>
    <w:rPr>
      <w:rFonts w:hint="default"/>
      <w:sz w:val="21"/>
      <w:szCs w:val="24"/>
    </w:rPr>
  </w:style>
  <w:style w:type="paragraph" w:customStyle="1" w:styleId="61">
    <w:name w:val="表格标题"/>
    <w:basedOn w:val="6"/>
    <w:next w:val="1"/>
    <w:unhideWhenUsed/>
    <w:qFormat/>
    <w:uiPriority w:val="0"/>
    <w:pPr>
      <w:spacing w:before="120" w:beforeLines="0" w:afterLines="0"/>
    </w:pPr>
    <w:rPr>
      <w:rFonts w:hint="default"/>
      <w:sz w:val="24"/>
      <w:szCs w:val="24"/>
    </w:rPr>
  </w:style>
  <w:style w:type="paragraph" w:styleId="62">
    <w:name w:val="No Spacing"/>
    <w:qFormat/>
    <w:uiPriority w:val="1"/>
    <w:rPr>
      <w:rFonts w:ascii="Times New Roman" w:hAnsi="Times New Roman" w:eastAsia="宋体" w:cs="Times New Roman"/>
      <w:sz w:val="22"/>
      <w:szCs w:val="22"/>
      <w:lang w:val="en-US" w:eastAsia="zh-CN" w:bidi="ar-SA"/>
    </w:rPr>
  </w:style>
  <w:style w:type="paragraph" w:customStyle="1" w:styleId="63">
    <w:name w:val="自定义缩进"/>
    <w:basedOn w:val="1"/>
    <w:qFormat/>
    <w:uiPriority w:val="0"/>
    <w:pPr>
      <w:keepNext/>
      <w:spacing w:line="336" w:lineRule="auto"/>
      <w:ind w:firstLine="480" w:firstLineChars="200"/>
    </w:pPr>
    <w:rPr>
      <w:rFonts w:ascii="宋体" w:hAnsi="宋体"/>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wmf"/><Relationship Id="rId43" Type="http://schemas.openxmlformats.org/officeDocument/2006/relationships/oleObject" Target="embeddings/oleObject14.bin"/><Relationship Id="rId42" Type="http://schemas.openxmlformats.org/officeDocument/2006/relationships/image" Target="media/image22.wmf"/><Relationship Id="rId41" Type="http://schemas.openxmlformats.org/officeDocument/2006/relationships/oleObject" Target="embeddings/oleObject13.bin"/><Relationship Id="rId40" Type="http://schemas.openxmlformats.org/officeDocument/2006/relationships/image" Target="media/image21.wmf"/><Relationship Id="rId4" Type="http://schemas.openxmlformats.org/officeDocument/2006/relationships/footer" Target="footer2.xml"/><Relationship Id="rId39" Type="http://schemas.openxmlformats.org/officeDocument/2006/relationships/oleObject" Target="embeddings/oleObject12.bin"/><Relationship Id="rId38" Type="http://schemas.openxmlformats.org/officeDocument/2006/relationships/image" Target="media/image20.wmf"/><Relationship Id="rId37" Type="http://schemas.openxmlformats.org/officeDocument/2006/relationships/oleObject" Target="embeddings/oleObject11.bin"/><Relationship Id="rId36" Type="http://schemas.openxmlformats.org/officeDocument/2006/relationships/image" Target="media/image19.wmf"/><Relationship Id="rId35" Type="http://schemas.openxmlformats.org/officeDocument/2006/relationships/oleObject" Target="embeddings/oleObject10.bin"/><Relationship Id="rId34" Type="http://schemas.openxmlformats.org/officeDocument/2006/relationships/image" Target="media/image18.wmf"/><Relationship Id="rId33" Type="http://schemas.openxmlformats.org/officeDocument/2006/relationships/oleObject" Target="embeddings/oleObject9.bin"/><Relationship Id="rId32" Type="http://schemas.openxmlformats.org/officeDocument/2006/relationships/image" Target="media/image17.pn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er" Target="foot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png"/><Relationship Id="rId25" Type="http://schemas.openxmlformats.org/officeDocument/2006/relationships/image" Target="media/image10.emf"/><Relationship Id="rId24" Type="http://schemas.openxmlformats.org/officeDocument/2006/relationships/oleObject" Target="embeddings/oleObject8.bin"/><Relationship Id="rId23" Type="http://schemas.openxmlformats.org/officeDocument/2006/relationships/image" Target="media/image9.emf"/><Relationship Id="rId22" Type="http://schemas.openxmlformats.org/officeDocument/2006/relationships/oleObject" Target="embeddings/oleObject7.bin"/><Relationship Id="rId21" Type="http://schemas.openxmlformats.org/officeDocument/2006/relationships/image" Target="media/image8.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5.bin"/><Relationship Id="rId17" Type="http://schemas.openxmlformats.org/officeDocument/2006/relationships/image" Target="media/image6.emf"/><Relationship Id="rId16" Type="http://schemas.openxmlformats.org/officeDocument/2006/relationships/oleObject" Target="embeddings/oleObject4.bin"/><Relationship Id="rId15" Type="http://schemas.openxmlformats.org/officeDocument/2006/relationships/image" Target="media/image5.emf"/><Relationship Id="rId14" Type="http://schemas.openxmlformats.org/officeDocument/2006/relationships/oleObject" Target="embeddings/oleObject3.bin"/><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117</Pages>
  <Words>61802</Words>
  <Characters>74671</Characters>
  <Lines>13</Lines>
  <Paragraphs>3</Paragraphs>
  <TotalTime>5</TotalTime>
  <ScaleCrop>false</ScaleCrop>
  <LinksUpToDate>false</LinksUpToDate>
  <CharactersWithSpaces>75099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葵花籽儿</cp:lastModifiedBy>
  <cp:lastPrinted>2020-12-29T02:43:00Z</cp:lastPrinted>
  <dcterms:modified xsi:type="dcterms:W3CDTF">2023-07-19T09:31:16Z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00E54EF7813D454BB0DF682C579ABFDE</vt:lpwstr>
  </property>
</Properties>
</file>